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C8C9" w14:textId="77777777" w:rsidR="001C3FCC" w:rsidRPr="004F6DAA" w:rsidRDefault="0068222C" w:rsidP="00007A34">
      <w:pPr>
        <w:pStyle w:val="Pagedecouverture"/>
        <w:rPr>
          <w:noProof/>
        </w:rPr>
      </w:pPr>
      <w:r>
        <w:rPr>
          <w:noProof/>
        </w:rPr>
      </w:r>
      <w:r w:rsidR="0068222C">
        <w:rPr>
          <w:noProof/>
        </w:rPr>
        <w:pict w14:anchorId="1427E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C707432-180A-40B6-B9B5-2961B8DC3B79" style="width:455.4pt;height:454.85pt">
            <v:imagedata r:id="rId11" o:title=""/>
          </v:shape>
        </w:pict>
      </w:r>
    </w:p>
    <w:p w14:paraId="4ACE7C98" w14:textId="77777777" w:rsidR="001C3FCC" w:rsidRPr="004F6DAA" w:rsidRDefault="001C3FCC" w:rsidP="001C3FCC">
      <w:pPr>
        <w:rPr>
          <w:noProof/>
        </w:rPr>
        <w:sectPr w:rsidR="001C3FCC" w:rsidRPr="004F6DAA" w:rsidSect="00007A34">
          <w:footerReference w:type="default" r:id="rId12"/>
          <w:pgSz w:w="11907" w:h="16839"/>
          <w:pgMar w:top="1134" w:right="1417" w:bottom="1134" w:left="1417" w:header="709" w:footer="709" w:gutter="0"/>
          <w:pgNumType w:start="0"/>
          <w:cols w:space="720"/>
          <w:docGrid w:linePitch="360"/>
        </w:sectPr>
      </w:pPr>
    </w:p>
    <w:p w14:paraId="6E8EA82F" w14:textId="77777777" w:rsidR="001C3FCC" w:rsidRPr="004F6DAA" w:rsidRDefault="001C3FCC" w:rsidP="009A3168">
      <w:pPr>
        <w:pStyle w:val="Exposdesmotifstitre"/>
        <w:rPr>
          <w:noProof/>
        </w:rPr>
      </w:pPr>
      <w:r w:rsidRPr="004F6DAA">
        <w:rPr>
          <w:noProof/>
        </w:rPr>
        <w:t>UZASADNIENIE</w:t>
      </w:r>
    </w:p>
    <w:p w14:paraId="71D71286" w14:textId="77777777" w:rsidR="001C3FCC" w:rsidRPr="004F6DAA" w:rsidRDefault="001C3FCC" w:rsidP="009A3168">
      <w:pPr>
        <w:pStyle w:val="ManualHeading1"/>
        <w:rPr>
          <w:noProof/>
        </w:rPr>
      </w:pPr>
      <w:r w:rsidRPr="004F6DAA">
        <w:rPr>
          <w:noProof/>
        </w:rPr>
        <w:t>1.</w:t>
      </w:r>
      <w:r w:rsidRPr="004F6DAA">
        <w:rPr>
          <w:noProof/>
        </w:rPr>
        <w:tab/>
        <w:t>KONTEKST WNIOSKU</w:t>
      </w:r>
    </w:p>
    <w:p w14:paraId="62EE9DD5" w14:textId="77777777" w:rsidR="001C3FCC" w:rsidRPr="004F6DAA" w:rsidRDefault="001C3FCC" w:rsidP="009A3168">
      <w:pPr>
        <w:pStyle w:val="ManualHeading2"/>
        <w:rPr>
          <w:rFonts w:eastAsia="Arial Unicode MS"/>
          <w:noProof/>
        </w:rPr>
      </w:pPr>
      <w:r w:rsidRPr="004F6DAA">
        <w:rPr>
          <w:noProof/>
          <w:color w:val="000000"/>
          <w:u w:color="000000"/>
          <w:bdr w:val="nil"/>
        </w:rPr>
        <w:t>•</w:t>
      </w:r>
      <w:r w:rsidRPr="004F6DAA">
        <w:rPr>
          <w:noProof/>
        </w:rPr>
        <w:tab/>
        <w:t>Przyczyny</w:t>
      </w:r>
      <w:r w:rsidR="00062BFA" w:rsidRPr="004F6DAA">
        <w:rPr>
          <w:noProof/>
        </w:rPr>
        <w:t xml:space="preserve"> i</w:t>
      </w:r>
      <w:r w:rsidR="00062BFA">
        <w:rPr>
          <w:noProof/>
        </w:rPr>
        <w:t> </w:t>
      </w:r>
      <w:r w:rsidR="00062BFA" w:rsidRPr="004F6DAA">
        <w:rPr>
          <w:noProof/>
        </w:rPr>
        <w:t>cel</w:t>
      </w:r>
      <w:r w:rsidRPr="004F6DAA">
        <w:rPr>
          <w:noProof/>
        </w:rPr>
        <w:t>e wniosku</w:t>
      </w:r>
    </w:p>
    <w:p w14:paraId="7729D7A8" w14:textId="77777777" w:rsidR="000326F9" w:rsidRPr="004F6DAA" w:rsidRDefault="000326F9" w:rsidP="000326F9">
      <w:pPr>
        <w:rPr>
          <w:rFonts w:eastAsia="Times New Roman"/>
          <w:noProof/>
          <w:szCs w:val="20"/>
        </w:rPr>
      </w:pPr>
      <w:r w:rsidRPr="004F6DAA">
        <w:rPr>
          <w:noProof/>
        </w:rPr>
        <w:t>Wylesianie</w:t>
      </w:r>
      <w:r w:rsidR="00062BFA" w:rsidRPr="004F6DAA">
        <w:rPr>
          <w:noProof/>
        </w:rPr>
        <w:t xml:space="preserve"> i</w:t>
      </w:r>
      <w:r w:rsidR="00062BFA">
        <w:rPr>
          <w:noProof/>
        </w:rPr>
        <w:t> </w:t>
      </w:r>
      <w:r w:rsidR="00062BFA" w:rsidRPr="004F6DAA">
        <w:rPr>
          <w:noProof/>
        </w:rPr>
        <w:t>deg</w:t>
      </w:r>
      <w:r w:rsidRPr="004F6DAA">
        <w:rPr>
          <w:noProof/>
        </w:rPr>
        <w:t>radacja lasów postępują</w:t>
      </w:r>
      <w:r w:rsidR="00062BFA" w:rsidRPr="004F6DAA">
        <w:rPr>
          <w:noProof/>
        </w:rPr>
        <w:t xml:space="preserve"> w</w:t>
      </w:r>
      <w:r w:rsidR="00062BFA">
        <w:rPr>
          <w:noProof/>
        </w:rPr>
        <w:t> </w:t>
      </w:r>
      <w:r w:rsidR="00062BFA" w:rsidRPr="004F6DAA">
        <w:rPr>
          <w:noProof/>
        </w:rPr>
        <w:t>ala</w:t>
      </w:r>
      <w:r w:rsidRPr="004F6DAA">
        <w:rPr>
          <w:noProof/>
        </w:rPr>
        <w:t>rmującym tempie, co pogłębia zmianę klimatu</w:t>
      </w:r>
      <w:r w:rsidR="00062BFA" w:rsidRPr="004F6DAA">
        <w:rPr>
          <w:noProof/>
        </w:rPr>
        <w:t xml:space="preserve"> i</w:t>
      </w:r>
      <w:r w:rsidR="00062BFA">
        <w:rPr>
          <w:noProof/>
        </w:rPr>
        <w:t> </w:t>
      </w:r>
      <w:r w:rsidR="00062BFA" w:rsidRPr="004F6DAA">
        <w:rPr>
          <w:noProof/>
        </w:rPr>
        <w:t>utr</w:t>
      </w:r>
      <w:r w:rsidRPr="004F6DAA">
        <w:rPr>
          <w:noProof/>
        </w:rPr>
        <w:t>atę różnorodności biologicznej. Głównym czynnikiem powodującym wylesianie</w:t>
      </w:r>
      <w:r w:rsidR="00062BFA" w:rsidRPr="004F6DAA">
        <w:rPr>
          <w:noProof/>
        </w:rPr>
        <w:t xml:space="preserve"> i</w:t>
      </w:r>
      <w:r w:rsidR="00062BFA">
        <w:rPr>
          <w:noProof/>
        </w:rPr>
        <w:t> </w:t>
      </w:r>
      <w:r w:rsidR="00062BFA" w:rsidRPr="004F6DAA">
        <w:rPr>
          <w:noProof/>
        </w:rPr>
        <w:t>deg</w:t>
      </w:r>
      <w:r w:rsidRPr="004F6DAA">
        <w:rPr>
          <w:noProof/>
        </w:rPr>
        <w:t xml:space="preserve">radację lasów jest </w:t>
      </w:r>
      <w:r w:rsidRPr="004F6DAA">
        <w:rPr>
          <w:b/>
          <w:noProof/>
          <w:szCs w:val="20"/>
        </w:rPr>
        <w:t>powiększanie gruntów rolnych</w:t>
      </w:r>
      <w:r w:rsidR="00062BFA" w:rsidRPr="004F6DAA">
        <w:rPr>
          <w:noProof/>
        </w:rPr>
        <w:t xml:space="preserve"> w</w:t>
      </w:r>
      <w:r w:rsidR="00062BFA">
        <w:rPr>
          <w:noProof/>
        </w:rPr>
        <w:t> </w:t>
      </w:r>
      <w:r w:rsidR="00062BFA" w:rsidRPr="004F6DAA">
        <w:rPr>
          <w:noProof/>
        </w:rPr>
        <w:t>cel</w:t>
      </w:r>
      <w:r w:rsidRPr="004F6DAA">
        <w:rPr>
          <w:noProof/>
        </w:rPr>
        <w:t>u produkcji towarów takich jak bydło, drewno, olej palmowy, soja, kakao czy kawa. Oczekuje się, że rosnąca liczba ludności na świecie</w:t>
      </w:r>
      <w:r w:rsidR="00062BFA" w:rsidRPr="004F6DAA">
        <w:rPr>
          <w:noProof/>
        </w:rPr>
        <w:t xml:space="preserve"> i</w:t>
      </w:r>
      <w:r w:rsidR="00062BFA">
        <w:rPr>
          <w:noProof/>
        </w:rPr>
        <w:t> </w:t>
      </w:r>
      <w:r w:rsidR="00062BFA" w:rsidRPr="004F6DAA">
        <w:rPr>
          <w:noProof/>
        </w:rPr>
        <w:t>wzr</w:t>
      </w:r>
      <w:r w:rsidRPr="004F6DAA">
        <w:rPr>
          <w:noProof/>
        </w:rPr>
        <w:t>astający popyt na produkty rolne, zwłaszcza pochodzenia zwierzęcego, zwiększą zapotrzebowanie na grunty rolne</w:t>
      </w:r>
      <w:r w:rsidR="00062BFA" w:rsidRPr="004F6DAA">
        <w:rPr>
          <w:noProof/>
        </w:rPr>
        <w:t xml:space="preserve"> i</w:t>
      </w:r>
      <w:r w:rsidR="00062BFA">
        <w:rPr>
          <w:noProof/>
        </w:rPr>
        <w:t> </w:t>
      </w:r>
      <w:r w:rsidR="00062BFA" w:rsidRPr="004F6DAA">
        <w:rPr>
          <w:noProof/>
        </w:rPr>
        <w:t>zin</w:t>
      </w:r>
      <w:r w:rsidRPr="004F6DAA">
        <w:rPr>
          <w:noProof/>
        </w:rPr>
        <w:t>tensyfikują eksploatację lasów, podczas gdy zmieniające się wzorce klimatyczne wpłyną na produkcję żywności, co będzie się wiązało</w:t>
      </w:r>
      <w:r w:rsidR="00062BFA" w:rsidRPr="004F6DAA">
        <w:rPr>
          <w:noProof/>
        </w:rPr>
        <w:t xml:space="preserve"> z</w:t>
      </w:r>
      <w:r w:rsidR="00062BFA">
        <w:rPr>
          <w:noProof/>
        </w:rPr>
        <w:t> </w:t>
      </w:r>
      <w:r w:rsidR="00062BFA" w:rsidRPr="004F6DAA">
        <w:rPr>
          <w:noProof/>
        </w:rPr>
        <w:t>kon</w:t>
      </w:r>
      <w:r w:rsidRPr="004F6DAA">
        <w:rPr>
          <w:noProof/>
        </w:rPr>
        <w:t>iecznością transformacji</w:t>
      </w:r>
      <w:r w:rsidR="00062BFA" w:rsidRPr="004F6DAA">
        <w:rPr>
          <w:noProof/>
        </w:rPr>
        <w:t xml:space="preserve"> w</w:t>
      </w:r>
      <w:r w:rsidR="00062BFA">
        <w:rPr>
          <w:noProof/>
        </w:rPr>
        <w:t> </w:t>
      </w:r>
      <w:r w:rsidR="00062BFA" w:rsidRPr="004F6DAA">
        <w:rPr>
          <w:noProof/>
        </w:rPr>
        <w:t>kie</w:t>
      </w:r>
      <w:r w:rsidRPr="004F6DAA">
        <w:rPr>
          <w:noProof/>
        </w:rPr>
        <w:t>runku zrównoważonej produkcji, która nie prowadzi do dalszego wylesiania</w:t>
      </w:r>
      <w:r w:rsidR="00062BFA" w:rsidRPr="004F6DAA">
        <w:rPr>
          <w:noProof/>
        </w:rPr>
        <w:t xml:space="preserve"> i</w:t>
      </w:r>
      <w:r w:rsidR="00062BFA">
        <w:rPr>
          <w:noProof/>
        </w:rPr>
        <w:t> </w:t>
      </w:r>
      <w:r w:rsidR="00062BFA" w:rsidRPr="004F6DAA">
        <w:rPr>
          <w:noProof/>
        </w:rPr>
        <w:t>dal</w:t>
      </w:r>
      <w:r w:rsidRPr="004F6DAA">
        <w:rPr>
          <w:noProof/>
        </w:rPr>
        <w:t xml:space="preserve">szej degradacji </w:t>
      </w:r>
      <w:commentRangeStart w:id="0"/>
      <w:r w:rsidRPr="004F6DAA">
        <w:rPr>
          <w:noProof/>
        </w:rPr>
        <w:t>lasów</w:t>
      </w:r>
      <w:commentRangeEnd w:id="0"/>
      <w:r w:rsidR="00E353E8">
        <w:rPr>
          <w:rStyle w:val="Odwoaniedokomentarza"/>
          <w:rFonts w:eastAsia="Times New Roman"/>
          <w:lang w:eastAsia="en-GB"/>
        </w:rPr>
        <w:commentReference w:id="0"/>
      </w:r>
      <w:r w:rsidRPr="004F6DAA">
        <w:rPr>
          <w:noProof/>
        </w:rPr>
        <w:t>.</w:t>
      </w:r>
    </w:p>
    <w:p w14:paraId="1B433BB9" w14:textId="77777777" w:rsidR="001C3FCC" w:rsidRPr="004F6DAA" w:rsidRDefault="000326F9" w:rsidP="000326F9">
      <w:pPr>
        <w:pBdr>
          <w:top w:val="nil"/>
          <w:left w:val="nil"/>
          <w:bottom w:val="nil"/>
          <w:right w:val="nil"/>
          <w:between w:val="nil"/>
          <w:bar w:val="nil"/>
        </w:pBdr>
        <w:spacing w:before="0" w:after="240"/>
        <w:rPr>
          <w:rFonts w:eastAsia="Arial Unicode MS"/>
          <w:noProof/>
        </w:rPr>
      </w:pPr>
      <w:r w:rsidRPr="004F6DAA">
        <w:rPr>
          <w:noProof/>
        </w:rPr>
        <w:t>UE jest znaczącym konsumentem towarów powodujących wylesianie</w:t>
      </w:r>
      <w:r w:rsidR="00062BFA" w:rsidRPr="004F6DAA">
        <w:rPr>
          <w:noProof/>
        </w:rPr>
        <w:t xml:space="preserve"> i</w:t>
      </w:r>
      <w:r w:rsidR="00062BFA">
        <w:rPr>
          <w:noProof/>
        </w:rPr>
        <w:t> </w:t>
      </w:r>
      <w:r w:rsidR="00062BFA" w:rsidRPr="004F6DAA">
        <w:rPr>
          <w:noProof/>
        </w:rPr>
        <w:t>deg</w:t>
      </w:r>
      <w:r w:rsidRPr="004F6DAA">
        <w:rPr>
          <w:noProof/>
        </w:rPr>
        <w:t xml:space="preserve">radację </w:t>
      </w:r>
      <w:commentRangeStart w:id="1"/>
      <w:r w:rsidRPr="004F6DAA">
        <w:rPr>
          <w:noProof/>
        </w:rPr>
        <w:t>lasów</w:t>
      </w:r>
      <w:commentRangeEnd w:id="1"/>
      <w:r w:rsidR="00A57657">
        <w:rPr>
          <w:rStyle w:val="Odwoaniedokomentarza"/>
          <w:rFonts w:eastAsia="Times New Roman"/>
          <w:lang w:eastAsia="en-GB"/>
        </w:rPr>
        <w:commentReference w:id="1"/>
      </w:r>
      <w:r w:rsidRPr="004F6DAA">
        <w:rPr>
          <w:noProof/>
        </w:rPr>
        <w:t>, przy czym nie dysponuje konkretnymi</w:t>
      </w:r>
      <w:r w:rsidR="00062BFA" w:rsidRPr="004F6DAA">
        <w:rPr>
          <w:noProof/>
        </w:rPr>
        <w:t xml:space="preserve"> i</w:t>
      </w:r>
      <w:r w:rsidR="00062BFA">
        <w:rPr>
          <w:noProof/>
        </w:rPr>
        <w:t> </w:t>
      </w:r>
      <w:r w:rsidR="00062BFA" w:rsidRPr="004F6DAA">
        <w:rPr>
          <w:noProof/>
        </w:rPr>
        <w:t>sku</w:t>
      </w:r>
      <w:r w:rsidRPr="004F6DAA">
        <w:rPr>
          <w:noProof/>
        </w:rPr>
        <w:t>tecznymi przepisami, które zmniejszyłyby jej udział</w:t>
      </w:r>
      <w:r w:rsidR="00062BFA" w:rsidRPr="004F6DAA">
        <w:rPr>
          <w:noProof/>
        </w:rPr>
        <w:t xml:space="preserve"> w</w:t>
      </w:r>
      <w:r w:rsidR="00062BFA">
        <w:rPr>
          <w:noProof/>
        </w:rPr>
        <w:t> </w:t>
      </w:r>
      <w:r w:rsidR="00062BFA" w:rsidRPr="004F6DAA">
        <w:rPr>
          <w:noProof/>
        </w:rPr>
        <w:t>tyc</w:t>
      </w:r>
      <w:r w:rsidRPr="004F6DAA">
        <w:rPr>
          <w:noProof/>
        </w:rPr>
        <w:t>h zjawiskach</w:t>
      </w:r>
      <w:r w:rsidR="00062BFA" w:rsidRPr="004F6DAA">
        <w:rPr>
          <w:i/>
          <w:noProof/>
          <w:szCs w:val="20"/>
        </w:rPr>
        <w:t xml:space="preserve">. </w:t>
      </w:r>
      <w:r w:rsidR="00062BFA" w:rsidRPr="004F6DAA">
        <w:rPr>
          <w:noProof/>
        </w:rPr>
        <w:t>W</w:t>
      </w:r>
      <w:r w:rsidR="00062BFA">
        <w:rPr>
          <w:i/>
          <w:noProof/>
          <w:szCs w:val="20"/>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tym</w:t>
      </w:r>
      <w:r w:rsidRPr="004F6DAA">
        <w:rPr>
          <w:noProof/>
        </w:rPr>
        <w:t xml:space="preserve"> celem niniejszej inicjatywy jest ograniczenie wylesiania</w:t>
      </w:r>
      <w:r w:rsidR="00062BFA" w:rsidRPr="004F6DAA">
        <w:rPr>
          <w:noProof/>
        </w:rPr>
        <w:t xml:space="preserve"> i</w:t>
      </w:r>
      <w:r w:rsidR="00062BFA">
        <w:rPr>
          <w:noProof/>
        </w:rPr>
        <w:t> </w:t>
      </w:r>
      <w:r w:rsidR="00062BFA" w:rsidRPr="004F6DAA">
        <w:rPr>
          <w:noProof/>
        </w:rPr>
        <w:t>deg</w:t>
      </w:r>
      <w:r w:rsidRPr="004F6DAA">
        <w:rPr>
          <w:noProof/>
        </w:rPr>
        <w:t>radacji lasów spowodowanych unijną konsumpcją</w:t>
      </w:r>
      <w:r w:rsidR="00062BFA" w:rsidRPr="004F6DAA">
        <w:rPr>
          <w:noProof/>
        </w:rPr>
        <w:t xml:space="preserve"> i</w:t>
      </w:r>
      <w:r w:rsidR="00062BFA">
        <w:rPr>
          <w:noProof/>
        </w:rPr>
        <w:t> </w:t>
      </w:r>
      <w:r w:rsidR="00062BFA" w:rsidRPr="004F6DAA">
        <w:rPr>
          <w:noProof/>
        </w:rPr>
        <w:t>pro</w:t>
      </w:r>
      <w:r w:rsidRPr="004F6DAA">
        <w:rPr>
          <w:noProof/>
        </w:rPr>
        <w:t>dukcją. Ma to</w:t>
      </w:r>
      <w:r w:rsidR="00062BFA" w:rsidRPr="004F6DAA">
        <w:rPr>
          <w:noProof/>
        </w:rPr>
        <w:t xml:space="preserve"> z</w:t>
      </w:r>
      <w:r w:rsidR="00062BFA">
        <w:rPr>
          <w:noProof/>
        </w:rPr>
        <w:t> </w:t>
      </w:r>
      <w:r w:rsidR="00062BFA" w:rsidRPr="004F6DAA">
        <w:rPr>
          <w:noProof/>
        </w:rPr>
        <w:t>kol</w:t>
      </w:r>
      <w:r w:rsidRPr="004F6DAA">
        <w:rPr>
          <w:noProof/>
        </w:rPr>
        <w:t>ei zmniejszyć emisję gazów cieplarnianych</w:t>
      </w:r>
      <w:r w:rsidR="00062BFA" w:rsidRPr="004F6DAA">
        <w:rPr>
          <w:noProof/>
        </w:rPr>
        <w:t xml:space="preserve"> i</w:t>
      </w:r>
      <w:r w:rsidR="00062BFA">
        <w:rPr>
          <w:noProof/>
        </w:rPr>
        <w:t> </w:t>
      </w:r>
      <w:r w:rsidR="00062BFA" w:rsidRPr="004F6DAA">
        <w:rPr>
          <w:noProof/>
        </w:rPr>
        <w:t>utr</w:t>
      </w:r>
      <w:r w:rsidRPr="004F6DAA">
        <w:rPr>
          <w:noProof/>
        </w:rPr>
        <w:t xml:space="preserve">atę różnorodności biologicznej na świecie. Celem inicjatywy jest </w:t>
      </w:r>
      <w:r w:rsidRPr="004F6DAA">
        <w:rPr>
          <w:b/>
          <w:noProof/>
        </w:rPr>
        <w:t>ograniczenie do minimum konsumpcji produktów</w:t>
      </w:r>
      <w:r w:rsidR="00062BFA" w:rsidRPr="004F6DAA">
        <w:rPr>
          <w:b/>
          <w:noProof/>
        </w:rPr>
        <w:t xml:space="preserve"> z</w:t>
      </w:r>
      <w:r w:rsidR="00062BFA">
        <w:rPr>
          <w:b/>
          <w:noProof/>
        </w:rPr>
        <w:t> </w:t>
      </w:r>
      <w:r w:rsidR="00062BFA" w:rsidRPr="004F6DAA">
        <w:rPr>
          <w:b/>
          <w:noProof/>
        </w:rPr>
        <w:t>łań</w:t>
      </w:r>
      <w:r w:rsidRPr="004F6DAA">
        <w:rPr>
          <w:b/>
          <w:noProof/>
        </w:rPr>
        <w:t>cuchów dostaw,</w:t>
      </w:r>
      <w:r w:rsidR="00062BFA" w:rsidRPr="004F6DAA">
        <w:rPr>
          <w:b/>
          <w:noProof/>
        </w:rPr>
        <w:t xml:space="preserve"> z</w:t>
      </w:r>
      <w:r w:rsidR="00062BFA">
        <w:rPr>
          <w:b/>
          <w:noProof/>
        </w:rPr>
        <w:t> </w:t>
      </w:r>
      <w:r w:rsidR="00062BFA" w:rsidRPr="004F6DAA">
        <w:rPr>
          <w:b/>
          <w:noProof/>
        </w:rPr>
        <w:t>któ</w:t>
      </w:r>
      <w:r w:rsidRPr="004F6DAA">
        <w:rPr>
          <w:b/>
          <w:noProof/>
        </w:rPr>
        <w:t>rymi wiążą się wylesianie lub degradacja lasów</w:t>
      </w:r>
      <w:commentRangeStart w:id="2"/>
      <w:r w:rsidRPr="004F6DAA">
        <w:rPr>
          <w:noProof/>
        </w:rPr>
        <w:t>,</w:t>
      </w:r>
      <w:commentRangeEnd w:id="2"/>
      <w:r w:rsidR="005E30FF">
        <w:rPr>
          <w:rStyle w:val="Odwoaniedokomentarza"/>
          <w:rFonts w:eastAsia="Times New Roman"/>
          <w:lang w:eastAsia="en-GB"/>
        </w:rPr>
        <w:commentReference w:id="2"/>
      </w:r>
      <w:r w:rsidRPr="004F6DAA">
        <w:rPr>
          <w:noProof/>
        </w:rPr>
        <w:t xml:space="preserve"> oraz zwiększenie popytu w UE na legalne i „niepowodujące wylesiania” towary</w:t>
      </w:r>
      <w:r w:rsidR="00062BFA" w:rsidRPr="004F6DAA">
        <w:rPr>
          <w:noProof/>
        </w:rPr>
        <w:t xml:space="preserve"> i</w:t>
      </w:r>
      <w:r w:rsidR="00062BFA">
        <w:rPr>
          <w:noProof/>
        </w:rPr>
        <w:t> </w:t>
      </w:r>
      <w:r w:rsidR="00062BFA" w:rsidRPr="004F6DAA">
        <w:rPr>
          <w:noProof/>
        </w:rPr>
        <w:t>pro</w:t>
      </w:r>
      <w:r w:rsidRPr="004F6DAA">
        <w:rPr>
          <w:noProof/>
        </w:rPr>
        <w:t>dukty oraz rozwój handlu tymi produktami</w:t>
      </w:r>
      <w:r w:rsidR="00062BFA" w:rsidRPr="004F6DAA">
        <w:rPr>
          <w:noProof/>
        </w:rPr>
        <w:t xml:space="preserve"> i</w:t>
      </w:r>
      <w:r w:rsidR="00062BFA">
        <w:rPr>
          <w:noProof/>
        </w:rPr>
        <w:t> </w:t>
      </w:r>
      <w:r w:rsidR="00062BFA" w:rsidRPr="004F6DAA">
        <w:rPr>
          <w:noProof/>
        </w:rPr>
        <w:t>tow</w:t>
      </w:r>
      <w:r w:rsidRPr="004F6DAA">
        <w:rPr>
          <w:noProof/>
        </w:rPr>
        <w:t>arami.</w:t>
      </w:r>
    </w:p>
    <w:p w14:paraId="7D56ED10" w14:textId="77777777" w:rsidR="001C3FCC" w:rsidRPr="004F6DAA" w:rsidRDefault="001C3FCC" w:rsidP="009A3168">
      <w:pPr>
        <w:pStyle w:val="ManualHeading2"/>
        <w:rPr>
          <w:rFonts w:eastAsia="Arial Unicode MS"/>
          <w:noProof/>
          <w:color w:val="000000"/>
          <w:u w:color="000000"/>
          <w:bdr w:val="nil"/>
        </w:rPr>
      </w:pPr>
      <w:r w:rsidRPr="004F6DAA">
        <w:rPr>
          <w:noProof/>
          <w:color w:val="000000"/>
          <w:u w:color="000000"/>
          <w:bdr w:val="nil"/>
        </w:rPr>
        <w:t>•</w:t>
      </w:r>
      <w:r w:rsidRPr="004F6DAA">
        <w:rPr>
          <w:noProof/>
        </w:rPr>
        <w:tab/>
        <w:t>Spójność</w:t>
      </w:r>
      <w:r w:rsidR="00062BFA" w:rsidRPr="004F6DAA">
        <w:rPr>
          <w:noProof/>
        </w:rPr>
        <w:t xml:space="preserve"> z</w:t>
      </w:r>
      <w:r w:rsidR="00062BFA">
        <w:rPr>
          <w:noProof/>
        </w:rPr>
        <w:t> </w:t>
      </w:r>
      <w:r w:rsidR="00062BFA" w:rsidRPr="004F6DAA">
        <w:rPr>
          <w:noProof/>
        </w:rPr>
        <w:t>prz</w:t>
      </w:r>
      <w:r w:rsidRPr="004F6DAA">
        <w:rPr>
          <w:noProof/>
        </w:rPr>
        <w:t>episami obowiązującymi</w:t>
      </w:r>
      <w:r w:rsidR="00062BFA" w:rsidRPr="004F6DAA">
        <w:rPr>
          <w:noProof/>
        </w:rPr>
        <w:t xml:space="preserve"> w</w:t>
      </w:r>
      <w:r w:rsidR="00062BFA">
        <w:rPr>
          <w:noProof/>
        </w:rPr>
        <w:t> </w:t>
      </w:r>
      <w:r w:rsidR="00062BFA" w:rsidRPr="004F6DAA">
        <w:rPr>
          <w:noProof/>
        </w:rPr>
        <w:t>tej</w:t>
      </w:r>
      <w:r w:rsidRPr="004F6DAA">
        <w:rPr>
          <w:noProof/>
        </w:rPr>
        <w:t xml:space="preserve"> dziedzinie polityki</w:t>
      </w:r>
    </w:p>
    <w:p w14:paraId="0AD17C3F" w14:textId="77777777" w:rsidR="000A54B7" w:rsidRPr="004F6DAA" w:rsidRDefault="000A54B7" w:rsidP="000A54B7">
      <w:pPr>
        <w:pBdr>
          <w:top w:val="nil"/>
          <w:left w:val="nil"/>
          <w:bottom w:val="nil"/>
          <w:right w:val="nil"/>
          <w:between w:val="nil"/>
          <w:bar w:val="nil"/>
        </w:pBdr>
        <w:spacing w:before="0" w:after="240"/>
        <w:rPr>
          <w:rFonts w:eastAsia="Arial Unicode MS"/>
          <w:noProof/>
        </w:rPr>
      </w:pPr>
      <w:r w:rsidRPr="004F6DAA">
        <w:rPr>
          <w:noProof/>
        </w:rPr>
        <w:t>Wniosek ogłoszono po raz pierwszy</w:t>
      </w:r>
      <w:r w:rsidR="00062BFA" w:rsidRPr="004F6DAA">
        <w:rPr>
          <w:noProof/>
        </w:rPr>
        <w:t xml:space="preserve"> w</w:t>
      </w:r>
      <w:r w:rsidR="00062BFA">
        <w:rPr>
          <w:noProof/>
        </w:rPr>
        <w:t> </w:t>
      </w:r>
      <w:r w:rsidR="00062BFA" w:rsidRPr="004F6DAA">
        <w:rPr>
          <w:b/>
          <w:bCs/>
          <w:noProof/>
        </w:rPr>
        <w:t>kom</w:t>
      </w:r>
      <w:r w:rsidRPr="004F6DAA">
        <w:rPr>
          <w:b/>
          <w:bCs/>
          <w:noProof/>
        </w:rPr>
        <w:t>unikacie Komisji</w:t>
      </w:r>
      <w:r w:rsidR="00062BFA" w:rsidRPr="004F6DAA">
        <w:rPr>
          <w:b/>
          <w:bCs/>
          <w:noProof/>
        </w:rPr>
        <w:t xml:space="preserve"> z</w:t>
      </w:r>
      <w:r w:rsidR="00062BFA">
        <w:rPr>
          <w:b/>
          <w:bCs/>
          <w:noProof/>
        </w:rPr>
        <w:t> </w:t>
      </w:r>
      <w:r w:rsidR="00062BFA" w:rsidRPr="004F6DAA">
        <w:rPr>
          <w:b/>
          <w:bCs/>
          <w:noProof/>
        </w:rPr>
        <w:t>2</w:t>
      </w:r>
      <w:r w:rsidRPr="004F6DAA">
        <w:rPr>
          <w:b/>
          <w:bCs/>
          <w:noProof/>
        </w:rPr>
        <w:t>0</w:t>
      </w:r>
      <w:r w:rsidRPr="00062BFA">
        <w:rPr>
          <w:b/>
          <w:bCs/>
          <w:noProof/>
        </w:rPr>
        <w:t>19</w:t>
      </w:r>
      <w:r w:rsidR="00062BFA" w:rsidRPr="00062BFA">
        <w:rPr>
          <w:b/>
          <w:bCs/>
          <w:noProof/>
        </w:rPr>
        <w:t> </w:t>
      </w:r>
      <w:r w:rsidRPr="00062BFA">
        <w:rPr>
          <w:b/>
          <w:bCs/>
          <w:noProof/>
        </w:rPr>
        <w:t>r.</w:t>
      </w:r>
      <w:r w:rsidRPr="004F6DAA">
        <w:rPr>
          <w:b/>
          <w:bCs/>
          <w:noProof/>
        </w:rPr>
        <w:t xml:space="preserve"> dotyczącym zintensyfikowania działań UE na rzecz ochrony</w:t>
      </w:r>
      <w:r w:rsidR="00062BFA" w:rsidRPr="004F6DAA">
        <w:rPr>
          <w:b/>
          <w:bCs/>
          <w:noProof/>
        </w:rPr>
        <w:t xml:space="preserve"> i</w:t>
      </w:r>
      <w:r w:rsidR="00062BFA">
        <w:rPr>
          <w:b/>
          <w:bCs/>
          <w:noProof/>
        </w:rPr>
        <w:t> </w:t>
      </w:r>
      <w:r w:rsidR="00062BFA" w:rsidRPr="004F6DAA">
        <w:rPr>
          <w:b/>
          <w:bCs/>
          <w:noProof/>
        </w:rPr>
        <w:t>odt</w:t>
      </w:r>
      <w:r w:rsidRPr="004F6DAA">
        <w:rPr>
          <w:b/>
          <w:bCs/>
          <w:noProof/>
        </w:rPr>
        <w:t>warzania światowych lasów</w:t>
      </w:r>
      <w:r w:rsidRPr="004F6DAA">
        <w:rPr>
          <w:rStyle w:val="Odwoanieprzypisudolnego"/>
          <w:rFonts w:eastAsia="Arial Unicode MS"/>
          <w:noProof/>
        </w:rPr>
        <w:footnoteReference w:id="1"/>
      </w:r>
      <w:r w:rsidRPr="004F6DAA">
        <w:rPr>
          <w:noProof/>
        </w:rPr>
        <w:t xml:space="preserve"> (zwanym dalej „komunikatem</w:t>
      </w:r>
      <w:r w:rsidR="00062BFA" w:rsidRPr="004F6DAA">
        <w:rPr>
          <w:noProof/>
        </w:rPr>
        <w:t xml:space="preserve"> z</w:t>
      </w:r>
      <w:r w:rsidR="00062BFA">
        <w:rPr>
          <w:noProof/>
        </w:rPr>
        <w:t> </w:t>
      </w:r>
      <w:r w:rsidR="00062BFA" w:rsidRPr="004F6DAA">
        <w:rPr>
          <w:noProof/>
        </w:rPr>
        <w:t>2</w:t>
      </w:r>
      <w:r w:rsidRPr="004F6DAA">
        <w:rPr>
          <w:noProof/>
        </w:rPr>
        <w:t>0</w:t>
      </w:r>
      <w:r w:rsidRPr="00062BFA">
        <w:rPr>
          <w:noProof/>
        </w:rPr>
        <w:t>19</w:t>
      </w:r>
      <w:r w:rsidR="00062BFA" w:rsidRPr="00062BFA">
        <w:rPr>
          <w:noProof/>
        </w:rPr>
        <w:t> </w:t>
      </w:r>
      <w:r w:rsidRPr="00062BFA">
        <w:rPr>
          <w:noProof/>
        </w:rPr>
        <w:t>r.</w:t>
      </w:r>
      <w:r w:rsidRPr="004F6DAA">
        <w:rPr>
          <w:noProof/>
        </w:rPr>
        <w:t>”),</w:t>
      </w:r>
      <w:r w:rsidR="00062BFA" w:rsidRPr="004F6DAA">
        <w:rPr>
          <w:noProof/>
        </w:rPr>
        <w:t xml:space="preserve"> w</w:t>
      </w:r>
      <w:r w:rsidR="00062BFA">
        <w:rPr>
          <w:noProof/>
        </w:rPr>
        <w:t> </w:t>
      </w:r>
      <w:r w:rsidR="00062BFA" w:rsidRPr="004F6DAA">
        <w:rPr>
          <w:noProof/>
        </w:rPr>
        <w:t>któ</w:t>
      </w:r>
      <w:r w:rsidRPr="004F6DAA">
        <w:rPr>
          <w:noProof/>
        </w:rPr>
        <w:t>rym Komisja zobowiązała się, że dokona oceny „dodatkowych środków regulacyjnych</w:t>
      </w:r>
      <w:r w:rsidR="00062BFA" w:rsidRPr="004F6DAA">
        <w:rPr>
          <w:noProof/>
        </w:rPr>
        <w:t xml:space="preserve"> i</w:t>
      </w:r>
      <w:r w:rsidR="00062BFA">
        <w:rPr>
          <w:noProof/>
        </w:rPr>
        <w:t> </w:t>
      </w:r>
      <w:r w:rsidR="00062BFA" w:rsidRPr="004F6DAA">
        <w:rPr>
          <w:noProof/>
        </w:rPr>
        <w:t>nie</w:t>
      </w:r>
      <w:r w:rsidRPr="004F6DAA">
        <w:rPr>
          <w:noProof/>
        </w:rPr>
        <w:t>regulacyjnych po stronie popytu służących zapewnieniu równych szans</w:t>
      </w:r>
      <w:r w:rsidR="00062BFA" w:rsidRPr="004F6DAA">
        <w:rPr>
          <w:noProof/>
        </w:rPr>
        <w:t xml:space="preserve"> i</w:t>
      </w:r>
      <w:r w:rsidR="00062BFA">
        <w:rPr>
          <w:noProof/>
        </w:rPr>
        <w:t> </w:t>
      </w:r>
      <w:r w:rsidR="00062BFA" w:rsidRPr="004F6DAA">
        <w:rPr>
          <w:noProof/>
        </w:rPr>
        <w:t>wsp</w:t>
      </w:r>
      <w:r w:rsidRPr="004F6DAA">
        <w:rPr>
          <w:noProof/>
        </w:rPr>
        <w:t>ólnego rozumienia łańcuchów dostaw niepowodujących wylesiania, która to ocena ma na celu zwiększenie przejrzystości łańcucha dostaw</w:t>
      </w:r>
      <w:r w:rsidR="00062BFA" w:rsidRPr="004F6DAA">
        <w:rPr>
          <w:noProof/>
        </w:rPr>
        <w:t xml:space="preserve"> i</w:t>
      </w:r>
      <w:r w:rsidR="00062BFA">
        <w:rPr>
          <w:noProof/>
        </w:rPr>
        <w:t> </w:t>
      </w:r>
      <w:r w:rsidR="00062BFA" w:rsidRPr="004F6DAA">
        <w:rPr>
          <w:noProof/>
        </w:rPr>
        <w:t>zmi</w:t>
      </w:r>
      <w:r w:rsidRPr="004F6DAA">
        <w:rPr>
          <w:noProof/>
        </w:rPr>
        <w:t>nimalizowanie ryzyka wylesiania</w:t>
      </w:r>
      <w:r w:rsidR="00062BFA" w:rsidRPr="004F6DAA">
        <w:rPr>
          <w:noProof/>
        </w:rPr>
        <w:t xml:space="preserve"> i</w:t>
      </w:r>
      <w:r w:rsidR="00062BFA">
        <w:rPr>
          <w:noProof/>
        </w:rPr>
        <w:t> </w:t>
      </w:r>
      <w:r w:rsidR="00062BFA" w:rsidRPr="004F6DAA">
        <w:rPr>
          <w:noProof/>
        </w:rPr>
        <w:t>deg</w:t>
      </w:r>
      <w:r w:rsidRPr="004F6DAA">
        <w:rPr>
          <w:noProof/>
        </w:rPr>
        <w:t>radacji lasów związanego</w:t>
      </w:r>
      <w:r w:rsidR="00062BFA" w:rsidRPr="004F6DAA">
        <w:rPr>
          <w:noProof/>
        </w:rPr>
        <w:t xml:space="preserve"> z</w:t>
      </w:r>
      <w:r w:rsidR="00062BFA">
        <w:rPr>
          <w:noProof/>
        </w:rPr>
        <w:t> </w:t>
      </w:r>
      <w:r w:rsidR="00062BFA" w:rsidRPr="004F6DAA">
        <w:rPr>
          <w:noProof/>
        </w:rPr>
        <w:t>prz</w:t>
      </w:r>
      <w:r w:rsidRPr="004F6DAA">
        <w:rPr>
          <w:noProof/>
        </w:rPr>
        <w:t>ywozem towarów w UE”. Zobowiązanie to potwierdzono następnie</w:t>
      </w:r>
      <w:r w:rsidR="00062BFA" w:rsidRPr="004F6DAA">
        <w:rPr>
          <w:noProof/>
        </w:rPr>
        <w:t xml:space="preserve"> w</w:t>
      </w:r>
      <w:r w:rsidR="00062BFA">
        <w:rPr>
          <w:noProof/>
        </w:rPr>
        <w:t> </w:t>
      </w:r>
      <w:r w:rsidR="00062BFA" w:rsidRPr="004F6DAA">
        <w:rPr>
          <w:noProof/>
        </w:rPr>
        <w:t>Eur</w:t>
      </w:r>
      <w:r w:rsidRPr="004F6DAA">
        <w:rPr>
          <w:noProof/>
        </w:rPr>
        <w:t>opejskim Zielonym Ładzie</w:t>
      </w:r>
      <w:commentRangeStart w:id="3"/>
      <w:r w:rsidRPr="004F6DAA">
        <w:rPr>
          <w:rStyle w:val="Odwoanieprzypisudolnego"/>
          <w:rFonts w:eastAsia="Arial Unicode MS"/>
          <w:noProof/>
        </w:rPr>
        <w:footnoteReference w:id="2"/>
      </w:r>
      <w:r w:rsidRPr="004F6DAA">
        <w:rPr>
          <w:noProof/>
        </w:rPr>
        <w:t>,</w:t>
      </w:r>
      <w:commentRangeEnd w:id="3"/>
      <w:r w:rsidR="00BB4801">
        <w:rPr>
          <w:rStyle w:val="Odwoaniedokomentarza"/>
          <w:rFonts w:eastAsia="Times New Roman"/>
          <w:lang w:eastAsia="en-GB"/>
        </w:rPr>
        <w:commentReference w:id="3"/>
      </w:r>
      <w:r w:rsidRPr="004F6DAA">
        <w:rPr>
          <w:noProof/>
        </w:rPr>
        <w:t xml:space="preserve"> jak również</w:t>
      </w:r>
      <w:r w:rsidR="00062BFA" w:rsidRPr="004F6DAA">
        <w:rPr>
          <w:noProof/>
        </w:rPr>
        <w:t xml:space="preserve"> w</w:t>
      </w:r>
      <w:r w:rsidR="00062BFA">
        <w:rPr>
          <w:noProof/>
        </w:rPr>
        <w:t> </w:t>
      </w:r>
      <w:r w:rsidR="00062BFA" w:rsidRPr="004F6DAA">
        <w:rPr>
          <w:noProof/>
        </w:rPr>
        <w:t>uni</w:t>
      </w:r>
      <w:r w:rsidRPr="004F6DAA">
        <w:rPr>
          <w:noProof/>
        </w:rPr>
        <w:t>jnej strategii na rzecz bioróżnorodności 2030</w:t>
      </w:r>
      <w:r w:rsidRPr="004F6DAA">
        <w:rPr>
          <w:rStyle w:val="Odwoanieprzypisudolnego"/>
          <w:rFonts w:eastAsia="Arial Unicode MS"/>
          <w:noProof/>
        </w:rPr>
        <w:footnoteReference w:id="3"/>
      </w:r>
      <w:r w:rsidR="004F6DAA">
        <w:rPr>
          <w:noProof/>
        </w:rPr>
        <w:t xml:space="preserve"> oraz strategii „O</w:t>
      </w:r>
      <w:r w:rsidRPr="004F6DAA">
        <w:rPr>
          <w:noProof/>
        </w:rPr>
        <w:t>d pola do stołu”</w:t>
      </w:r>
      <w:r w:rsidRPr="004F6DAA">
        <w:rPr>
          <w:rStyle w:val="Odwoanieprzypisudolnego"/>
          <w:rFonts w:eastAsia="Arial Unicode MS"/>
          <w:noProof/>
        </w:rPr>
        <w:footnoteReference w:id="4"/>
      </w:r>
      <w:r w:rsidRPr="004F6DAA">
        <w:rPr>
          <w:noProof/>
        </w:rPr>
        <w:t>, przy czym</w:t>
      </w:r>
      <w:r w:rsidR="00062BFA" w:rsidRPr="004F6DAA">
        <w:rPr>
          <w:noProof/>
        </w:rPr>
        <w:t xml:space="preserve"> w</w:t>
      </w:r>
      <w:r w:rsidR="00062BFA">
        <w:rPr>
          <w:noProof/>
        </w:rPr>
        <w:t> </w:t>
      </w:r>
      <w:r w:rsidR="00062BFA" w:rsidRPr="004F6DAA">
        <w:rPr>
          <w:noProof/>
        </w:rPr>
        <w:t>tyc</w:t>
      </w:r>
      <w:r w:rsidRPr="004F6DAA">
        <w:rPr>
          <w:noProof/>
        </w:rPr>
        <w:t>h dwóch ostatnich dokumentach zapowiedziano przedstawienie odpowiedniego wniosku ustawodawczego</w:t>
      </w:r>
      <w:r w:rsidR="00062BFA" w:rsidRPr="004F6DAA">
        <w:rPr>
          <w:noProof/>
        </w:rPr>
        <w:t xml:space="preserve"> w</w:t>
      </w:r>
      <w:r w:rsidR="00062BFA">
        <w:rPr>
          <w:noProof/>
        </w:rPr>
        <w:t> </w:t>
      </w:r>
      <w:r w:rsidR="00062BFA" w:rsidRPr="004F6DAA">
        <w:rPr>
          <w:noProof/>
        </w:rPr>
        <w:t>2</w:t>
      </w:r>
      <w:r w:rsidRPr="004F6DAA">
        <w:rPr>
          <w:noProof/>
        </w:rPr>
        <w:t>0</w:t>
      </w:r>
      <w:r w:rsidRPr="00062BFA">
        <w:rPr>
          <w:noProof/>
        </w:rPr>
        <w:t>21</w:t>
      </w:r>
      <w:r w:rsidR="00062BFA" w:rsidRPr="00062BFA">
        <w:rPr>
          <w:noProof/>
        </w:rPr>
        <w:t> </w:t>
      </w:r>
      <w:r w:rsidRPr="00062BFA">
        <w:rPr>
          <w:noProof/>
        </w:rPr>
        <w:t>r.</w:t>
      </w:r>
      <w:r w:rsidRPr="004F6DAA">
        <w:rPr>
          <w:noProof/>
        </w:rPr>
        <w:t xml:space="preserve"> Wniosek stanowi integralną część ogólnych celów Europejskiego Zielonego Ładu</w:t>
      </w:r>
      <w:r w:rsidR="00062BFA" w:rsidRPr="004F6DAA">
        <w:rPr>
          <w:noProof/>
        </w:rPr>
        <w:t xml:space="preserve"> i</w:t>
      </w:r>
      <w:r w:rsidR="00062BFA">
        <w:rPr>
          <w:noProof/>
        </w:rPr>
        <w:t> </w:t>
      </w:r>
      <w:r w:rsidR="00062BFA" w:rsidRPr="004F6DAA">
        <w:rPr>
          <w:noProof/>
        </w:rPr>
        <w:t>wsz</w:t>
      </w:r>
      <w:r w:rsidRPr="004F6DAA">
        <w:rPr>
          <w:noProof/>
        </w:rPr>
        <w:t>ystkich inicjatyw opracowanych</w:t>
      </w:r>
      <w:r w:rsidR="00062BFA" w:rsidRPr="004F6DAA">
        <w:rPr>
          <w:noProof/>
        </w:rPr>
        <w:t xml:space="preserve"> w</w:t>
      </w:r>
      <w:r w:rsidR="00062BFA">
        <w:rPr>
          <w:noProof/>
        </w:rPr>
        <w:t> </w:t>
      </w:r>
      <w:r w:rsidR="00062BFA" w:rsidRPr="004F6DAA">
        <w:rPr>
          <w:noProof/>
        </w:rPr>
        <w:t>jeg</w:t>
      </w:r>
      <w:r w:rsidRPr="004F6DAA">
        <w:rPr>
          <w:noProof/>
        </w:rPr>
        <w:t>o ramach oraz jest</w:t>
      </w:r>
      <w:r w:rsidR="00062BFA" w:rsidRPr="004F6DAA">
        <w:rPr>
          <w:noProof/>
        </w:rPr>
        <w:t xml:space="preserve"> z</w:t>
      </w:r>
      <w:r w:rsidR="00062BFA">
        <w:rPr>
          <w:noProof/>
        </w:rPr>
        <w:t> </w:t>
      </w:r>
      <w:r w:rsidR="00062BFA" w:rsidRPr="004F6DAA">
        <w:rPr>
          <w:noProof/>
        </w:rPr>
        <w:t>nim</w:t>
      </w:r>
      <w:r w:rsidRPr="004F6DAA">
        <w:rPr>
          <w:noProof/>
        </w:rPr>
        <w:t>i spójny</w:t>
      </w:r>
      <w:r w:rsidR="00062BFA" w:rsidRPr="004F6DAA">
        <w:rPr>
          <w:noProof/>
        </w:rPr>
        <w:t>. W</w:t>
      </w:r>
      <w:r w:rsidR="00062BFA">
        <w:rPr>
          <w:noProof/>
        </w:rPr>
        <w:t> </w:t>
      </w:r>
      <w:r w:rsidR="00062BFA" w:rsidRPr="004F6DAA">
        <w:rPr>
          <w:noProof/>
        </w:rPr>
        <w:t>szc</w:t>
      </w:r>
      <w:r w:rsidRPr="004F6DAA">
        <w:rPr>
          <w:noProof/>
        </w:rPr>
        <w:t>zególności stanowi on uzupełnienie pozostałych środków zaproponowanych</w:t>
      </w:r>
      <w:r w:rsidR="00062BFA" w:rsidRPr="004F6DAA">
        <w:rPr>
          <w:noProof/>
        </w:rPr>
        <w:t xml:space="preserve"> w</w:t>
      </w:r>
      <w:r w:rsidR="00062BFA">
        <w:rPr>
          <w:noProof/>
        </w:rPr>
        <w:t> </w:t>
      </w:r>
      <w:r w:rsidR="00062BFA" w:rsidRPr="004F6DAA">
        <w:rPr>
          <w:noProof/>
        </w:rPr>
        <w:t>kom</w:t>
      </w:r>
      <w:r w:rsidRPr="004F6DAA">
        <w:rPr>
          <w:noProof/>
        </w:rPr>
        <w:t>unikacie</w:t>
      </w:r>
      <w:r w:rsidR="00062BFA" w:rsidRPr="004F6DAA">
        <w:rPr>
          <w:noProof/>
        </w:rPr>
        <w:t xml:space="preserve"> z</w:t>
      </w:r>
      <w:r w:rsidR="00062BFA">
        <w:rPr>
          <w:noProof/>
        </w:rPr>
        <w:t> </w:t>
      </w:r>
      <w:r w:rsidR="00062BFA" w:rsidRPr="004F6DAA">
        <w:rPr>
          <w:noProof/>
        </w:rPr>
        <w:t>2</w:t>
      </w:r>
      <w:r w:rsidRPr="004F6DAA">
        <w:rPr>
          <w:noProof/>
        </w:rPr>
        <w:t>0</w:t>
      </w:r>
      <w:r w:rsidRPr="00062BFA">
        <w:rPr>
          <w:noProof/>
        </w:rPr>
        <w:t>19</w:t>
      </w:r>
      <w:r w:rsidR="00062BFA" w:rsidRPr="00062BFA">
        <w:rPr>
          <w:noProof/>
        </w:rPr>
        <w:t> </w:t>
      </w:r>
      <w:r w:rsidRPr="00062BFA">
        <w:rPr>
          <w:noProof/>
        </w:rPr>
        <w:t>r.</w:t>
      </w:r>
      <w:r w:rsidRPr="004F6DAA">
        <w:rPr>
          <w:noProof/>
        </w:rPr>
        <w:t>, obejmujących</w:t>
      </w:r>
      <w:r w:rsidR="00062BFA" w:rsidRPr="004F6DAA">
        <w:rPr>
          <w:noProof/>
        </w:rPr>
        <w:t xml:space="preserve"> w</w:t>
      </w:r>
      <w:r w:rsidR="00062BFA">
        <w:rPr>
          <w:noProof/>
        </w:rPr>
        <w:t> </w:t>
      </w:r>
      <w:r w:rsidR="00062BFA" w:rsidRPr="004F6DAA">
        <w:rPr>
          <w:noProof/>
        </w:rPr>
        <w:t>szc</w:t>
      </w:r>
      <w:r w:rsidRPr="004F6DAA">
        <w:rPr>
          <w:noProof/>
        </w:rPr>
        <w:t xml:space="preserve">zególności: 1) </w:t>
      </w:r>
      <w:r w:rsidRPr="004F6DAA">
        <w:rPr>
          <w:b/>
          <w:bCs/>
          <w:noProof/>
        </w:rPr>
        <w:t>nawiązywanie partnerstw</w:t>
      </w:r>
      <w:r w:rsidR="00062BFA" w:rsidRPr="004F6DAA">
        <w:rPr>
          <w:b/>
          <w:bCs/>
          <w:noProof/>
        </w:rPr>
        <w:t xml:space="preserve"> z</w:t>
      </w:r>
      <w:r w:rsidR="00062BFA">
        <w:rPr>
          <w:b/>
          <w:bCs/>
          <w:noProof/>
        </w:rPr>
        <w:t> </w:t>
      </w:r>
      <w:r w:rsidR="00062BFA" w:rsidRPr="004F6DAA">
        <w:rPr>
          <w:b/>
          <w:bCs/>
          <w:noProof/>
        </w:rPr>
        <w:t>pań</w:t>
      </w:r>
      <w:r w:rsidRPr="004F6DAA">
        <w:rPr>
          <w:b/>
          <w:bCs/>
          <w:noProof/>
        </w:rPr>
        <w:t>stwami będącymi producentami</w:t>
      </w:r>
      <w:r w:rsidRPr="004F6DAA">
        <w:rPr>
          <w:noProof/>
        </w:rPr>
        <w:t>, aby wyeliminować pierwotne przyczyny wylesiania</w:t>
      </w:r>
      <w:r w:rsidR="00062BFA" w:rsidRPr="004F6DAA">
        <w:rPr>
          <w:noProof/>
        </w:rPr>
        <w:t xml:space="preserve"> i</w:t>
      </w:r>
      <w:r w:rsidR="00062BFA">
        <w:rPr>
          <w:noProof/>
        </w:rPr>
        <w:t> </w:t>
      </w:r>
      <w:commentRangeStart w:id="4"/>
      <w:r w:rsidR="00062BFA" w:rsidRPr="004F6DAA">
        <w:rPr>
          <w:noProof/>
        </w:rPr>
        <w:t>pro</w:t>
      </w:r>
      <w:r w:rsidRPr="004F6DAA">
        <w:rPr>
          <w:noProof/>
        </w:rPr>
        <w:t>pagować</w:t>
      </w:r>
      <w:commentRangeEnd w:id="4"/>
      <w:r w:rsidR="00ED0BFD">
        <w:rPr>
          <w:rStyle w:val="Odwoaniedokomentarza"/>
          <w:rFonts w:eastAsia="Times New Roman"/>
          <w:lang w:eastAsia="en-GB"/>
        </w:rPr>
        <w:commentReference w:id="4"/>
      </w:r>
      <w:r w:rsidRPr="004F6DAA">
        <w:rPr>
          <w:noProof/>
        </w:rPr>
        <w:t xml:space="preserve"> zrównoważoną gospodarkę leśną; oraz 2) </w:t>
      </w:r>
      <w:r w:rsidRPr="004F6DAA">
        <w:rPr>
          <w:b/>
          <w:bCs/>
          <w:noProof/>
        </w:rPr>
        <w:t>współpracę międzynarodową</w:t>
      </w:r>
      <w:r w:rsidR="00062BFA" w:rsidRPr="004F6DAA">
        <w:rPr>
          <w:b/>
          <w:bCs/>
          <w:noProof/>
        </w:rPr>
        <w:t xml:space="preserve"> z</w:t>
      </w:r>
      <w:r w:rsidR="00062BFA">
        <w:rPr>
          <w:b/>
          <w:bCs/>
          <w:noProof/>
        </w:rPr>
        <w:t> </w:t>
      </w:r>
      <w:r w:rsidR="00062BFA" w:rsidRPr="004F6DAA">
        <w:rPr>
          <w:b/>
          <w:bCs/>
          <w:noProof/>
        </w:rPr>
        <w:t>pań</w:t>
      </w:r>
      <w:r w:rsidRPr="004F6DAA">
        <w:rPr>
          <w:b/>
          <w:bCs/>
          <w:noProof/>
        </w:rPr>
        <w:t>stwami będącymi największymi konsumentami</w:t>
      </w:r>
      <w:r w:rsidRPr="004F6DAA">
        <w:rPr>
          <w:noProof/>
        </w:rPr>
        <w:t>, aby zminimalizować zjawisko ucieczki emisji oraz propagować przyjmowanie podobnych środków mających na celu unikanie wprowadzania do obrotu produktów</w:t>
      </w:r>
      <w:r w:rsidR="00062BFA" w:rsidRPr="004F6DAA">
        <w:rPr>
          <w:noProof/>
        </w:rPr>
        <w:t xml:space="preserve"> z</w:t>
      </w:r>
      <w:r w:rsidR="00062BFA">
        <w:rPr>
          <w:noProof/>
        </w:rPr>
        <w:t> </w:t>
      </w:r>
      <w:r w:rsidR="00062BFA" w:rsidRPr="004F6DAA">
        <w:rPr>
          <w:noProof/>
        </w:rPr>
        <w:t>łań</w:t>
      </w:r>
      <w:r w:rsidRPr="004F6DAA">
        <w:rPr>
          <w:noProof/>
        </w:rPr>
        <w:t>cuchów dostaw,</w:t>
      </w:r>
      <w:r w:rsidR="00062BFA" w:rsidRPr="004F6DAA">
        <w:rPr>
          <w:noProof/>
        </w:rPr>
        <w:t xml:space="preserve"> z</w:t>
      </w:r>
      <w:r w:rsidR="00062BFA">
        <w:rPr>
          <w:noProof/>
        </w:rPr>
        <w:t> </w:t>
      </w:r>
      <w:r w:rsidR="00062BFA" w:rsidRPr="004F6DAA">
        <w:rPr>
          <w:noProof/>
        </w:rPr>
        <w:t>któ</w:t>
      </w:r>
      <w:r w:rsidRPr="004F6DAA">
        <w:rPr>
          <w:noProof/>
        </w:rPr>
        <w:t>rymi wiążą się wylesianie</w:t>
      </w:r>
      <w:r w:rsidR="00062BFA" w:rsidRPr="004F6DAA">
        <w:rPr>
          <w:noProof/>
        </w:rPr>
        <w:t xml:space="preserve"> i</w:t>
      </w:r>
      <w:r w:rsidR="00062BFA">
        <w:rPr>
          <w:noProof/>
        </w:rPr>
        <w:t> </w:t>
      </w:r>
      <w:r w:rsidR="00062BFA" w:rsidRPr="004F6DAA">
        <w:rPr>
          <w:noProof/>
        </w:rPr>
        <w:t>deg</w:t>
      </w:r>
      <w:r w:rsidRPr="004F6DAA">
        <w:rPr>
          <w:noProof/>
        </w:rPr>
        <w:t>radacja lasów.</w:t>
      </w:r>
    </w:p>
    <w:p w14:paraId="21983310" w14:textId="77777777" w:rsidR="000A54B7" w:rsidRPr="004F6DAA" w:rsidRDefault="000A54B7" w:rsidP="000A54B7">
      <w:pPr>
        <w:rPr>
          <w:rFonts w:eastAsia="Arial Unicode MS"/>
          <w:noProof/>
        </w:rPr>
      </w:pPr>
      <w:r w:rsidRPr="004F6DAA">
        <w:rPr>
          <w:noProof/>
        </w:rPr>
        <w:t>Komisja będzie kontynuowała współpracę</w:t>
      </w:r>
      <w:r w:rsidR="00062BFA" w:rsidRPr="004F6DAA">
        <w:rPr>
          <w:noProof/>
        </w:rPr>
        <w:t xml:space="preserve"> z</w:t>
      </w:r>
      <w:r w:rsidR="00062BFA">
        <w:rPr>
          <w:noProof/>
        </w:rPr>
        <w:t> </w:t>
      </w:r>
      <w:r w:rsidR="00062BFA" w:rsidRPr="004F6DAA">
        <w:rPr>
          <w:noProof/>
        </w:rPr>
        <w:t>pań</w:t>
      </w:r>
      <w:r w:rsidRPr="004F6DAA">
        <w:rPr>
          <w:noProof/>
        </w:rPr>
        <w:t>stwami będącymi producentami, oferując nowe rodzaje wsparcia</w:t>
      </w:r>
      <w:r w:rsidR="00062BFA" w:rsidRPr="004F6DAA">
        <w:rPr>
          <w:noProof/>
        </w:rPr>
        <w:t xml:space="preserve"> i</w:t>
      </w:r>
      <w:r w:rsidR="00062BFA">
        <w:rPr>
          <w:noProof/>
        </w:rPr>
        <w:t> </w:t>
      </w:r>
      <w:r w:rsidR="00062BFA" w:rsidRPr="004F6DAA">
        <w:rPr>
          <w:noProof/>
        </w:rPr>
        <w:t>zac</w:t>
      </w:r>
      <w:r w:rsidRPr="004F6DAA">
        <w:rPr>
          <w:noProof/>
        </w:rPr>
        <w:t>hęt związanych</w:t>
      </w:r>
      <w:r w:rsidR="00062BFA" w:rsidRPr="004F6DAA">
        <w:rPr>
          <w:noProof/>
        </w:rPr>
        <w:t xml:space="preserve"> z</w:t>
      </w:r>
      <w:r w:rsidR="00062BFA">
        <w:rPr>
          <w:noProof/>
        </w:rPr>
        <w:t> </w:t>
      </w:r>
      <w:r w:rsidR="00062BFA" w:rsidRPr="004F6DAA">
        <w:rPr>
          <w:noProof/>
        </w:rPr>
        <w:t>och</w:t>
      </w:r>
      <w:r w:rsidRPr="004F6DAA">
        <w:rPr>
          <w:noProof/>
        </w:rPr>
        <w:t>roną lasów, poprawą zarządzania</w:t>
      </w:r>
      <w:r w:rsidR="00062BFA" w:rsidRPr="004F6DAA">
        <w:rPr>
          <w:noProof/>
        </w:rPr>
        <w:t xml:space="preserve"> i</w:t>
      </w:r>
      <w:r w:rsidR="00062BFA">
        <w:rPr>
          <w:noProof/>
        </w:rPr>
        <w:t> </w:t>
      </w:r>
      <w:r w:rsidR="00062BFA" w:rsidRPr="004F6DAA">
        <w:rPr>
          <w:noProof/>
        </w:rPr>
        <w:t>pra</w:t>
      </w:r>
      <w:r w:rsidRPr="004F6DAA">
        <w:rPr>
          <w:noProof/>
        </w:rPr>
        <w:t>w własności gruntów, poprawą egzekwowania prawa</w:t>
      </w:r>
      <w:r w:rsidR="00062BFA" w:rsidRPr="004F6DAA">
        <w:rPr>
          <w:noProof/>
        </w:rPr>
        <w:t xml:space="preserve"> i</w:t>
      </w:r>
      <w:r w:rsidR="00062BFA">
        <w:rPr>
          <w:noProof/>
        </w:rPr>
        <w:t> </w:t>
      </w:r>
      <w:r w:rsidR="00062BFA" w:rsidRPr="004F6DAA">
        <w:rPr>
          <w:noProof/>
        </w:rPr>
        <w:t>pro</w:t>
      </w:r>
      <w:r w:rsidRPr="004F6DAA">
        <w:rPr>
          <w:noProof/>
        </w:rPr>
        <w:t>pagowaniem zrównoważonej gospodarki leśnej, rolnictwa odpornego na zmianę klimatu, zrównoważonej intensyfikacji</w:t>
      </w:r>
      <w:r w:rsidR="00062BFA" w:rsidRPr="004F6DAA">
        <w:rPr>
          <w:noProof/>
        </w:rPr>
        <w:t xml:space="preserve"> i</w:t>
      </w:r>
      <w:r w:rsidR="00062BFA">
        <w:rPr>
          <w:noProof/>
        </w:rPr>
        <w:t> </w:t>
      </w:r>
      <w:r w:rsidR="00062BFA" w:rsidRPr="004F6DAA">
        <w:rPr>
          <w:noProof/>
        </w:rPr>
        <w:t>dyw</w:t>
      </w:r>
      <w:r w:rsidRPr="004F6DAA">
        <w:rPr>
          <w:noProof/>
        </w:rPr>
        <w:t xml:space="preserve">ersyfikacji, agroekologii oraz systemu rolno-leśnego. </w:t>
      </w:r>
    </w:p>
    <w:p w14:paraId="66EBACCD" w14:textId="77777777" w:rsidR="000A54B7" w:rsidRPr="004F6DAA" w:rsidRDefault="000A54B7" w:rsidP="000A54B7">
      <w:pPr>
        <w:spacing w:before="0" w:after="240"/>
        <w:rPr>
          <w:rFonts w:eastAsia="Arial Unicode MS"/>
          <w:noProof/>
        </w:rPr>
      </w:pPr>
      <w:r w:rsidRPr="004F6DAA">
        <w:rPr>
          <w:noProof/>
        </w:rPr>
        <w:t>W istniejących ramach legislacyjnych UE problem wylesiania uwzględniono jedynie częściowo. Plan działania UE na rzecz egzekwowania prawa, zarządzania</w:t>
      </w:r>
      <w:r w:rsidR="00062BFA" w:rsidRPr="004F6DAA">
        <w:rPr>
          <w:noProof/>
        </w:rPr>
        <w:t xml:space="preserve"> i</w:t>
      </w:r>
      <w:r w:rsidR="00062BFA">
        <w:rPr>
          <w:noProof/>
        </w:rPr>
        <w:t> </w:t>
      </w:r>
      <w:r w:rsidR="00062BFA" w:rsidRPr="004F6DAA">
        <w:rPr>
          <w:noProof/>
        </w:rPr>
        <w:t>han</w:t>
      </w:r>
      <w:r w:rsidRPr="004F6DAA">
        <w:rPr>
          <w:noProof/>
        </w:rPr>
        <w:t>dlu</w:t>
      </w:r>
      <w:r w:rsidR="00062BFA" w:rsidRPr="004F6DAA">
        <w:rPr>
          <w:noProof/>
        </w:rPr>
        <w:t xml:space="preserve"> w</w:t>
      </w:r>
      <w:r w:rsidR="00062BFA">
        <w:rPr>
          <w:noProof/>
        </w:rPr>
        <w:t> </w:t>
      </w:r>
      <w:r w:rsidR="00062BFA" w:rsidRPr="004F6DAA">
        <w:rPr>
          <w:noProof/>
        </w:rPr>
        <w:t>dzi</w:t>
      </w:r>
      <w:r w:rsidRPr="004F6DAA">
        <w:rPr>
          <w:noProof/>
        </w:rPr>
        <w:t>edzinie leśnictwa (</w:t>
      </w:r>
      <w:r w:rsidRPr="004F6DAA">
        <w:rPr>
          <w:b/>
          <w:noProof/>
          <w:szCs w:val="24"/>
        </w:rPr>
        <w:t>FLEGT)</w:t>
      </w:r>
      <w:r w:rsidR="00062BFA" w:rsidRPr="004F6DAA">
        <w:rPr>
          <w:b/>
          <w:noProof/>
          <w:szCs w:val="24"/>
        </w:rPr>
        <w:t xml:space="preserve"> z</w:t>
      </w:r>
      <w:r w:rsidR="00062BFA">
        <w:rPr>
          <w:b/>
          <w:noProof/>
          <w:szCs w:val="24"/>
        </w:rPr>
        <w:t> </w:t>
      </w:r>
      <w:r w:rsidR="00062BFA" w:rsidRPr="004F6DAA">
        <w:rPr>
          <w:b/>
          <w:noProof/>
          <w:szCs w:val="24"/>
        </w:rPr>
        <w:t>2</w:t>
      </w:r>
      <w:r w:rsidRPr="004F6DAA">
        <w:rPr>
          <w:b/>
          <w:noProof/>
          <w:szCs w:val="24"/>
        </w:rPr>
        <w:t>0</w:t>
      </w:r>
      <w:r w:rsidRPr="00062BFA">
        <w:rPr>
          <w:b/>
          <w:noProof/>
          <w:szCs w:val="24"/>
        </w:rPr>
        <w:t>03</w:t>
      </w:r>
      <w:r w:rsidR="00062BFA" w:rsidRPr="00062BFA">
        <w:rPr>
          <w:b/>
          <w:noProof/>
          <w:szCs w:val="24"/>
        </w:rPr>
        <w:t> </w:t>
      </w:r>
      <w:r w:rsidRPr="00062BFA">
        <w:rPr>
          <w:b/>
          <w:noProof/>
          <w:szCs w:val="24"/>
        </w:rPr>
        <w:t>r.</w:t>
      </w:r>
      <w:r w:rsidRPr="004F6DAA">
        <w:rPr>
          <w:rStyle w:val="Odwoanieprzypisudolnego"/>
          <w:rFonts w:eastAsia="Times New Roman"/>
          <w:noProof/>
          <w:szCs w:val="24"/>
        </w:rPr>
        <w:footnoteReference w:id="5"/>
      </w:r>
      <w:r w:rsidRPr="004F6DAA">
        <w:rPr>
          <w:noProof/>
        </w:rPr>
        <w:t xml:space="preserve"> stanowi kluczowy element polityki UE</w:t>
      </w:r>
      <w:r w:rsidR="00062BFA" w:rsidRPr="004F6DAA">
        <w:rPr>
          <w:noProof/>
        </w:rPr>
        <w:t xml:space="preserve"> w</w:t>
      </w:r>
      <w:r w:rsidR="00062BFA">
        <w:rPr>
          <w:noProof/>
        </w:rPr>
        <w:t> </w:t>
      </w:r>
      <w:r w:rsidR="00062BFA" w:rsidRPr="004F6DAA">
        <w:rPr>
          <w:noProof/>
        </w:rPr>
        <w:t>zak</w:t>
      </w:r>
      <w:r w:rsidRPr="004F6DAA">
        <w:rPr>
          <w:noProof/>
        </w:rPr>
        <w:t>resie zwalczania nielegalnego pozyskiwania drewna</w:t>
      </w:r>
      <w:r w:rsidR="00062BFA" w:rsidRPr="004F6DAA">
        <w:rPr>
          <w:noProof/>
        </w:rPr>
        <w:t xml:space="preserve"> i</w:t>
      </w:r>
      <w:r w:rsidR="00062BFA">
        <w:rPr>
          <w:noProof/>
        </w:rPr>
        <w:t> </w:t>
      </w:r>
      <w:r w:rsidR="00062BFA" w:rsidRPr="004F6DAA">
        <w:rPr>
          <w:noProof/>
        </w:rPr>
        <w:t>pow</w:t>
      </w:r>
      <w:r w:rsidRPr="004F6DAA">
        <w:rPr>
          <w:noProof/>
        </w:rPr>
        <w:t>iązanego</w:t>
      </w:r>
      <w:r w:rsidR="00062BFA" w:rsidRPr="004F6DAA">
        <w:rPr>
          <w:noProof/>
        </w:rPr>
        <w:t xml:space="preserve"> z</w:t>
      </w:r>
      <w:r w:rsidR="00062BFA">
        <w:rPr>
          <w:noProof/>
        </w:rPr>
        <w:t> </w:t>
      </w:r>
      <w:r w:rsidR="00062BFA" w:rsidRPr="004F6DAA">
        <w:rPr>
          <w:noProof/>
        </w:rPr>
        <w:t>nim</w:t>
      </w:r>
      <w:r w:rsidRPr="004F6DAA">
        <w:rPr>
          <w:noProof/>
        </w:rPr>
        <w:t xml:space="preserve"> handlu</w:t>
      </w:r>
      <w:commentRangeStart w:id="5"/>
      <w:r w:rsidRPr="004F6DAA">
        <w:rPr>
          <w:noProof/>
        </w:rPr>
        <w:t>.</w:t>
      </w:r>
      <w:commentRangeEnd w:id="5"/>
      <w:r w:rsidR="00CF44EE">
        <w:rPr>
          <w:rStyle w:val="Odwoaniedokomentarza"/>
          <w:rFonts w:eastAsia="Times New Roman"/>
          <w:lang w:eastAsia="en-GB"/>
        </w:rPr>
        <w:commentReference w:id="5"/>
      </w:r>
      <w:r w:rsidRPr="004F6DAA">
        <w:rPr>
          <w:noProof/>
        </w:rPr>
        <w:t xml:space="preserve"> Chociaż</w:t>
      </w:r>
      <w:r w:rsidR="00062BFA" w:rsidRPr="004F6DAA">
        <w:rPr>
          <w:noProof/>
        </w:rPr>
        <w:t xml:space="preserve"> w</w:t>
      </w:r>
      <w:r w:rsidR="00062BFA">
        <w:rPr>
          <w:noProof/>
        </w:rPr>
        <w:t> </w:t>
      </w:r>
      <w:r w:rsidR="00062BFA" w:rsidRPr="004F6DAA">
        <w:rPr>
          <w:b/>
          <w:noProof/>
          <w:szCs w:val="24"/>
        </w:rPr>
        <w:t>pla</w:t>
      </w:r>
      <w:r w:rsidRPr="004F6DAA">
        <w:rPr>
          <w:b/>
          <w:noProof/>
          <w:szCs w:val="24"/>
        </w:rPr>
        <w:t>nie działania FLEGT odniesiono się do problemu nielegalnego pozyskiwania drewna</w:t>
      </w:r>
      <w:r w:rsidR="00062BFA" w:rsidRPr="004F6DAA">
        <w:rPr>
          <w:b/>
          <w:noProof/>
          <w:szCs w:val="24"/>
        </w:rPr>
        <w:t xml:space="preserve"> i</w:t>
      </w:r>
      <w:r w:rsidR="00062BFA">
        <w:rPr>
          <w:b/>
          <w:noProof/>
          <w:szCs w:val="24"/>
        </w:rPr>
        <w:t> </w:t>
      </w:r>
      <w:r w:rsidR="00062BFA" w:rsidRPr="004F6DAA">
        <w:rPr>
          <w:b/>
          <w:noProof/>
          <w:szCs w:val="24"/>
        </w:rPr>
        <w:t>pow</w:t>
      </w:r>
      <w:r w:rsidRPr="004F6DAA">
        <w:rPr>
          <w:b/>
          <w:noProof/>
          <w:szCs w:val="24"/>
        </w:rPr>
        <w:t>iązanego</w:t>
      </w:r>
      <w:r w:rsidR="00062BFA" w:rsidRPr="004F6DAA">
        <w:rPr>
          <w:b/>
          <w:noProof/>
          <w:szCs w:val="24"/>
        </w:rPr>
        <w:t xml:space="preserve"> z</w:t>
      </w:r>
      <w:r w:rsidR="00062BFA">
        <w:rPr>
          <w:b/>
          <w:noProof/>
          <w:szCs w:val="24"/>
        </w:rPr>
        <w:t> </w:t>
      </w:r>
      <w:r w:rsidR="00062BFA" w:rsidRPr="004F6DAA">
        <w:rPr>
          <w:b/>
          <w:noProof/>
          <w:szCs w:val="24"/>
        </w:rPr>
        <w:t>nim</w:t>
      </w:r>
      <w:r w:rsidRPr="004F6DAA">
        <w:rPr>
          <w:b/>
          <w:noProof/>
          <w:szCs w:val="24"/>
        </w:rPr>
        <w:t xml:space="preserve"> handlu, nie zajęto się samym problemem wylesiania.</w:t>
      </w:r>
      <w:r w:rsidRPr="004F6DAA">
        <w:rPr>
          <w:noProof/>
        </w:rPr>
        <w:t xml:space="preserve"> Kluczowym elementem planu działania FLEGT jest dobrowolny program służący zapewnieniu, aby do UE przywożone było wyłącznie legalnie pozyskane drewno</w:t>
      </w:r>
      <w:r w:rsidR="00062BFA" w:rsidRPr="004F6DAA">
        <w:rPr>
          <w:noProof/>
        </w:rPr>
        <w:t xml:space="preserve"> z</w:t>
      </w:r>
      <w:r w:rsidR="00062BFA">
        <w:rPr>
          <w:noProof/>
        </w:rPr>
        <w:t> </w:t>
      </w:r>
      <w:r w:rsidR="00062BFA" w:rsidRPr="004F6DAA">
        <w:rPr>
          <w:noProof/>
        </w:rPr>
        <w:t>pań</w:t>
      </w:r>
      <w:r w:rsidRPr="004F6DAA">
        <w:rPr>
          <w:noProof/>
        </w:rPr>
        <w:t>stw, które zgodziły się wziąć udział we wspomnianym programie. Wewnętrzne ramy prawne UE dotyczące tego programu stanowi rozporządzenie</w:t>
      </w:r>
      <w:r w:rsidR="00062BFA" w:rsidRPr="004F6DAA">
        <w:rPr>
          <w:noProof/>
        </w:rPr>
        <w:t xml:space="preserve"> w</w:t>
      </w:r>
      <w:r w:rsidR="00062BFA">
        <w:rPr>
          <w:noProof/>
        </w:rPr>
        <w:t> </w:t>
      </w:r>
      <w:r w:rsidR="00062BFA" w:rsidRPr="004F6DAA">
        <w:rPr>
          <w:noProof/>
        </w:rPr>
        <w:t>spr</w:t>
      </w:r>
      <w:r w:rsidRPr="004F6DAA">
        <w:rPr>
          <w:noProof/>
        </w:rPr>
        <w:t>awie egzekwowania prawa, zarządzania</w:t>
      </w:r>
      <w:r w:rsidR="00062BFA" w:rsidRPr="004F6DAA">
        <w:rPr>
          <w:noProof/>
        </w:rPr>
        <w:t xml:space="preserve"> i</w:t>
      </w:r>
      <w:r w:rsidR="00062BFA">
        <w:rPr>
          <w:noProof/>
        </w:rPr>
        <w:t> </w:t>
      </w:r>
      <w:r w:rsidR="00062BFA" w:rsidRPr="004F6DAA">
        <w:rPr>
          <w:noProof/>
        </w:rPr>
        <w:t>han</w:t>
      </w:r>
      <w:r w:rsidRPr="004F6DAA">
        <w:rPr>
          <w:noProof/>
        </w:rPr>
        <w:t>dlu</w:t>
      </w:r>
      <w:r w:rsidR="00062BFA" w:rsidRPr="004F6DAA">
        <w:rPr>
          <w:noProof/>
        </w:rPr>
        <w:t xml:space="preserve"> w</w:t>
      </w:r>
      <w:r w:rsidR="00062BFA">
        <w:rPr>
          <w:noProof/>
        </w:rPr>
        <w:t> </w:t>
      </w:r>
      <w:r w:rsidR="00062BFA" w:rsidRPr="004F6DAA">
        <w:rPr>
          <w:noProof/>
        </w:rPr>
        <w:t>dzi</w:t>
      </w:r>
      <w:r w:rsidRPr="004F6DAA">
        <w:rPr>
          <w:noProof/>
        </w:rPr>
        <w:t>edzinie leśnictwa (</w:t>
      </w:r>
      <w:r w:rsidRPr="004F6DAA">
        <w:rPr>
          <w:b/>
          <w:noProof/>
          <w:szCs w:val="24"/>
        </w:rPr>
        <w:t>„rozporządzenie FLEGT”</w:t>
      </w:r>
      <w:r w:rsidRPr="004F6DAA">
        <w:rPr>
          <w:noProof/>
        </w:rPr>
        <w:t>)</w:t>
      </w:r>
      <w:r w:rsidRPr="004F6DAA">
        <w:rPr>
          <w:rStyle w:val="Odwoanieprzypisudolnego"/>
          <w:rFonts w:eastAsia="Times New Roman"/>
          <w:noProof/>
          <w:szCs w:val="24"/>
        </w:rPr>
        <w:footnoteReference w:id="6"/>
      </w:r>
      <w:r w:rsidRPr="004F6DAA">
        <w:rPr>
          <w:noProof/>
        </w:rPr>
        <w:t>,</w:t>
      </w:r>
      <w:r w:rsidR="00062BFA" w:rsidRPr="004F6DAA">
        <w:rPr>
          <w:noProof/>
        </w:rPr>
        <w:t xml:space="preserve"> w</w:t>
      </w:r>
      <w:r w:rsidR="00062BFA">
        <w:rPr>
          <w:noProof/>
        </w:rPr>
        <w:t> </w:t>
      </w:r>
      <w:r w:rsidR="00062BFA" w:rsidRPr="004F6DAA">
        <w:rPr>
          <w:noProof/>
        </w:rPr>
        <w:t>któ</w:t>
      </w:r>
      <w:r w:rsidRPr="004F6DAA">
        <w:rPr>
          <w:noProof/>
        </w:rPr>
        <w:t>rym ustanowiono system zezwoleń będący podstawą umów</w:t>
      </w:r>
      <w:r w:rsidR="00062BFA" w:rsidRPr="004F6DAA">
        <w:rPr>
          <w:noProof/>
        </w:rPr>
        <w:t xml:space="preserve"> o</w:t>
      </w:r>
      <w:r w:rsidR="00062BFA">
        <w:rPr>
          <w:noProof/>
        </w:rPr>
        <w:t> </w:t>
      </w:r>
      <w:r w:rsidR="00062BFA" w:rsidRPr="004F6DAA">
        <w:rPr>
          <w:noProof/>
        </w:rPr>
        <w:t>dob</w:t>
      </w:r>
      <w:r w:rsidRPr="004F6DAA">
        <w:rPr>
          <w:noProof/>
        </w:rPr>
        <w:t xml:space="preserve">rowolnym partnerstwie. Kolejnym kluczowym elementem planu działania FLEGT jest </w:t>
      </w:r>
      <w:r w:rsidRPr="004F6DAA">
        <w:rPr>
          <w:b/>
          <w:noProof/>
          <w:szCs w:val="24"/>
        </w:rPr>
        <w:t>rozporządzenie UE</w:t>
      </w:r>
      <w:r w:rsidR="00062BFA" w:rsidRPr="004F6DAA">
        <w:rPr>
          <w:b/>
          <w:noProof/>
          <w:szCs w:val="24"/>
        </w:rPr>
        <w:t xml:space="preserve"> w</w:t>
      </w:r>
      <w:r w:rsidR="00062BFA">
        <w:rPr>
          <w:b/>
          <w:noProof/>
          <w:szCs w:val="24"/>
        </w:rPr>
        <w:t> </w:t>
      </w:r>
      <w:r w:rsidR="00062BFA" w:rsidRPr="004F6DAA">
        <w:rPr>
          <w:b/>
          <w:noProof/>
          <w:szCs w:val="24"/>
        </w:rPr>
        <w:t>spr</w:t>
      </w:r>
      <w:r w:rsidRPr="004F6DAA">
        <w:rPr>
          <w:b/>
          <w:noProof/>
          <w:szCs w:val="24"/>
        </w:rPr>
        <w:t>awie drewna</w:t>
      </w:r>
      <w:r w:rsidRPr="004F6DAA">
        <w:rPr>
          <w:rStyle w:val="Odwoanieprzypisudolnego"/>
          <w:rFonts w:eastAsia="Times New Roman"/>
          <w:noProof/>
          <w:szCs w:val="24"/>
        </w:rPr>
        <w:footnoteReference w:id="7"/>
      </w:r>
      <w:r w:rsidRPr="004F6DAA">
        <w:rPr>
          <w:noProof/>
        </w:rPr>
        <w:t>,</w:t>
      </w:r>
      <w:r w:rsidR="00062BFA" w:rsidRPr="004F6DAA">
        <w:rPr>
          <w:noProof/>
        </w:rPr>
        <w:t xml:space="preserve"> w</w:t>
      </w:r>
      <w:r w:rsidR="00062BFA">
        <w:rPr>
          <w:noProof/>
        </w:rPr>
        <w:t> </w:t>
      </w:r>
      <w:r w:rsidR="00062BFA" w:rsidRPr="004F6DAA">
        <w:rPr>
          <w:noProof/>
        </w:rPr>
        <w:t>któ</w:t>
      </w:r>
      <w:r w:rsidRPr="004F6DAA">
        <w:rPr>
          <w:noProof/>
        </w:rPr>
        <w:t>rym ustanowiono zakaz wprowadzania do obrotu w UE nielegalnie pozyskanego drewna</w:t>
      </w:r>
      <w:r w:rsidR="00062BFA" w:rsidRPr="004F6DAA">
        <w:rPr>
          <w:noProof/>
        </w:rPr>
        <w:t xml:space="preserve"> i</w:t>
      </w:r>
      <w:r w:rsidR="00062BFA">
        <w:rPr>
          <w:noProof/>
        </w:rPr>
        <w:t> </w:t>
      </w:r>
      <w:r w:rsidR="00062BFA" w:rsidRPr="004F6DAA">
        <w:rPr>
          <w:noProof/>
        </w:rPr>
        <w:t>pro</w:t>
      </w:r>
      <w:r w:rsidRPr="004F6DAA">
        <w:rPr>
          <w:noProof/>
        </w:rPr>
        <w:t>duktów</w:t>
      </w:r>
      <w:r w:rsidR="00062BFA" w:rsidRPr="004F6DAA">
        <w:rPr>
          <w:noProof/>
        </w:rPr>
        <w:t xml:space="preserve"> z</w:t>
      </w:r>
      <w:r w:rsidR="00062BFA">
        <w:rPr>
          <w:noProof/>
        </w:rPr>
        <w:t> </w:t>
      </w:r>
      <w:r w:rsidR="00062BFA" w:rsidRPr="004F6DAA">
        <w:rPr>
          <w:noProof/>
        </w:rPr>
        <w:t>tak</w:t>
      </w:r>
      <w:r w:rsidRPr="004F6DAA">
        <w:rPr>
          <w:noProof/>
        </w:rPr>
        <w:t>iego drewna oraz określono obowiązki dla podmiotów wprowadzających po raz pierwszy drewno do obrotu. Zarówno rozporządzenie FLEGT, jak</w:t>
      </w:r>
      <w:r w:rsidR="00062BFA" w:rsidRPr="004F6DAA">
        <w:rPr>
          <w:noProof/>
        </w:rPr>
        <w:t xml:space="preserve"> i</w:t>
      </w:r>
      <w:r w:rsidR="00062BFA">
        <w:rPr>
          <w:noProof/>
        </w:rPr>
        <w:t> </w:t>
      </w:r>
      <w:r w:rsidR="00062BFA" w:rsidRPr="004F6DAA">
        <w:rPr>
          <w:noProof/>
        </w:rPr>
        <w:t>roz</w:t>
      </w:r>
      <w:r w:rsidRPr="004F6DAA">
        <w:rPr>
          <w:noProof/>
        </w:rPr>
        <w:t>porządzenie</w:t>
      </w:r>
      <w:r w:rsidR="00062BFA" w:rsidRPr="004F6DAA">
        <w:rPr>
          <w:noProof/>
        </w:rPr>
        <w:t xml:space="preserve"> w</w:t>
      </w:r>
      <w:r w:rsidR="00062BFA">
        <w:rPr>
          <w:noProof/>
        </w:rPr>
        <w:t> </w:t>
      </w:r>
      <w:r w:rsidR="00062BFA" w:rsidRPr="004F6DAA">
        <w:rPr>
          <w:noProof/>
        </w:rPr>
        <w:t>spr</w:t>
      </w:r>
      <w:r w:rsidRPr="004F6DAA">
        <w:rPr>
          <w:noProof/>
        </w:rPr>
        <w:t>awie drewna poddano ocenie adekwatności,</w:t>
      </w:r>
      <w:r w:rsidR="00062BFA" w:rsidRPr="004F6DAA">
        <w:rPr>
          <w:noProof/>
        </w:rPr>
        <w:t xml:space="preserve"> a</w:t>
      </w:r>
      <w:r w:rsidR="00062BFA">
        <w:rPr>
          <w:noProof/>
        </w:rPr>
        <w:t> </w:t>
      </w:r>
      <w:r w:rsidR="00062BFA" w:rsidRPr="004F6DAA">
        <w:rPr>
          <w:noProof/>
        </w:rPr>
        <w:t>war</w:t>
      </w:r>
      <w:r w:rsidRPr="004F6DAA">
        <w:rPr>
          <w:noProof/>
        </w:rPr>
        <w:t>ianty strategiczne przedstawione</w:t>
      </w:r>
      <w:r w:rsidR="00062BFA" w:rsidRPr="004F6DAA">
        <w:rPr>
          <w:noProof/>
        </w:rPr>
        <w:t xml:space="preserve"> w</w:t>
      </w:r>
      <w:r w:rsidR="00062BFA">
        <w:rPr>
          <w:noProof/>
        </w:rPr>
        <w:t> </w:t>
      </w:r>
      <w:r w:rsidR="00062BFA" w:rsidRPr="004F6DAA">
        <w:rPr>
          <w:noProof/>
        </w:rPr>
        <w:t>nin</w:t>
      </w:r>
      <w:r w:rsidRPr="004F6DAA">
        <w:rPr>
          <w:noProof/>
        </w:rPr>
        <w:t>iejszym rozporządzeniu opierają się również na ustaleniach sformułowanych</w:t>
      </w:r>
      <w:r w:rsidR="00062BFA" w:rsidRPr="004F6DAA">
        <w:rPr>
          <w:noProof/>
        </w:rPr>
        <w:t xml:space="preserve"> w</w:t>
      </w:r>
      <w:r w:rsidR="00062BFA">
        <w:rPr>
          <w:noProof/>
        </w:rPr>
        <w:t> </w:t>
      </w:r>
      <w:r w:rsidR="00062BFA" w:rsidRPr="004F6DAA">
        <w:rPr>
          <w:noProof/>
        </w:rPr>
        <w:t>ram</w:t>
      </w:r>
      <w:r w:rsidRPr="004F6DAA">
        <w:rPr>
          <w:noProof/>
        </w:rPr>
        <w:t xml:space="preserve">ach oceny adekwatności. </w:t>
      </w:r>
    </w:p>
    <w:p w14:paraId="7A5112F4" w14:textId="77777777" w:rsidR="000A54B7" w:rsidRPr="004F6DAA" w:rsidRDefault="000A54B7" w:rsidP="000A54B7">
      <w:pPr>
        <w:spacing w:before="0" w:after="240"/>
        <w:rPr>
          <w:rFonts w:eastAsia="Times New Roman"/>
          <w:noProof/>
        </w:rPr>
      </w:pPr>
      <w:r w:rsidRPr="004F6DAA">
        <w:rPr>
          <w:noProof/>
        </w:rPr>
        <w:t>Na podstawie doświadczeń zdobytych</w:t>
      </w:r>
      <w:r w:rsidR="00062BFA" w:rsidRPr="004F6DAA">
        <w:rPr>
          <w:noProof/>
        </w:rPr>
        <w:t xml:space="preserve"> i</w:t>
      </w:r>
      <w:r w:rsidR="00062BFA">
        <w:rPr>
          <w:noProof/>
        </w:rPr>
        <w:t> </w:t>
      </w:r>
      <w:r w:rsidR="00062BFA" w:rsidRPr="004F6DAA">
        <w:rPr>
          <w:noProof/>
        </w:rPr>
        <w:t>wni</w:t>
      </w:r>
      <w:r w:rsidRPr="004F6DAA">
        <w:rPr>
          <w:noProof/>
        </w:rPr>
        <w:t>osków wyciągniętych</w:t>
      </w:r>
      <w:r w:rsidR="00062BFA" w:rsidRPr="004F6DAA">
        <w:rPr>
          <w:noProof/>
        </w:rPr>
        <w:t xml:space="preserve"> w</w:t>
      </w:r>
      <w:r w:rsidR="00062BFA">
        <w:rPr>
          <w:noProof/>
        </w:rPr>
        <w:t> </w:t>
      </w:r>
      <w:r w:rsidR="00062BFA" w:rsidRPr="004F6DAA">
        <w:rPr>
          <w:noProof/>
        </w:rPr>
        <w:t>kon</w:t>
      </w:r>
      <w:r w:rsidRPr="004F6DAA">
        <w:rPr>
          <w:noProof/>
        </w:rPr>
        <w:t>tekście planu działania FLEGT oraz rozporządzenia FLEGT Komisja ustanowi</w:t>
      </w:r>
      <w:r w:rsidR="00062BFA" w:rsidRPr="004F6DAA">
        <w:rPr>
          <w:noProof/>
        </w:rPr>
        <w:t xml:space="preserve"> w</w:t>
      </w:r>
      <w:r w:rsidR="00062BFA">
        <w:rPr>
          <w:noProof/>
        </w:rPr>
        <w:t> </w:t>
      </w:r>
      <w:r w:rsidR="00062BFA" w:rsidRPr="004F6DAA">
        <w:rPr>
          <w:noProof/>
        </w:rPr>
        <w:t>sto</w:t>
      </w:r>
      <w:r w:rsidRPr="004F6DAA">
        <w:rPr>
          <w:noProof/>
        </w:rPr>
        <w:t>sownych przypadkach partnerstwa na rzecz lasów</w:t>
      </w:r>
      <w:r w:rsidR="00062BFA" w:rsidRPr="004F6DAA">
        <w:rPr>
          <w:noProof/>
        </w:rPr>
        <w:t xml:space="preserve"> z</w:t>
      </w:r>
      <w:r w:rsidR="00062BFA">
        <w:rPr>
          <w:noProof/>
        </w:rPr>
        <w:t> </w:t>
      </w:r>
      <w:r w:rsidR="00062BFA" w:rsidRPr="004F6DAA">
        <w:rPr>
          <w:noProof/>
        </w:rPr>
        <w:t>odp</w:t>
      </w:r>
      <w:r w:rsidRPr="004F6DAA">
        <w:rPr>
          <w:noProof/>
        </w:rPr>
        <w:t>owiednimi krajami partnerskimi. Głównym celem partnerstw na rzecz lasów będzie ochrona, odtwarzanie lub zapewnienie zrównoważonego użytkowania lasów</w:t>
      </w:r>
      <w:r w:rsidR="00062BFA" w:rsidRPr="004F6DAA">
        <w:rPr>
          <w:noProof/>
        </w:rPr>
        <w:t xml:space="preserve"> w</w:t>
      </w:r>
      <w:r w:rsidR="00062BFA">
        <w:rPr>
          <w:noProof/>
        </w:rPr>
        <w:t> </w:t>
      </w:r>
      <w:r w:rsidR="00062BFA" w:rsidRPr="004F6DAA">
        <w:rPr>
          <w:noProof/>
        </w:rPr>
        <w:t>kom</w:t>
      </w:r>
      <w:r w:rsidRPr="004F6DAA">
        <w:rPr>
          <w:noProof/>
        </w:rPr>
        <w:t>pleksowy</w:t>
      </w:r>
      <w:r w:rsidR="00062BFA" w:rsidRPr="004F6DAA">
        <w:rPr>
          <w:noProof/>
        </w:rPr>
        <w:t xml:space="preserve"> i</w:t>
      </w:r>
      <w:r w:rsidR="00062BFA">
        <w:rPr>
          <w:noProof/>
        </w:rPr>
        <w:t> </w:t>
      </w:r>
      <w:r w:rsidR="00062BFA" w:rsidRPr="004F6DAA">
        <w:rPr>
          <w:noProof/>
        </w:rPr>
        <w:t>zin</w:t>
      </w:r>
      <w:r w:rsidRPr="004F6DAA">
        <w:rPr>
          <w:noProof/>
        </w:rPr>
        <w:t>tegrowany sposób, aby zrealizować priorytety Europejskiego Zielonego Ładu,</w:t>
      </w:r>
      <w:r w:rsidR="00062BFA" w:rsidRPr="004F6DAA">
        <w:rPr>
          <w:noProof/>
        </w:rPr>
        <w:t xml:space="preserve"> a</w:t>
      </w:r>
      <w:r w:rsidR="00062BFA">
        <w:rPr>
          <w:noProof/>
        </w:rPr>
        <w:t> </w:t>
      </w:r>
      <w:r w:rsidR="00062BFA" w:rsidRPr="004F6DAA">
        <w:rPr>
          <w:noProof/>
        </w:rPr>
        <w:t>tak</w:t>
      </w:r>
      <w:r w:rsidRPr="004F6DAA">
        <w:rPr>
          <w:noProof/>
        </w:rPr>
        <w:t>że unijne cele współpracy na rzecz rozwoju, takie jak ograniczanie ubóstwa, dobre rządy czy prawa człowieka. Będą one propagować reformy gospodarki</w:t>
      </w:r>
      <w:r w:rsidR="00062BFA" w:rsidRPr="004F6DAA">
        <w:rPr>
          <w:noProof/>
        </w:rPr>
        <w:t xml:space="preserve"> i</w:t>
      </w:r>
      <w:r w:rsidR="00062BFA">
        <w:rPr>
          <w:noProof/>
        </w:rPr>
        <w:t> </w:t>
      </w:r>
      <w:r w:rsidR="00062BFA" w:rsidRPr="004F6DAA">
        <w:rPr>
          <w:noProof/>
        </w:rPr>
        <w:t>pol</w:t>
      </w:r>
      <w:r w:rsidRPr="004F6DAA">
        <w:rPr>
          <w:noProof/>
        </w:rPr>
        <w:t>ityki leśnej, aby przyczynić się do prowadzenia zrównoważonej gospodarki leśnej i do zatrzymania wylesiania</w:t>
      </w:r>
      <w:r w:rsidR="00062BFA" w:rsidRPr="004F6DAA">
        <w:rPr>
          <w:noProof/>
        </w:rPr>
        <w:t xml:space="preserve"> i</w:t>
      </w:r>
      <w:r w:rsidR="00062BFA">
        <w:rPr>
          <w:noProof/>
        </w:rPr>
        <w:t> </w:t>
      </w:r>
      <w:r w:rsidR="00062BFA" w:rsidRPr="004F6DAA">
        <w:rPr>
          <w:noProof/>
        </w:rPr>
        <w:t>deg</w:t>
      </w:r>
      <w:r w:rsidRPr="004F6DAA">
        <w:rPr>
          <w:noProof/>
        </w:rPr>
        <w:t xml:space="preserve">radacji lasów. </w:t>
      </w:r>
    </w:p>
    <w:p w14:paraId="13511CB8" w14:textId="77777777" w:rsidR="001C3FCC" w:rsidRPr="004F6DAA" w:rsidRDefault="001C3FCC" w:rsidP="009A3168">
      <w:pPr>
        <w:pStyle w:val="ManualHeading2"/>
        <w:rPr>
          <w:rFonts w:eastAsia="Arial Unicode MS"/>
          <w:noProof/>
        </w:rPr>
      </w:pPr>
      <w:r w:rsidRPr="004F6DAA">
        <w:rPr>
          <w:noProof/>
          <w:color w:val="000000"/>
          <w:u w:color="000000"/>
          <w:bdr w:val="nil"/>
        </w:rPr>
        <w:t>•</w:t>
      </w:r>
      <w:r w:rsidRPr="004F6DAA">
        <w:rPr>
          <w:noProof/>
        </w:rPr>
        <w:tab/>
        <w:t>Spójność</w:t>
      </w:r>
      <w:r w:rsidR="00062BFA" w:rsidRPr="004F6DAA">
        <w:rPr>
          <w:noProof/>
        </w:rPr>
        <w:t xml:space="preserve"> z</w:t>
      </w:r>
      <w:r w:rsidR="00062BFA">
        <w:rPr>
          <w:noProof/>
        </w:rPr>
        <w:t> </w:t>
      </w:r>
      <w:r w:rsidR="00062BFA" w:rsidRPr="004F6DAA">
        <w:rPr>
          <w:noProof/>
        </w:rPr>
        <w:t>inn</w:t>
      </w:r>
      <w:r w:rsidRPr="004F6DAA">
        <w:rPr>
          <w:noProof/>
        </w:rPr>
        <w:t>ymi politykami Unii</w:t>
      </w:r>
    </w:p>
    <w:p w14:paraId="29C77EE9" w14:textId="77777777" w:rsidR="00780F7E" w:rsidRPr="004F6DAA" w:rsidRDefault="00780F7E" w:rsidP="00780F7E">
      <w:pPr>
        <w:spacing w:before="0" w:after="240"/>
        <w:rPr>
          <w:rFonts w:eastAsia="Times New Roman"/>
          <w:noProof/>
        </w:rPr>
      </w:pPr>
      <w:r w:rsidRPr="004F6DAA">
        <w:rPr>
          <w:noProof/>
        </w:rPr>
        <w:t>W komunikacie</w:t>
      </w:r>
      <w:r w:rsidR="00062BFA" w:rsidRPr="004F6DAA">
        <w:rPr>
          <w:noProof/>
        </w:rPr>
        <w:t xml:space="preserve"> z</w:t>
      </w:r>
      <w:r w:rsidR="00062BFA">
        <w:rPr>
          <w:noProof/>
        </w:rPr>
        <w:t> </w:t>
      </w:r>
      <w:r w:rsidR="00062BFA" w:rsidRPr="004F6DAA">
        <w:rPr>
          <w:noProof/>
        </w:rPr>
        <w:t>2</w:t>
      </w:r>
      <w:r w:rsidRPr="004F6DAA">
        <w:rPr>
          <w:noProof/>
        </w:rPr>
        <w:t>0</w:t>
      </w:r>
      <w:r w:rsidRPr="00062BFA">
        <w:rPr>
          <w:noProof/>
        </w:rPr>
        <w:t>19</w:t>
      </w:r>
      <w:r w:rsidR="00062BFA" w:rsidRPr="00062BFA">
        <w:rPr>
          <w:noProof/>
        </w:rPr>
        <w:t> </w:t>
      </w:r>
      <w:r w:rsidRPr="00062BFA">
        <w:rPr>
          <w:noProof/>
        </w:rPr>
        <w:t>r.</w:t>
      </w:r>
      <w:r w:rsidRPr="004F6DAA">
        <w:rPr>
          <w:noProof/>
        </w:rPr>
        <w:t xml:space="preserve"> określono ogólny cel, jakim jest ochrona</w:t>
      </w:r>
      <w:r w:rsidR="00062BFA" w:rsidRPr="004F6DAA">
        <w:rPr>
          <w:noProof/>
        </w:rPr>
        <w:t xml:space="preserve"> i</w:t>
      </w:r>
      <w:r w:rsidR="00062BFA">
        <w:rPr>
          <w:noProof/>
        </w:rPr>
        <w:t> </w:t>
      </w:r>
      <w:r w:rsidR="00062BFA" w:rsidRPr="004F6DAA">
        <w:rPr>
          <w:noProof/>
        </w:rPr>
        <w:t>pop</w:t>
      </w:r>
      <w:r w:rsidRPr="004F6DAA">
        <w:rPr>
          <w:noProof/>
        </w:rPr>
        <w:t>rawa stanu istniejących lasów,</w:t>
      </w:r>
      <w:r w:rsidR="00062BFA" w:rsidRPr="004F6DAA">
        <w:rPr>
          <w:noProof/>
        </w:rPr>
        <w:t xml:space="preserve"> w</w:t>
      </w:r>
      <w:r w:rsidR="00062BFA">
        <w:rPr>
          <w:noProof/>
        </w:rPr>
        <w:t> </w:t>
      </w:r>
      <w:r w:rsidR="00062BFA" w:rsidRPr="004F6DAA">
        <w:rPr>
          <w:noProof/>
        </w:rPr>
        <w:t>szc</w:t>
      </w:r>
      <w:r w:rsidRPr="004F6DAA">
        <w:rPr>
          <w:noProof/>
        </w:rPr>
        <w:t>zególności lasów pierwotnych,</w:t>
      </w:r>
      <w:r w:rsidR="00062BFA" w:rsidRPr="004F6DAA">
        <w:rPr>
          <w:noProof/>
        </w:rPr>
        <w:t xml:space="preserve"> i</w:t>
      </w:r>
      <w:r w:rsidR="00062BFA">
        <w:rPr>
          <w:noProof/>
        </w:rPr>
        <w:t> </w:t>
      </w:r>
      <w:r w:rsidR="00062BFA" w:rsidRPr="004F6DAA">
        <w:rPr>
          <w:noProof/>
        </w:rPr>
        <w:t>zwi</w:t>
      </w:r>
      <w:r w:rsidRPr="004F6DAA">
        <w:rPr>
          <w:noProof/>
        </w:rPr>
        <w:t>ększenie zrównoważonej</w:t>
      </w:r>
      <w:r w:rsidR="00062BFA" w:rsidRPr="004F6DAA">
        <w:rPr>
          <w:noProof/>
        </w:rPr>
        <w:t xml:space="preserve"> i</w:t>
      </w:r>
      <w:r w:rsidR="00062BFA">
        <w:rPr>
          <w:noProof/>
        </w:rPr>
        <w:t> </w:t>
      </w:r>
      <w:r w:rsidR="00062BFA" w:rsidRPr="004F6DAA">
        <w:rPr>
          <w:noProof/>
        </w:rPr>
        <w:t>zró</w:t>
      </w:r>
      <w:r w:rsidRPr="004F6DAA">
        <w:rPr>
          <w:noProof/>
        </w:rPr>
        <w:t>żnicowanej biologicznie powierzchni terenów zalesionych na świecie</w:t>
      </w:r>
      <w:r w:rsidR="00062BFA" w:rsidRPr="004F6DAA">
        <w:rPr>
          <w:noProof/>
        </w:rPr>
        <w:t>. W</w:t>
      </w:r>
      <w:r w:rsidR="00062BFA">
        <w:rPr>
          <w:noProof/>
        </w:rPr>
        <w:t> </w:t>
      </w:r>
      <w:r w:rsidR="00062BFA" w:rsidRPr="004F6DAA">
        <w:rPr>
          <w:noProof/>
        </w:rPr>
        <w:t>kon</w:t>
      </w:r>
      <w:r w:rsidRPr="004F6DAA">
        <w:rPr>
          <w:noProof/>
        </w:rPr>
        <w:t>tekście Europejskiego Zielonego Ładu zarówno</w:t>
      </w:r>
      <w:r w:rsidR="00062BFA" w:rsidRPr="004F6DAA">
        <w:rPr>
          <w:noProof/>
        </w:rPr>
        <w:t xml:space="preserve"> w</w:t>
      </w:r>
      <w:r w:rsidR="00062BFA">
        <w:rPr>
          <w:noProof/>
        </w:rPr>
        <w:t> </w:t>
      </w:r>
      <w:r w:rsidR="00062BFA" w:rsidRPr="004F6DAA">
        <w:rPr>
          <w:noProof/>
        </w:rPr>
        <w:t>uni</w:t>
      </w:r>
      <w:r w:rsidRPr="004F6DAA">
        <w:rPr>
          <w:noProof/>
        </w:rPr>
        <w:t>jnej strategii na rzecz bioróżnorod</w:t>
      </w:r>
      <w:r w:rsidR="004F6DAA">
        <w:rPr>
          <w:noProof/>
        </w:rPr>
        <w:t>ności 2030, jak</w:t>
      </w:r>
      <w:r w:rsidR="00062BFA">
        <w:rPr>
          <w:noProof/>
        </w:rPr>
        <w:t xml:space="preserve"> i w str</w:t>
      </w:r>
      <w:r w:rsidR="004F6DAA">
        <w:rPr>
          <w:noProof/>
        </w:rPr>
        <w:t>ategii „O</w:t>
      </w:r>
      <w:r w:rsidRPr="004F6DAA">
        <w:rPr>
          <w:noProof/>
        </w:rPr>
        <w:t>d pola do stołu” uznano niniejszy wniosek ustawodawczy oraz inne środki mające na celu unikanie lub zminimalizowanie wprowadzania do obrotu w UE produktów</w:t>
      </w:r>
      <w:r w:rsidR="00062BFA" w:rsidRPr="004F6DAA">
        <w:rPr>
          <w:noProof/>
        </w:rPr>
        <w:t xml:space="preserve"> z</w:t>
      </w:r>
      <w:r w:rsidR="00062BFA">
        <w:rPr>
          <w:noProof/>
        </w:rPr>
        <w:t> </w:t>
      </w:r>
      <w:r w:rsidR="00062BFA" w:rsidRPr="004F6DAA">
        <w:rPr>
          <w:noProof/>
        </w:rPr>
        <w:t>łań</w:t>
      </w:r>
      <w:r w:rsidRPr="004F6DAA">
        <w:rPr>
          <w:noProof/>
        </w:rPr>
        <w:t>cuchów dostaw związanych</w:t>
      </w:r>
      <w:r w:rsidR="00062BFA" w:rsidRPr="004F6DAA">
        <w:rPr>
          <w:noProof/>
        </w:rPr>
        <w:t xml:space="preserve"> z</w:t>
      </w:r>
      <w:r w:rsidR="00062BFA">
        <w:rPr>
          <w:noProof/>
        </w:rPr>
        <w:t> </w:t>
      </w:r>
      <w:r w:rsidR="00062BFA" w:rsidRPr="004F6DAA">
        <w:rPr>
          <w:noProof/>
        </w:rPr>
        <w:t>wyl</w:t>
      </w:r>
      <w:r w:rsidRPr="004F6DAA">
        <w:rPr>
          <w:noProof/>
        </w:rPr>
        <w:t>esianiem lub degradacją lasów za ważne dla osiągnięcia ich celów. Inną istotną inicjatywą jest na przykład komunikat pt. „Długoterminowa wizja dla obszarów wiejskich UE”</w:t>
      </w:r>
      <w:r w:rsidRPr="004F6DAA">
        <w:rPr>
          <w:rStyle w:val="Odwoanieprzypisudolnego"/>
          <w:rFonts w:eastAsia="Times New Roman"/>
          <w:noProof/>
        </w:rPr>
        <w:footnoteReference w:id="8"/>
      </w:r>
      <w:r w:rsidRPr="004F6DAA">
        <w:rPr>
          <w:noProof/>
        </w:rPr>
        <w:t>.</w:t>
      </w:r>
    </w:p>
    <w:p w14:paraId="655C6FBB" w14:textId="77777777" w:rsidR="00780F7E" w:rsidRPr="004F6DAA" w:rsidRDefault="00780F7E" w:rsidP="00780F7E">
      <w:pPr>
        <w:pBdr>
          <w:top w:val="nil"/>
          <w:left w:val="nil"/>
          <w:bottom w:val="nil"/>
          <w:right w:val="nil"/>
          <w:between w:val="nil"/>
          <w:bar w:val="nil"/>
        </w:pBdr>
        <w:spacing w:before="0" w:after="240"/>
        <w:rPr>
          <w:rFonts w:eastAsia="Times New Roman"/>
          <w:noProof/>
          <w:szCs w:val="24"/>
        </w:rPr>
      </w:pPr>
      <w:r w:rsidRPr="004F6DAA">
        <w:rPr>
          <w:noProof/>
        </w:rPr>
        <w:t xml:space="preserve">W nowej </w:t>
      </w:r>
      <w:r w:rsidRPr="004F6DAA">
        <w:rPr>
          <w:b/>
          <w:noProof/>
          <w:szCs w:val="24"/>
        </w:rPr>
        <w:t>strategii leśnej UE</w:t>
      </w:r>
      <w:r w:rsidRPr="004F6DAA">
        <w:rPr>
          <w:noProof/>
        </w:rPr>
        <w:t xml:space="preserve"> potwierdzono, że środki określone już</w:t>
      </w:r>
      <w:r w:rsidR="00062BFA" w:rsidRPr="004F6DAA">
        <w:rPr>
          <w:noProof/>
        </w:rPr>
        <w:t xml:space="preserve"> w</w:t>
      </w:r>
      <w:r w:rsidR="00062BFA">
        <w:rPr>
          <w:noProof/>
        </w:rPr>
        <w:t> </w:t>
      </w:r>
      <w:r w:rsidR="00062BFA" w:rsidRPr="004F6DAA">
        <w:rPr>
          <w:noProof/>
        </w:rPr>
        <w:t>kom</w:t>
      </w:r>
      <w:r w:rsidRPr="004F6DAA">
        <w:rPr>
          <w:noProof/>
        </w:rPr>
        <w:t>unikacie</w:t>
      </w:r>
      <w:r w:rsidR="00062BFA" w:rsidRPr="004F6DAA">
        <w:rPr>
          <w:noProof/>
        </w:rPr>
        <w:t xml:space="preserve"> z</w:t>
      </w:r>
      <w:r w:rsidR="00062BFA">
        <w:rPr>
          <w:noProof/>
        </w:rPr>
        <w:t> </w:t>
      </w:r>
      <w:r w:rsidR="00062BFA" w:rsidRPr="004F6DAA">
        <w:rPr>
          <w:noProof/>
        </w:rPr>
        <w:t>2</w:t>
      </w:r>
      <w:r w:rsidRPr="004F6DAA">
        <w:rPr>
          <w:noProof/>
        </w:rPr>
        <w:t>0</w:t>
      </w:r>
      <w:r w:rsidRPr="00062BFA">
        <w:rPr>
          <w:noProof/>
        </w:rPr>
        <w:t>19</w:t>
      </w:r>
      <w:r w:rsidR="00062BFA" w:rsidRPr="00062BFA">
        <w:rPr>
          <w:noProof/>
        </w:rPr>
        <w:t> </w:t>
      </w:r>
      <w:r w:rsidRPr="00062BFA">
        <w:rPr>
          <w:noProof/>
        </w:rPr>
        <w:t>r.</w:t>
      </w:r>
      <w:r w:rsidRPr="004F6DAA">
        <w:rPr>
          <w:noProof/>
        </w:rPr>
        <w:t xml:space="preserve"> wyznaczają podstawowe ramy dotyczące globalnych działań UE,</w:t>
      </w:r>
      <w:r w:rsidR="00062BFA" w:rsidRPr="004F6DAA">
        <w:rPr>
          <w:noProof/>
        </w:rPr>
        <w:t xml:space="preserve"> w</w:t>
      </w:r>
      <w:r w:rsidR="00062BFA">
        <w:rPr>
          <w:noProof/>
        </w:rPr>
        <w:t> </w:t>
      </w:r>
      <w:r w:rsidR="00062BFA" w:rsidRPr="004F6DAA">
        <w:rPr>
          <w:noProof/>
        </w:rPr>
        <w:t>tym</w:t>
      </w:r>
      <w:r w:rsidRPr="004F6DAA">
        <w:rPr>
          <w:noProof/>
        </w:rPr>
        <w:t xml:space="preserve"> niniejszej inicjatywy ustawodawczej,</w:t>
      </w:r>
      <w:r w:rsidR="00062BFA" w:rsidRPr="004F6DAA">
        <w:rPr>
          <w:noProof/>
        </w:rPr>
        <w:t xml:space="preserve"> i</w:t>
      </w:r>
      <w:r w:rsidR="00062BFA">
        <w:rPr>
          <w:noProof/>
        </w:rPr>
        <w:t> </w:t>
      </w:r>
      <w:r w:rsidR="00062BFA" w:rsidRPr="004F6DAA">
        <w:rPr>
          <w:noProof/>
        </w:rPr>
        <w:t>będ</w:t>
      </w:r>
      <w:r w:rsidRPr="004F6DAA">
        <w:rPr>
          <w:noProof/>
        </w:rPr>
        <w:t>ą odpowiednio</w:t>
      </w:r>
      <w:r w:rsidR="00062BFA" w:rsidRPr="004F6DAA">
        <w:rPr>
          <w:noProof/>
        </w:rPr>
        <w:t xml:space="preserve"> i</w:t>
      </w:r>
      <w:r w:rsidR="00062BFA">
        <w:rPr>
          <w:noProof/>
        </w:rPr>
        <w:t> </w:t>
      </w:r>
      <w:r w:rsidR="00062BFA" w:rsidRPr="004F6DAA">
        <w:rPr>
          <w:noProof/>
        </w:rPr>
        <w:t>kon</w:t>
      </w:r>
      <w:r w:rsidRPr="004F6DAA">
        <w:rPr>
          <w:noProof/>
        </w:rPr>
        <w:t>sekwentnie uwzględniane przy kształtowaniu polityki krajowej.</w:t>
      </w:r>
    </w:p>
    <w:p w14:paraId="263756E4" w14:textId="77777777" w:rsidR="00780F7E" w:rsidRPr="004F6DAA" w:rsidRDefault="00780F7E" w:rsidP="00780F7E">
      <w:pPr>
        <w:pBdr>
          <w:top w:val="nil"/>
          <w:left w:val="nil"/>
          <w:bottom w:val="nil"/>
          <w:right w:val="nil"/>
          <w:between w:val="nil"/>
          <w:bar w:val="nil"/>
        </w:pBdr>
        <w:spacing w:before="0" w:after="240"/>
        <w:rPr>
          <w:rFonts w:eastAsia="Arial Unicode MS"/>
          <w:noProof/>
          <w:szCs w:val="24"/>
        </w:rPr>
      </w:pPr>
      <w:r w:rsidRPr="004F6DAA">
        <w:rPr>
          <w:noProof/>
        </w:rPr>
        <w:t xml:space="preserve">Niniejsze rozporządzenie będzie uzupełnieniem inicjatywy ustawodawczej dotyczącej </w:t>
      </w:r>
      <w:r w:rsidRPr="004F6DAA">
        <w:rPr>
          <w:b/>
          <w:noProof/>
          <w:szCs w:val="24"/>
        </w:rPr>
        <w:t>zrównoważonego ładu korporacyjnego</w:t>
      </w:r>
      <w:r w:rsidRPr="004F6DAA">
        <w:rPr>
          <w:noProof/>
        </w:rPr>
        <w:t>, której celem jest poprawa ram regulacyjnych UE</w:t>
      </w:r>
      <w:r w:rsidR="00062BFA" w:rsidRPr="004F6DAA">
        <w:rPr>
          <w:noProof/>
        </w:rPr>
        <w:t xml:space="preserve"> w</w:t>
      </w:r>
      <w:r w:rsidR="00062BFA">
        <w:rPr>
          <w:noProof/>
        </w:rPr>
        <w:t> </w:t>
      </w:r>
      <w:r w:rsidR="00062BFA" w:rsidRPr="004F6DAA">
        <w:rPr>
          <w:noProof/>
        </w:rPr>
        <w:t>zak</w:t>
      </w:r>
      <w:r w:rsidRPr="004F6DAA">
        <w:rPr>
          <w:noProof/>
        </w:rPr>
        <w:t>resie prawa spółek</w:t>
      </w:r>
      <w:r w:rsidR="00062BFA" w:rsidRPr="004F6DAA">
        <w:rPr>
          <w:noProof/>
        </w:rPr>
        <w:t xml:space="preserve"> i</w:t>
      </w:r>
      <w:r w:rsidR="00062BFA">
        <w:rPr>
          <w:noProof/>
        </w:rPr>
        <w:t> </w:t>
      </w:r>
      <w:r w:rsidR="00062BFA" w:rsidRPr="004F6DAA">
        <w:rPr>
          <w:noProof/>
        </w:rPr>
        <w:t>ład</w:t>
      </w:r>
      <w:r w:rsidRPr="004F6DAA">
        <w:rPr>
          <w:noProof/>
        </w:rPr>
        <w:t>u korporacyjnego. Inicjatywa dotycząca zrównoważonego ładu korporacyjnego opiera się na podejściu horyzontalnym uwzględniającym niekorzystny wpływ na prawa człowieka</w:t>
      </w:r>
      <w:r w:rsidR="00062BFA" w:rsidRPr="004F6DAA">
        <w:rPr>
          <w:noProof/>
        </w:rPr>
        <w:t xml:space="preserve"> i</w:t>
      </w:r>
      <w:r w:rsidR="00062BFA">
        <w:rPr>
          <w:noProof/>
        </w:rPr>
        <w:t> </w:t>
      </w:r>
      <w:r w:rsidR="00062BFA" w:rsidRPr="004F6DAA">
        <w:rPr>
          <w:noProof/>
        </w:rPr>
        <w:t>śro</w:t>
      </w:r>
      <w:r w:rsidRPr="004F6DAA">
        <w:rPr>
          <w:noProof/>
        </w:rPr>
        <w:t>dowisko, wpływając na zachowanie spółek</w:t>
      </w:r>
      <w:r w:rsidR="00062BFA" w:rsidRPr="004F6DAA">
        <w:rPr>
          <w:noProof/>
        </w:rPr>
        <w:t xml:space="preserve"> w</w:t>
      </w:r>
      <w:r w:rsidR="00062BFA">
        <w:rPr>
          <w:noProof/>
        </w:rPr>
        <w:t> </w:t>
      </w:r>
      <w:r w:rsidR="00062BFA" w:rsidRPr="004F6DAA">
        <w:rPr>
          <w:noProof/>
        </w:rPr>
        <w:t>ram</w:t>
      </w:r>
      <w:r w:rsidRPr="004F6DAA">
        <w:rPr>
          <w:noProof/>
        </w:rPr>
        <w:t>ach ich własnej działalności oraz</w:t>
      </w:r>
      <w:r w:rsidR="00062BFA" w:rsidRPr="004F6DAA">
        <w:rPr>
          <w:noProof/>
        </w:rPr>
        <w:t xml:space="preserve"> w</w:t>
      </w:r>
      <w:r w:rsidR="00062BFA">
        <w:rPr>
          <w:noProof/>
        </w:rPr>
        <w:t> </w:t>
      </w:r>
      <w:r w:rsidR="00062BFA" w:rsidRPr="004F6DAA">
        <w:rPr>
          <w:noProof/>
        </w:rPr>
        <w:t>ich</w:t>
      </w:r>
      <w:r w:rsidRPr="004F6DAA">
        <w:rPr>
          <w:noProof/>
        </w:rPr>
        <w:t xml:space="preserve"> łańcuchach wartości. Chociaż system zrównoważonego ładu korporacyjnego będzie dotyczył ogólnie działalności gospodarczej</w:t>
      </w:r>
      <w:r w:rsidR="00062BFA" w:rsidRPr="004F6DAA">
        <w:rPr>
          <w:noProof/>
        </w:rPr>
        <w:t xml:space="preserve"> i</w:t>
      </w:r>
      <w:r w:rsidR="00062BFA">
        <w:rPr>
          <w:noProof/>
        </w:rPr>
        <w:t> </w:t>
      </w:r>
      <w:r w:rsidR="00062BFA" w:rsidRPr="004F6DAA">
        <w:rPr>
          <w:noProof/>
        </w:rPr>
        <w:t>łań</w:t>
      </w:r>
      <w:r w:rsidRPr="004F6DAA">
        <w:rPr>
          <w:noProof/>
        </w:rPr>
        <w:t>cuchów wartości, podejście do wylesiania koncentruje się na konkretnych produktach</w:t>
      </w:r>
      <w:r w:rsidR="00062BFA" w:rsidRPr="004F6DAA">
        <w:rPr>
          <w:noProof/>
        </w:rPr>
        <w:t xml:space="preserve"> i</w:t>
      </w:r>
      <w:r w:rsidR="00062BFA">
        <w:rPr>
          <w:noProof/>
        </w:rPr>
        <w:t> </w:t>
      </w:r>
      <w:r w:rsidR="00062BFA" w:rsidRPr="004F6DAA">
        <w:rPr>
          <w:noProof/>
        </w:rPr>
        <w:t>łań</w:t>
      </w:r>
      <w:r w:rsidRPr="004F6DAA">
        <w:rPr>
          <w:noProof/>
        </w:rPr>
        <w:t>cuchach dostaw produktów</w:t>
      </w:r>
      <w:r w:rsidR="00062BFA" w:rsidRPr="004F6DAA">
        <w:rPr>
          <w:noProof/>
        </w:rPr>
        <w:t>.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tym</w:t>
      </w:r>
      <w:r w:rsidRPr="004F6DAA">
        <w:rPr>
          <w:noProof/>
        </w:rPr>
        <w:t>, chociaż cele szczegółowe są różne, ogólne cele obu inicjatyw mogą być wspólne</w:t>
      </w:r>
      <w:r w:rsidR="00062BFA" w:rsidRPr="004F6DAA">
        <w:rPr>
          <w:noProof/>
        </w:rPr>
        <w:t xml:space="preserve"> i</w:t>
      </w:r>
      <w:r w:rsidR="00062BFA">
        <w:rPr>
          <w:noProof/>
        </w:rPr>
        <w:t> </w:t>
      </w:r>
      <w:r w:rsidR="00062BFA" w:rsidRPr="004F6DAA">
        <w:rPr>
          <w:noProof/>
        </w:rPr>
        <w:t>wza</w:t>
      </w:r>
      <w:r w:rsidRPr="004F6DAA">
        <w:rPr>
          <w:noProof/>
        </w:rPr>
        <w:t>jemnie się uzupełniają.</w:t>
      </w:r>
    </w:p>
    <w:p w14:paraId="340D2944" w14:textId="77777777" w:rsidR="00780F7E" w:rsidRPr="00062BFA" w:rsidRDefault="00780F7E" w:rsidP="00780F7E">
      <w:pPr>
        <w:pBdr>
          <w:top w:val="nil"/>
          <w:left w:val="nil"/>
          <w:bottom w:val="nil"/>
          <w:right w:val="nil"/>
          <w:between w:val="nil"/>
          <w:bar w:val="nil"/>
        </w:pBdr>
        <w:spacing w:before="0" w:after="240"/>
        <w:rPr>
          <w:rFonts w:eastAsia="Arial Unicode MS"/>
          <w:noProof/>
          <w:szCs w:val="24"/>
        </w:rPr>
      </w:pPr>
      <w:r w:rsidRPr="004F6DAA">
        <w:rPr>
          <w:noProof/>
        </w:rPr>
        <w:t>Planuje się, że obowiązek należytej staranności</w:t>
      </w:r>
      <w:r w:rsidR="00062BFA" w:rsidRPr="004F6DAA">
        <w:rPr>
          <w:noProof/>
        </w:rPr>
        <w:t xml:space="preserve"> w</w:t>
      </w:r>
      <w:r w:rsidR="00062BFA">
        <w:rPr>
          <w:noProof/>
        </w:rPr>
        <w:t> </w:t>
      </w:r>
      <w:r w:rsidR="00062BFA" w:rsidRPr="004F6DAA">
        <w:rPr>
          <w:noProof/>
        </w:rPr>
        <w:t>ram</w:t>
      </w:r>
      <w:r w:rsidRPr="004F6DAA">
        <w:rPr>
          <w:noProof/>
        </w:rPr>
        <w:t>ach inicjatywy dotyczącej zrównoważonego ładu korporacyjnego będzie miał zastosowanie do szeregu dużych przedsiębiorstw unijnych</w:t>
      </w:r>
      <w:r w:rsidR="00062BFA" w:rsidRPr="004F6DAA">
        <w:rPr>
          <w:noProof/>
        </w:rPr>
        <w:t xml:space="preserve"> w</w:t>
      </w:r>
      <w:r w:rsidR="00062BFA">
        <w:rPr>
          <w:noProof/>
        </w:rPr>
        <w:t> </w:t>
      </w:r>
      <w:r w:rsidR="00062BFA" w:rsidRPr="004F6DAA">
        <w:rPr>
          <w:noProof/>
        </w:rPr>
        <w:t>róż</w:t>
      </w:r>
      <w:r w:rsidRPr="004F6DAA">
        <w:rPr>
          <w:noProof/>
        </w:rPr>
        <w:t>nych sektorach (z bardziej ukierunkowanym systemem</w:t>
      </w:r>
      <w:r w:rsidR="00062BFA" w:rsidRPr="004F6DAA">
        <w:rPr>
          <w:noProof/>
        </w:rPr>
        <w:t xml:space="preserve"> w</w:t>
      </w:r>
      <w:r w:rsidR="00062BFA">
        <w:rPr>
          <w:noProof/>
        </w:rPr>
        <w:t> </w:t>
      </w:r>
      <w:r w:rsidR="00062BFA" w:rsidRPr="004F6DAA">
        <w:rPr>
          <w:noProof/>
        </w:rPr>
        <w:t>odn</w:t>
      </w:r>
      <w:r w:rsidRPr="004F6DAA">
        <w:rPr>
          <w:noProof/>
        </w:rPr>
        <w:t>iesieniu do niektórych średnich przedsiębiorstw); planuje się również objęcie tym obowiązkiem przedsiębiorstw spoza UE. Inicjatywie ustawodawczej</w:t>
      </w:r>
      <w:r w:rsidR="00062BFA" w:rsidRPr="004F6DAA">
        <w:rPr>
          <w:noProof/>
        </w:rPr>
        <w:t xml:space="preserve"> w</w:t>
      </w:r>
      <w:r w:rsidR="00062BFA">
        <w:rPr>
          <w:noProof/>
        </w:rPr>
        <w:t> </w:t>
      </w:r>
      <w:r w:rsidR="00062BFA" w:rsidRPr="004F6DAA">
        <w:rPr>
          <w:noProof/>
        </w:rPr>
        <w:t>spr</w:t>
      </w:r>
      <w:r w:rsidRPr="004F6DAA">
        <w:rPr>
          <w:noProof/>
        </w:rPr>
        <w:t xml:space="preserve">awie </w:t>
      </w:r>
      <w:commentRangeStart w:id="6"/>
      <w:r w:rsidRPr="004F6DAA">
        <w:rPr>
          <w:noProof/>
        </w:rPr>
        <w:t>wylesiania</w:t>
      </w:r>
      <w:commentRangeEnd w:id="6"/>
      <w:r w:rsidR="00DD4781">
        <w:rPr>
          <w:rStyle w:val="Odwoaniedokomentarza"/>
          <w:rFonts w:eastAsia="Times New Roman"/>
          <w:lang w:eastAsia="en-GB"/>
        </w:rPr>
        <w:commentReference w:id="6"/>
      </w:r>
      <w:r w:rsidRPr="004F6DAA">
        <w:rPr>
          <w:noProof/>
        </w:rPr>
        <w:t xml:space="preserve"> przyświeca bardzo konkretny cel, jakim jest ograniczenie wprowadzania do obrotu w UE produktów powodujących wylesianie,</w:t>
      </w:r>
      <w:r w:rsidR="00062BFA" w:rsidRPr="004F6DAA">
        <w:rPr>
          <w:noProof/>
        </w:rPr>
        <w:t xml:space="preserve"> a</w:t>
      </w:r>
      <w:r w:rsidR="00062BFA">
        <w:rPr>
          <w:noProof/>
        </w:rPr>
        <w:t> </w:t>
      </w:r>
      <w:r w:rsidR="00062BFA" w:rsidRPr="004F6DAA">
        <w:rPr>
          <w:noProof/>
        </w:rPr>
        <w:t>zaw</w:t>
      </w:r>
      <w:r w:rsidRPr="004F6DAA">
        <w:rPr>
          <w:noProof/>
        </w:rPr>
        <w:t>arte</w:t>
      </w:r>
      <w:r w:rsidR="00062BFA" w:rsidRPr="004F6DAA">
        <w:rPr>
          <w:noProof/>
        </w:rPr>
        <w:t xml:space="preserve"> w</w:t>
      </w:r>
      <w:r w:rsidR="00062BFA">
        <w:rPr>
          <w:noProof/>
        </w:rPr>
        <w:t> </w:t>
      </w:r>
      <w:r w:rsidR="00062BFA" w:rsidRPr="004F6DAA">
        <w:rPr>
          <w:noProof/>
        </w:rPr>
        <w:t>nie</w:t>
      </w:r>
      <w:r w:rsidRPr="004F6DAA">
        <w:rPr>
          <w:noProof/>
        </w:rPr>
        <w:t>j wymogi będą</w:t>
      </w:r>
      <w:r w:rsidR="00062BFA" w:rsidRPr="004F6DAA">
        <w:rPr>
          <w:noProof/>
        </w:rPr>
        <w:t xml:space="preserve"> w</w:t>
      </w:r>
      <w:r w:rsidR="00062BFA">
        <w:rPr>
          <w:noProof/>
        </w:rPr>
        <w:t> </w:t>
      </w:r>
      <w:r w:rsidR="00062BFA" w:rsidRPr="004F6DAA">
        <w:rPr>
          <w:noProof/>
        </w:rPr>
        <w:t>nie</w:t>
      </w:r>
      <w:r w:rsidRPr="004F6DAA">
        <w:rPr>
          <w:noProof/>
        </w:rPr>
        <w:t>których obszarach bardziej szczegółowe</w:t>
      </w:r>
      <w:r w:rsidR="00062BFA" w:rsidRPr="004F6DAA">
        <w:rPr>
          <w:noProof/>
        </w:rPr>
        <w:t xml:space="preserve"> w</w:t>
      </w:r>
      <w:r w:rsidR="00062BFA">
        <w:rPr>
          <w:noProof/>
        </w:rPr>
        <w:t> </w:t>
      </w:r>
      <w:r w:rsidR="00062BFA" w:rsidRPr="004F6DAA">
        <w:rPr>
          <w:noProof/>
        </w:rPr>
        <w:t>por</w:t>
      </w:r>
      <w:r w:rsidRPr="004F6DAA">
        <w:rPr>
          <w:noProof/>
        </w:rPr>
        <w:t>ównaniu</w:t>
      </w:r>
      <w:r w:rsidR="00062BFA" w:rsidRPr="004F6DAA">
        <w:rPr>
          <w:noProof/>
        </w:rPr>
        <w:t xml:space="preserve"> z</w:t>
      </w:r>
      <w:r w:rsidR="00062BFA">
        <w:rPr>
          <w:noProof/>
        </w:rPr>
        <w:t> </w:t>
      </w:r>
      <w:r w:rsidR="00062BFA" w:rsidRPr="004F6DAA">
        <w:rPr>
          <w:noProof/>
        </w:rPr>
        <w:t>ogó</w:t>
      </w:r>
      <w:r w:rsidRPr="004F6DAA">
        <w:rPr>
          <w:noProof/>
        </w:rPr>
        <w:t>lnymi obowiązkami</w:t>
      </w:r>
      <w:r w:rsidR="00062BFA" w:rsidRPr="004F6DAA">
        <w:rPr>
          <w:noProof/>
        </w:rPr>
        <w:t xml:space="preserve"> w</w:t>
      </w:r>
      <w:r w:rsidR="00062BFA">
        <w:rPr>
          <w:noProof/>
        </w:rPr>
        <w:t> </w:t>
      </w:r>
      <w:r w:rsidR="00062BFA" w:rsidRPr="004F6DAA">
        <w:rPr>
          <w:noProof/>
        </w:rPr>
        <w:t>ram</w:t>
      </w:r>
      <w:r w:rsidRPr="004F6DAA">
        <w:rPr>
          <w:noProof/>
        </w:rPr>
        <w:t>ach inicjatywy dotyczącej zrównoważonego ładu korporacyjnego. Zawarto</w:t>
      </w:r>
      <w:r w:rsidR="00062BFA" w:rsidRPr="004F6DAA">
        <w:rPr>
          <w:noProof/>
        </w:rPr>
        <w:t xml:space="preserve"> w</w:t>
      </w:r>
      <w:r w:rsidR="00062BFA">
        <w:rPr>
          <w:noProof/>
        </w:rPr>
        <w:t> </w:t>
      </w:r>
      <w:r w:rsidR="00062BFA" w:rsidRPr="004F6DAA">
        <w:rPr>
          <w:noProof/>
        </w:rPr>
        <w:t>nie</w:t>
      </w:r>
      <w:r w:rsidRPr="004F6DAA">
        <w:rPr>
          <w:noProof/>
        </w:rPr>
        <w:t>j również zakaz, który będzie miał zastosowanie do wszystkich podmiotów wprowadzających odnośne produkty do obrotu,</w:t>
      </w:r>
      <w:r w:rsidR="00062BFA" w:rsidRPr="004F6DAA">
        <w:rPr>
          <w:noProof/>
        </w:rPr>
        <w:t xml:space="preserve"> w</w:t>
      </w:r>
      <w:r w:rsidR="00062BFA">
        <w:rPr>
          <w:noProof/>
        </w:rPr>
        <w:t> </w:t>
      </w:r>
      <w:r w:rsidR="00062BFA" w:rsidRPr="004F6DAA">
        <w:rPr>
          <w:noProof/>
        </w:rPr>
        <w:t>tym</w:t>
      </w:r>
      <w:r w:rsidRPr="004F6DAA">
        <w:rPr>
          <w:noProof/>
        </w:rPr>
        <w:t xml:space="preserve"> przedsiębiorstw z UE</w:t>
      </w:r>
      <w:r w:rsidR="00062BFA" w:rsidRPr="004F6DAA">
        <w:rPr>
          <w:noProof/>
        </w:rPr>
        <w:t xml:space="preserve"> i</w:t>
      </w:r>
      <w:r w:rsidR="00062BFA">
        <w:rPr>
          <w:noProof/>
        </w:rPr>
        <w:t> </w:t>
      </w:r>
      <w:r w:rsidR="00062BFA" w:rsidRPr="004F6DAA">
        <w:rPr>
          <w:noProof/>
        </w:rPr>
        <w:t>spo</w:t>
      </w:r>
      <w:r w:rsidRPr="004F6DAA">
        <w:rPr>
          <w:noProof/>
        </w:rPr>
        <w:t>za UE, niezależnie od ich formy prawnej</w:t>
      </w:r>
      <w:r w:rsidR="00062BFA" w:rsidRPr="004F6DAA">
        <w:rPr>
          <w:noProof/>
        </w:rPr>
        <w:t xml:space="preserve"> i</w:t>
      </w:r>
      <w:r w:rsidR="00062BFA">
        <w:rPr>
          <w:noProof/>
        </w:rPr>
        <w:t> </w:t>
      </w:r>
      <w:r w:rsidR="00062BFA" w:rsidRPr="004F6DAA">
        <w:rPr>
          <w:noProof/>
        </w:rPr>
        <w:t>wie</w:t>
      </w:r>
      <w:r w:rsidRPr="004F6DAA">
        <w:rPr>
          <w:noProof/>
        </w:rPr>
        <w:t>lkości. Jeżeli wymogi</w:t>
      </w:r>
      <w:r w:rsidR="00062BFA" w:rsidRPr="004F6DAA">
        <w:rPr>
          <w:noProof/>
        </w:rPr>
        <w:t xml:space="preserve"> w</w:t>
      </w:r>
      <w:r w:rsidR="00062BFA">
        <w:rPr>
          <w:noProof/>
        </w:rPr>
        <w:t> </w:t>
      </w:r>
      <w:r w:rsidR="00062BFA" w:rsidRPr="004F6DAA">
        <w:rPr>
          <w:noProof/>
        </w:rPr>
        <w:t>ram</w:t>
      </w:r>
      <w:r w:rsidRPr="004F6DAA">
        <w:rPr>
          <w:noProof/>
        </w:rPr>
        <w:t>ach inicjatywy dotyczącej zrównoważonego ładu korporacyjnego wykraczają poza wymogi określone</w:t>
      </w:r>
      <w:r w:rsidR="00062BFA" w:rsidRPr="004F6DAA">
        <w:rPr>
          <w:noProof/>
        </w:rPr>
        <w:t xml:space="preserve"> w</w:t>
      </w:r>
      <w:r w:rsidR="00062BFA">
        <w:rPr>
          <w:noProof/>
        </w:rPr>
        <w:t> </w:t>
      </w:r>
      <w:r w:rsidR="00062BFA" w:rsidRPr="004F6DAA">
        <w:rPr>
          <w:noProof/>
        </w:rPr>
        <w:t>roz</w:t>
      </w:r>
      <w:r w:rsidRPr="004F6DAA">
        <w:rPr>
          <w:noProof/>
        </w:rPr>
        <w:t>porządzeniu</w:t>
      </w:r>
      <w:r w:rsidR="00062BFA" w:rsidRPr="004F6DAA">
        <w:rPr>
          <w:noProof/>
        </w:rPr>
        <w:t xml:space="preserve"> w</w:t>
      </w:r>
      <w:r w:rsidR="00062BFA">
        <w:rPr>
          <w:noProof/>
        </w:rPr>
        <w:t> </w:t>
      </w:r>
      <w:r w:rsidR="00062BFA" w:rsidRPr="004F6DAA">
        <w:rPr>
          <w:noProof/>
        </w:rPr>
        <w:t>spr</w:t>
      </w:r>
      <w:r w:rsidRPr="004F6DAA">
        <w:rPr>
          <w:noProof/>
        </w:rPr>
        <w:t>awie wylesiania, stosuje się je łącznie</w:t>
      </w:r>
      <w:r w:rsidRPr="00062BFA">
        <w:rPr>
          <w:noProof/>
        </w:rPr>
        <w:t>.</w:t>
      </w:r>
      <w:r w:rsidR="00062BFA" w:rsidRPr="00062BFA">
        <w:rPr>
          <w:noProof/>
        </w:rPr>
        <w:t xml:space="preserve"> </w:t>
      </w:r>
    </w:p>
    <w:p w14:paraId="77F4F7A2" w14:textId="77777777" w:rsidR="00780F7E" w:rsidRPr="004F6DAA" w:rsidRDefault="00780F7E" w:rsidP="00780F7E">
      <w:pPr>
        <w:spacing w:before="0" w:after="240"/>
        <w:rPr>
          <w:rFonts w:eastAsia="Arial Unicode MS"/>
          <w:noProof/>
          <w:szCs w:val="24"/>
        </w:rPr>
      </w:pPr>
      <w:r w:rsidRPr="004F6DAA">
        <w:rPr>
          <w:noProof/>
        </w:rPr>
        <w:t xml:space="preserve">Niniejsza inicjatywa nie będzie ukierunkowana konkretnie na </w:t>
      </w:r>
      <w:r w:rsidRPr="004F6DAA">
        <w:rPr>
          <w:b/>
          <w:noProof/>
          <w:szCs w:val="24"/>
        </w:rPr>
        <w:t>sektor finansowy</w:t>
      </w:r>
      <w:r w:rsidR="00062BFA" w:rsidRPr="004F6DAA">
        <w:rPr>
          <w:b/>
          <w:noProof/>
          <w:szCs w:val="24"/>
        </w:rPr>
        <w:t xml:space="preserve"> i</w:t>
      </w:r>
      <w:r w:rsidR="00062BFA">
        <w:rPr>
          <w:b/>
          <w:noProof/>
          <w:szCs w:val="24"/>
        </w:rPr>
        <w:t> </w:t>
      </w:r>
      <w:r w:rsidR="00062BFA" w:rsidRPr="004F6DAA">
        <w:rPr>
          <w:b/>
          <w:noProof/>
          <w:szCs w:val="24"/>
        </w:rPr>
        <w:t>inw</w:t>
      </w:r>
      <w:r w:rsidRPr="004F6DAA">
        <w:rPr>
          <w:b/>
          <w:noProof/>
          <w:szCs w:val="24"/>
        </w:rPr>
        <w:t>estycyjny</w:t>
      </w:r>
      <w:r w:rsidRPr="004F6DAA">
        <w:rPr>
          <w:noProof/>
        </w:rPr>
        <w:t>. Istniejące inicjatywy</w:t>
      </w:r>
      <w:r w:rsidR="00062BFA" w:rsidRPr="004F6DAA">
        <w:rPr>
          <w:noProof/>
        </w:rPr>
        <w:t xml:space="preserve"> w</w:t>
      </w:r>
      <w:r w:rsidR="00062BFA">
        <w:rPr>
          <w:noProof/>
        </w:rPr>
        <w:t> </w:t>
      </w:r>
      <w:r w:rsidR="00062BFA" w:rsidRPr="004F6DAA">
        <w:rPr>
          <w:noProof/>
        </w:rPr>
        <w:t>dzi</w:t>
      </w:r>
      <w:r w:rsidRPr="004F6DAA">
        <w:rPr>
          <w:noProof/>
        </w:rPr>
        <w:t>edzinie zrównoważonego finansowania, takie jak wdrażanie rozporządzenia</w:t>
      </w:r>
      <w:r w:rsidR="00062BFA" w:rsidRPr="004F6DAA">
        <w:rPr>
          <w:noProof/>
        </w:rPr>
        <w:t xml:space="preserve"> w</w:t>
      </w:r>
      <w:r w:rsidR="00062BFA">
        <w:rPr>
          <w:noProof/>
        </w:rPr>
        <w:t> </w:t>
      </w:r>
      <w:r w:rsidR="00062BFA" w:rsidRPr="004F6DAA">
        <w:rPr>
          <w:noProof/>
        </w:rPr>
        <w:t>spr</w:t>
      </w:r>
      <w:r w:rsidRPr="004F6DAA">
        <w:rPr>
          <w:noProof/>
        </w:rPr>
        <w:t>awie unijnej systematyki oraz przyszłej dyrektywy</w:t>
      </w:r>
      <w:r w:rsidR="00062BFA" w:rsidRPr="004F6DAA">
        <w:rPr>
          <w:noProof/>
        </w:rPr>
        <w:t xml:space="preserve"> w</w:t>
      </w:r>
      <w:r w:rsidR="00062BFA">
        <w:rPr>
          <w:noProof/>
        </w:rPr>
        <w:t> </w:t>
      </w:r>
      <w:r w:rsidR="00062BFA" w:rsidRPr="004F6DAA">
        <w:rPr>
          <w:noProof/>
        </w:rPr>
        <w:t>spr</w:t>
      </w:r>
      <w:r w:rsidRPr="004F6DAA">
        <w:rPr>
          <w:noProof/>
        </w:rPr>
        <w:t>awie sprawozdawczości przedsiębiorstw</w:t>
      </w:r>
      <w:r w:rsidR="00062BFA" w:rsidRPr="004F6DAA">
        <w:rPr>
          <w:noProof/>
        </w:rPr>
        <w:t xml:space="preserve"> w</w:t>
      </w:r>
      <w:r w:rsidR="00062BFA">
        <w:rPr>
          <w:noProof/>
        </w:rPr>
        <w:t> </w:t>
      </w:r>
      <w:r w:rsidR="00062BFA" w:rsidRPr="004F6DAA">
        <w:rPr>
          <w:noProof/>
        </w:rPr>
        <w:t>zak</w:t>
      </w:r>
      <w:r w:rsidRPr="004F6DAA">
        <w:rPr>
          <w:noProof/>
        </w:rPr>
        <w:t>resie zrównoważonego rozwoju (CSRD) (obecna dyrektywa</w:t>
      </w:r>
      <w:r w:rsidR="00062BFA" w:rsidRPr="004F6DAA">
        <w:rPr>
          <w:noProof/>
        </w:rPr>
        <w:t xml:space="preserve"> w</w:t>
      </w:r>
      <w:r w:rsidR="00062BFA">
        <w:rPr>
          <w:noProof/>
        </w:rPr>
        <w:t> </w:t>
      </w:r>
      <w:r w:rsidR="00062BFA" w:rsidRPr="004F6DAA">
        <w:rPr>
          <w:noProof/>
        </w:rPr>
        <w:t>spr</w:t>
      </w:r>
      <w:r w:rsidRPr="004F6DAA">
        <w:rPr>
          <w:noProof/>
        </w:rPr>
        <w:t>awie sprawozdawczości niefinansowej), są dostosowane</w:t>
      </w:r>
      <w:r w:rsidR="00062BFA" w:rsidRPr="004F6DAA">
        <w:rPr>
          <w:noProof/>
        </w:rPr>
        <w:t xml:space="preserve"> w</w:t>
      </w:r>
      <w:r w:rsidR="00062BFA">
        <w:rPr>
          <w:noProof/>
        </w:rPr>
        <w:t> </w:t>
      </w:r>
      <w:r w:rsidR="00062BFA" w:rsidRPr="004F6DAA">
        <w:rPr>
          <w:noProof/>
        </w:rPr>
        <w:t>cel</w:t>
      </w:r>
      <w:r w:rsidRPr="004F6DAA">
        <w:rPr>
          <w:noProof/>
        </w:rPr>
        <w:t>u uwzględnienia wpływu sektora finansowego</w:t>
      </w:r>
      <w:r w:rsidR="00062BFA" w:rsidRPr="004F6DAA">
        <w:rPr>
          <w:noProof/>
        </w:rPr>
        <w:t xml:space="preserve"> i</w:t>
      </w:r>
      <w:r w:rsidR="00062BFA">
        <w:rPr>
          <w:noProof/>
        </w:rPr>
        <w:t> </w:t>
      </w:r>
      <w:r w:rsidR="00062BFA" w:rsidRPr="004F6DAA">
        <w:rPr>
          <w:noProof/>
        </w:rPr>
        <w:t>inw</w:t>
      </w:r>
      <w:r w:rsidRPr="004F6DAA">
        <w:rPr>
          <w:noProof/>
        </w:rPr>
        <w:t>estycyjnego na wylesianie,</w:t>
      </w:r>
      <w:r w:rsidR="00062BFA" w:rsidRPr="004F6DAA">
        <w:rPr>
          <w:noProof/>
        </w:rPr>
        <w:t xml:space="preserve"> a</w:t>
      </w:r>
      <w:r w:rsidR="00062BFA">
        <w:rPr>
          <w:noProof/>
        </w:rPr>
        <w:t> </w:t>
      </w:r>
      <w:r w:rsidR="00062BFA" w:rsidRPr="004F6DAA">
        <w:rPr>
          <w:noProof/>
        </w:rPr>
        <w:t>zat</w:t>
      </w:r>
      <w:r w:rsidRPr="004F6DAA">
        <w:rPr>
          <w:noProof/>
        </w:rPr>
        <w:t>em uzupełniają</w:t>
      </w:r>
      <w:r w:rsidR="00062BFA" w:rsidRPr="004F6DAA">
        <w:rPr>
          <w:noProof/>
        </w:rPr>
        <w:t xml:space="preserve"> i</w:t>
      </w:r>
      <w:r w:rsidR="00062BFA">
        <w:rPr>
          <w:noProof/>
        </w:rPr>
        <w:t> </w:t>
      </w:r>
      <w:r w:rsidR="00062BFA" w:rsidRPr="004F6DAA">
        <w:rPr>
          <w:noProof/>
        </w:rPr>
        <w:t>wsp</w:t>
      </w:r>
      <w:r w:rsidRPr="004F6DAA">
        <w:rPr>
          <w:noProof/>
        </w:rPr>
        <w:t xml:space="preserve">ierają niniejszą inicjatywę ustawodawczą dotyczącą wylesiania. </w:t>
      </w:r>
    </w:p>
    <w:p w14:paraId="0BCCEB34" w14:textId="77777777" w:rsidR="00780F7E" w:rsidRPr="004F6DAA" w:rsidRDefault="00780F7E" w:rsidP="00780F7E">
      <w:pPr>
        <w:spacing w:before="0" w:after="240"/>
        <w:rPr>
          <w:rFonts w:eastAsia="Arial Unicode MS"/>
          <w:noProof/>
          <w:szCs w:val="24"/>
        </w:rPr>
      </w:pPr>
      <w:r w:rsidRPr="004F6DAA">
        <w:rPr>
          <w:noProof/>
        </w:rPr>
        <w:t>W CSRD</w:t>
      </w:r>
      <w:r w:rsidR="00062BFA" w:rsidRPr="004F6DAA">
        <w:rPr>
          <w:noProof/>
        </w:rPr>
        <w:t xml:space="preserve"> i</w:t>
      </w:r>
      <w:r w:rsidR="00062BFA">
        <w:rPr>
          <w:noProof/>
        </w:rPr>
        <w:t> </w:t>
      </w:r>
      <w:r w:rsidR="00062BFA" w:rsidRPr="004F6DAA">
        <w:rPr>
          <w:noProof/>
        </w:rPr>
        <w:t>prz</w:t>
      </w:r>
      <w:r w:rsidRPr="004F6DAA">
        <w:rPr>
          <w:noProof/>
        </w:rPr>
        <w:t>episach dotyczących systematyki na przedsiębiorstwa niefinansowe nałożono również obowiązek ujawniania informacji: w CSRD przewidziano publikację sektorowych standardów sprawozdawczości do października 20</w:t>
      </w:r>
      <w:r w:rsidRPr="00062BFA">
        <w:rPr>
          <w:noProof/>
        </w:rPr>
        <w:t>23</w:t>
      </w:r>
      <w:r w:rsidR="00062BFA" w:rsidRPr="00062BFA">
        <w:rPr>
          <w:noProof/>
        </w:rPr>
        <w:t> </w:t>
      </w:r>
      <w:r w:rsidRPr="00062BFA">
        <w:rPr>
          <w:noProof/>
        </w:rPr>
        <w:t>r.</w:t>
      </w:r>
      <w:r w:rsidRPr="004F6DAA">
        <w:rPr>
          <w:noProof/>
        </w:rPr>
        <w:t>; na podstawie rozporządzenia</w:t>
      </w:r>
      <w:r w:rsidR="00062BFA" w:rsidRPr="004F6DAA">
        <w:rPr>
          <w:noProof/>
        </w:rPr>
        <w:t xml:space="preserve"> w</w:t>
      </w:r>
      <w:r w:rsidR="00062BFA">
        <w:rPr>
          <w:noProof/>
        </w:rPr>
        <w:t> </w:t>
      </w:r>
      <w:r w:rsidR="00062BFA" w:rsidRPr="004F6DAA">
        <w:rPr>
          <w:noProof/>
        </w:rPr>
        <w:t>spr</w:t>
      </w:r>
      <w:r w:rsidRPr="004F6DAA">
        <w:rPr>
          <w:noProof/>
        </w:rPr>
        <w:t>awie unijnej systematyki</w:t>
      </w:r>
      <w:r w:rsidR="00062BFA" w:rsidRPr="004F6DAA">
        <w:rPr>
          <w:noProof/>
        </w:rPr>
        <w:t xml:space="preserve"> w</w:t>
      </w:r>
      <w:r w:rsidR="00062BFA">
        <w:rPr>
          <w:noProof/>
        </w:rPr>
        <w:t> </w:t>
      </w:r>
      <w:r w:rsidR="00062BFA" w:rsidRPr="004F6DAA">
        <w:rPr>
          <w:noProof/>
        </w:rPr>
        <w:t>akc</w:t>
      </w:r>
      <w:r w:rsidRPr="004F6DAA">
        <w:rPr>
          <w:noProof/>
        </w:rPr>
        <w:t>ie delegowanym</w:t>
      </w:r>
      <w:r w:rsidR="00062BFA" w:rsidRPr="004F6DAA">
        <w:rPr>
          <w:noProof/>
        </w:rPr>
        <w:t xml:space="preserve"> w</w:t>
      </w:r>
      <w:r w:rsidR="00062BFA">
        <w:rPr>
          <w:noProof/>
        </w:rPr>
        <w:t> </w:t>
      </w:r>
      <w:r w:rsidR="00062BFA" w:rsidRPr="004F6DAA">
        <w:rPr>
          <w:noProof/>
        </w:rPr>
        <w:t>spr</w:t>
      </w:r>
      <w:r w:rsidRPr="004F6DAA">
        <w:rPr>
          <w:noProof/>
        </w:rPr>
        <w:t>awie łagodzenia zmiany klimatu</w:t>
      </w:r>
      <w:r w:rsidR="00062BFA" w:rsidRPr="004F6DAA">
        <w:rPr>
          <w:noProof/>
        </w:rPr>
        <w:t xml:space="preserve"> i</w:t>
      </w:r>
      <w:r w:rsidR="00062BFA">
        <w:rPr>
          <w:noProof/>
        </w:rPr>
        <w:t> </w:t>
      </w:r>
      <w:r w:rsidR="00062BFA" w:rsidRPr="004F6DAA">
        <w:rPr>
          <w:noProof/>
        </w:rPr>
        <w:t>prz</w:t>
      </w:r>
      <w:r w:rsidRPr="004F6DAA">
        <w:rPr>
          <w:noProof/>
        </w:rPr>
        <w:t>ystosowywania się do niej</w:t>
      </w:r>
      <w:r w:rsidR="00062BFA" w:rsidRPr="004F6DAA">
        <w:rPr>
          <w:noProof/>
        </w:rPr>
        <w:t xml:space="preserve"> w</w:t>
      </w:r>
      <w:r w:rsidR="00062BFA">
        <w:rPr>
          <w:noProof/>
        </w:rPr>
        <w:t> </w:t>
      </w:r>
      <w:r w:rsidR="00062BFA" w:rsidRPr="004F6DAA">
        <w:rPr>
          <w:noProof/>
        </w:rPr>
        <w:t>dzi</w:t>
      </w:r>
      <w:r w:rsidRPr="004F6DAA">
        <w:rPr>
          <w:noProof/>
        </w:rPr>
        <w:t xml:space="preserve">edzinie leśnictwa ustanowiono już kryteria techniczne, natomiast publikacja kryteriów dla rolnictwa została opóźniona. Oba rodzaje działalności gospodarczej mogą zostać objęte aktami delegowanymi dotyczącymi pozostałych czterech celów środowiskowych. </w:t>
      </w:r>
    </w:p>
    <w:p w14:paraId="4F67EC5A" w14:textId="77777777" w:rsidR="004E7053" w:rsidRPr="004F6DAA" w:rsidRDefault="004E7053" w:rsidP="004E7053">
      <w:pPr>
        <w:spacing w:before="0" w:after="240"/>
        <w:rPr>
          <w:rFonts w:eastAsia="Arial Unicode MS"/>
          <w:noProof/>
        </w:rPr>
      </w:pPr>
      <w:r w:rsidRPr="004F6DAA">
        <w:rPr>
          <w:noProof/>
        </w:rPr>
        <w:t>Oczekuje się również, że niniejszy wniosek dotyczący rozporządzenia będzie stosowany łącznie</w:t>
      </w:r>
      <w:r w:rsidR="00062BFA" w:rsidRPr="004F6DAA">
        <w:rPr>
          <w:noProof/>
        </w:rPr>
        <w:t xml:space="preserve"> z</w:t>
      </w:r>
      <w:r w:rsidR="00062BFA">
        <w:rPr>
          <w:noProof/>
        </w:rPr>
        <w:t> </w:t>
      </w:r>
      <w:r w:rsidR="00062BFA" w:rsidRPr="004F6DAA">
        <w:rPr>
          <w:noProof/>
        </w:rPr>
        <w:t>dyr</w:t>
      </w:r>
      <w:r w:rsidRPr="004F6DAA">
        <w:rPr>
          <w:noProof/>
        </w:rPr>
        <w:t>ektywą</w:t>
      </w:r>
      <w:r w:rsidR="00062BFA" w:rsidRPr="004F6DAA">
        <w:rPr>
          <w:noProof/>
        </w:rPr>
        <w:t xml:space="preserve"> w</w:t>
      </w:r>
      <w:r w:rsidR="00062BFA">
        <w:rPr>
          <w:noProof/>
        </w:rPr>
        <w:t> </w:t>
      </w:r>
      <w:r w:rsidR="00062BFA" w:rsidRPr="004F6DAA">
        <w:rPr>
          <w:noProof/>
        </w:rPr>
        <w:t>spr</w:t>
      </w:r>
      <w:r w:rsidRPr="004F6DAA">
        <w:rPr>
          <w:noProof/>
        </w:rPr>
        <w:t>awie energii odnawialnej</w:t>
      </w:r>
      <w:r w:rsidRPr="004F6DAA">
        <w:rPr>
          <w:rStyle w:val="Odwoanieprzypisudolnego"/>
          <w:rFonts w:eastAsia="Arial Unicode MS"/>
          <w:noProof/>
          <w:szCs w:val="24"/>
        </w:rPr>
        <w:footnoteReference w:id="9"/>
      </w:r>
      <w:r w:rsidR="00062BFA" w:rsidRPr="004F6DAA">
        <w:rPr>
          <w:noProof/>
        </w:rPr>
        <w:t xml:space="preserve"> w</w:t>
      </w:r>
      <w:r w:rsidR="00062BFA">
        <w:rPr>
          <w:noProof/>
        </w:rPr>
        <w:t> </w:t>
      </w:r>
      <w:r w:rsidR="00062BFA" w:rsidRPr="004F6DAA">
        <w:rPr>
          <w:noProof/>
        </w:rPr>
        <w:t>odn</w:t>
      </w:r>
      <w:r w:rsidRPr="004F6DAA">
        <w:rPr>
          <w:noProof/>
        </w:rPr>
        <w:t>iesieniu do niektórych towarów wykorzystywanych jako biopaliwa lub do produkcji biopaliw, takich jak granulat drzewny lub pochodne soi</w:t>
      </w:r>
      <w:r w:rsidR="00062BFA" w:rsidRPr="004F6DAA">
        <w:rPr>
          <w:noProof/>
        </w:rPr>
        <w:t xml:space="preserve"> i</w:t>
      </w:r>
      <w:r w:rsidR="00062BFA">
        <w:rPr>
          <w:noProof/>
        </w:rPr>
        <w:t> </w:t>
      </w:r>
      <w:r w:rsidR="00062BFA" w:rsidRPr="004F6DAA">
        <w:rPr>
          <w:noProof/>
        </w:rPr>
        <w:t>ole</w:t>
      </w:r>
      <w:r w:rsidRPr="004F6DAA">
        <w:rPr>
          <w:noProof/>
        </w:rPr>
        <w:t>ju palmowego. Cele obu tych zestawów przepisów UE wzajemnie się uzupełniają, ponieważ obydwa dotyczą nadrzędnych celów</w:t>
      </w:r>
      <w:r w:rsidR="00062BFA" w:rsidRPr="004F6DAA">
        <w:rPr>
          <w:noProof/>
        </w:rPr>
        <w:t xml:space="preserve"> w</w:t>
      </w:r>
      <w:r w:rsidR="00062BFA">
        <w:rPr>
          <w:noProof/>
        </w:rPr>
        <w:t> </w:t>
      </w:r>
      <w:r w:rsidR="00062BFA" w:rsidRPr="004F6DAA">
        <w:rPr>
          <w:noProof/>
        </w:rPr>
        <w:t>zak</w:t>
      </w:r>
      <w:r w:rsidRPr="004F6DAA">
        <w:rPr>
          <w:noProof/>
        </w:rPr>
        <w:t>resie przeciwdziałania zmianie klimatu</w:t>
      </w:r>
      <w:r w:rsidR="00062BFA" w:rsidRPr="004F6DAA">
        <w:rPr>
          <w:noProof/>
        </w:rPr>
        <w:t xml:space="preserve"> i</w:t>
      </w:r>
      <w:r w:rsidR="00062BFA">
        <w:rPr>
          <w:noProof/>
        </w:rPr>
        <w:t> </w:t>
      </w:r>
      <w:r w:rsidR="00062BFA" w:rsidRPr="004F6DAA">
        <w:rPr>
          <w:noProof/>
        </w:rPr>
        <w:t>utr</w:t>
      </w:r>
      <w:r w:rsidRPr="004F6DAA">
        <w:rPr>
          <w:noProof/>
        </w:rPr>
        <w:t>acie różnorodności biologicznej. Aby ograniczyć wylesianie powodowane przez UE,</w:t>
      </w:r>
      <w:r w:rsidR="00062BFA" w:rsidRPr="004F6DAA">
        <w:rPr>
          <w:noProof/>
        </w:rPr>
        <w:t xml:space="preserve"> w</w:t>
      </w:r>
      <w:r w:rsidR="00062BFA">
        <w:rPr>
          <w:noProof/>
        </w:rPr>
        <w:t> </w:t>
      </w:r>
      <w:r w:rsidR="00062BFA" w:rsidRPr="004F6DAA">
        <w:rPr>
          <w:noProof/>
        </w:rPr>
        <w:t>nin</w:t>
      </w:r>
      <w:r w:rsidRPr="004F6DAA">
        <w:rPr>
          <w:noProof/>
        </w:rPr>
        <w:t>iejszej inicjatywie ustawodawczej ustanowiono wymogi dotyczące wprowadzanych do obrotu w UE towarów</w:t>
      </w:r>
      <w:r w:rsidR="00062BFA" w:rsidRPr="004F6DAA">
        <w:rPr>
          <w:noProof/>
        </w:rPr>
        <w:t xml:space="preserve"> i</w:t>
      </w:r>
      <w:r w:rsidR="00062BFA">
        <w:rPr>
          <w:noProof/>
        </w:rPr>
        <w:t> </w:t>
      </w:r>
      <w:r w:rsidR="00062BFA" w:rsidRPr="004F6DAA">
        <w:rPr>
          <w:noProof/>
        </w:rPr>
        <w:t>pro</w:t>
      </w:r>
      <w:r w:rsidRPr="004F6DAA">
        <w:rPr>
          <w:noProof/>
        </w:rPr>
        <w:t>duktów związanych</w:t>
      </w:r>
      <w:r w:rsidR="00062BFA" w:rsidRPr="004F6DAA">
        <w:rPr>
          <w:noProof/>
        </w:rPr>
        <w:t xml:space="preserve"> z</w:t>
      </w:r>
      <w:r w:rsidR="00062BFA">
        <w:rPr>
          <w:noProof/>
        </w:rPr>
        <w:t> </w:t>
      </w:r>
      <w:r w:rsidR="00062BFA" w:rsidRPr="004F6DAA">
        <w:rPr>
          <w:noProof/>
        </w:rPr>
        <w:t>wyl</w:t>
      </w:r>
      <w:r w:rsidRPr="004F6DAA">
        <w:rPr>
          <w:noProof/>
        </w:rPr>
        <w:t>esianiem</w:t>
      </w:r>
      <w:r w:rsidR="00062BFA" w:rsidRPr="004F6DAA">
        <w:rPr>
          <w:noProof/>
        </w:rPr>
        <w:t xml:space="preserve"> i</w:t>
      </w:r>
      <w:r w:rsidR="00062BFA">
        <w:rPr>
          <w:noProof/>
        </w:rPr>
        <w:t> </w:t>
      </w:r>
      <w:r w:rsidR="00062BFA" w:rsidRPr="004F6DAA">
        <w:rPr>
          <w:noProof/>
        </w:rPr>
        <w:t>deg</w:t>
      </w:r>
      <w:r w:rsidRPr="004F6DAA">
        <w:rPr>
          <w:noProof/>
        </w:rPr>
        <w:t>radacją lasów</w:t>
      </w:r>
      <w:r w:rsidR="00062BFA" w:rsidRPr="004F6DAA">
        <w:rPr>
          <w:noProof/>
        </w:rPr>
        <w:t>. W</w:t>
      </w:r>
      <w:r w:rsidR="00062BFA">
        <w:rPr>
          <w:noProof/>
        </w:rPr>
        <w:t> </w:t>
      </w:r>
      <w:r w:rsidR="00062BFA" w:rsidRPr="004F6DAA">
        <w:rPr>
          <w:noProof/>
        </w:rPr>
        <w:t>dyr</w:t>
      </w:r>
      <w:r w:rsidRPr="004F6DAA">
        <w:rPr>
          <w:noProof/>
        </w:rPr>
        <w:t>ektywie</w:t>
      </w:r>
      <w:r w:rsidR="00062BFA" w:rsidRPr="004F6DAA">
        <w:rPr>
          <w:noProof/>
        </w:rPr>
        <w:t xml:space="preserve"> w</w:t>
      </w:r>
      <w:r w:rsidR="00062BFA">
        <w:rPr>
          <w:noProof/>
        </w:rPr>
        <w:t> </w:t>
      </w:r>
      <w:r w:rsidR="00062BFA" w:rsidRPr="004F6DAA">
        <w:rPr>
          <w:noProof/>
        </w:rPr>
        <w:t>spr</w:t>
      </w:r>
      <w:r w:rsidRPr="004F6DAA">
        <w:rPr>
          <w:noProof/>
        </w:rPr>
        <w:t>awie energii odnawialnej ustanowiono m.in. przepisy dotyczące kryteriów zrównoważonego rozwoju dla biopaliw, biopłynów</w:t>
      </w:r>
      <w:r w:rsidR="00062BFA" w:rsidRPr="004F6DAA">
        <w:rPr>
          <w:noProof/>
        </w:rPr>
        <w:t xml:space="preserve"> i</w:t>
      </w:r>
      <w:r w:rsidR="00062BFA">
        <w:rPr>
          <w:noProof/>
        </w:rPr>
        <w:t> </w:t>
      </w:r>
      <w:r w:rsidR="00062BFA" w:rsidRPr="004F6DAA">
        <w:rPr>
          <w:noProof/>
        </w:rPr>
        <w:t>bio</w:t>
      </w:r>
      <w:r w:rsidRPr="004F6DAA">
        <w:rPr>
          <w:noProof/>
        </w:rPr>
        <w:t xml:space="preserve">masy, które muszą one spełnić, aby można było uznać je za zrównoważone, oraz wyznaczono unijny cel polegający na osiągnięciu co najmniej 32-procentowego udziału energii odnawialnej </w:t>
      </w:r>
      <w:r w:rsidRPr="00062BFA">
        <w:rPr>
          <w:noProof/>
        </w:rPr>
        <w:t>do</w:t>
      </w:r>
      <w:r w:rsidR="00062BFA" w:rsidRPr="00062BFA">
        <w:rPr>
          <w:noProof/>
        </w:rPr>
        <w:t> </w:t>
      </w:r>
      <w:r w:rsidRPr="00062BFA">
        <w:rPr>
          <w:noProof/>
        </w:rPr>
        <w:t>2</w:t>
      </w:r>
      <w:r w:rsidRPr="004F6DAA">
        <w:rPr>
          <w:noProof/>
        </w:rPr>
        <w:t>0</w:t>
      </w:r>
      <w:r w:rsidRPr="00062BFA">
        <w:rPr>
          <w:noProof/>
        </w:rPr>
        <w:t>30</w:t>
      </w:r>
      <w:r w:rsidR="00062BFA" w:rsidRPr="00062BFA">
        <w:rPr>
          <w:noProof/>
        </w:rPr>
        <w:t> </w:t>
      </w:r>
      <w:r w:rsidRPr="00062BFA">
        <w:rPr>
          <w:noProof/>
        </w:rPr>
        <w:t>r.</w:t>
      </w:r>
      <w:r w:rsidRPr="004F6DAA">
        <w:rPr>
          <w:noProof/>
        </w:rPr>
        <w:t xml:space="preserve">   </w:t>
      </w:r>
    </w:p>
    <w:p w14:paraId="60E316F4" w14:textId="77777777" w:rsidR="003719AB" w:rsidRPr="004F6DAA" w:rsidRDefault="004E7053" w:rsidP="00780F7E">
      <w:pPr>
        <w:spacing w:before="0" w:after="240"/>
        <w:rPr>
          <w:rFonts w:eastAsia="Arial Unicode MS"/>
          <w:noProof/>
        </w:rPr>
      </w:pPr>
      <w:r w:rsidRPr="004F6DAA">
        <w:rPr>
          <w:noProof/>
        </w:rPr>
        <w:t>Jeżeli chodzi</w:t>
      </w:r>
      <w:r w:rsidR="00062BFA" w:rsidRPr="004F6DAA">
        <w:rPr>
          <w:noProof/>
        </w:rPr>
        <w:t xml:space="preserve"> o</w:t>
      </w:r>
      <w:r w:rsidR="00062BFA">
        <w:rPr>
          <w:noProof/>
        </w:rPr>
        <w:t> </w:t>
      </w:r>
      <w:r w:rsidR="00062BFA" w:rsidRPr="004F6DAA">
        <w:rPr>
          <w:noProof/>
        </w:rPr>
        <w:t>ich</w:t>
      </w:r>
      <w:r w:rsidRPr="004F6DAA">
        <w:rPr>
          <w:noProof/>
        </w:rPr>
        <w:t xml:space="preserve"> praktyczne powiązania, towary</w:t>
      </w:r>
      <w:r w:rsidR="00062BFA" w:rsidRPr="004F6DAA">
        <w:rPr>
          <w:noProof/>
        </w:rPr>
        <w:t xml:space="preserve"> i</w:t>
      </w:r>
      <w:r w:rsidR="00062BFA">
        <w:rPr>
          <w:noProof/>
        </w:rPr>
        <w:t> </w:t>
      </w:r>
      <w:r w:rsidR="00062BFA" w:rsidRPr="004F6DAA">
        <w:rPr>
          <w:noProof/>
        </w:rPr>
        <w:t>pro</w:t>
      </w:r>
      <w:r w:rsidRPr="004F6DAA">
        <w:rPr>
          <w:noProof/>
        </w:rPr>
        <w:t>dukty wchodzące</w:t>
      </w:r>
      <w:r w:rsidR="00062BFA" w:rsidRPr="004F6DAA">
        <w:rPr>
          <w:noProof/>
        </w:rPr>
        <w:t xml:space="preserve"> w</w:t>
      </w:r>
      <w:r w:rsidR="00062BFA">
        <w:rPr>
          <w:noProof/>
        </w:rPr>
        <w:t> </w:t>
      </w:r>
      <w:r w:rsidR="00062BFA" w:rsidRPr="004F6DAA">
        <w:rPr>
          <w:noProof/>
        </w:rPr>
        <w:t>zak</w:t>
      </w:r>
      <w:r w:rsidRPr="004F6DAA">
        <w:rPr>
          <w:noProof/>
        </w:rPr>
        <w:t>res stosowania obu aktów będą podlegały wymogom dotyczącym ogólnego dostępu do rynku oraz uznawania za energię odnawialną. Wymogi te są zgodne</w:t>
      </w:r>
      <w:r w:rsidR="00062BFA" w:rsidRPr="004F6DAA">
        <w:rPr>
          <w:noProof/>
        </w:rPr>
        <w:t xml:space="preserve"> i</w:t>
      </w:r>
      <w:r w:rsidR="00062BFA">
        <w:rPr>
          <w:noProof/>
        </w:rPr>
        <w:t> </w:t>
      </w:r>
      <w:r w:rsidR="00062BFA" w:rsidRPr="004F6DAA">
        <w:rPr>
          <w:noProof/>
        </w:rPr>
        <w:t>wza</w:t>
      </w:r>
      <w:r w:rsidRPr="004F6DAA">
        <w:rPr>
          <w:noProof/>
        </w:rPr>
        <w:t>jemnie się uzupełniają</w:t>
      </w:r>
      <w:r w:rsidR="00062BFA" w:rsidRPr="004F6DAA">
        <w:rPr>
          <w:noProof/>
        </w:rPr>
        <w:t>. W</w:t>
      </w:r>
      <w:r w:rsidR="00062BFA">
        <w:rPr>
          <w:noProof/>
        </w:rPr>
        <w:t> </w:t>
      </w:r>
      <w:r w:rsidR="00062BFA" w:rsidRPr="004F6DAA">
        <w:rPr>
          <w:noProof/>
        </w:rPr>
        <w:t>szc</w:t>
      </w:r>
      <w:r w:rsidRPr="004F6DAA">
        <w:rPr>
          <w:noProof/>
        </w:rPr>
        <w:t>zególnym przypadku systemów certyfikacji</w:t>
      </w:r>
      <w:r w:rsidR="00062BFA" w:rsidRPr="004F6DAA">
        <w:rPr>
          <w:noProof/>
        </w:rPr>
        <w:t xml:space="preserve"> w</w:t>
      </w:r>
      <w:r w:rsidR="00062BFA">
        <w:rPr>
          <w:noProof/>
        </w:rPr>
        <w:t> </w:t>
      </w:r>
      <w:r w:rsidR="00062BFA" w:rsidRPr="004F6DAA">
        <w:rPr>
          <w:noProof/>
        </w:rPr>
        <w:t>zak</w:t>
      </w:r>
      <w:r w:rsidRPr="004F6DAA">
        <w:rPr>
          <w:noProof/>
        </w:rPr>
        <w:t>resie niskiego ryzyka spowodowania pośredniej zmiany użytkowania gruntów (ILUC) zgodnie</w:t>
      </w:r>
      <w:r w:rsidR="00062BFA" w:rsidRPr="004F6DAA">
        <w:rPr>
          <w:noProof/>
        </w:rPr>
        <w:t xml:space="preserve"> z</w:t>
      </w:r>
      <w:r w:rsidR="00062BFA">
        <w:rPr>
          <w:noProof/>
        </w:rPr>
        <w:t> </w:t>
      </w:r>
      <w:r w:rsidR="00062BFA" w:rsidRPr="004F6DAA">
        <w:rPr>
          <w:noProof/>
        </w:rPr>
        <w:t>roz</w:t>
      </w:r>
      <w:r w:rsidRPr="004F6DAA">
        <w:rPr>
          <w:noProof/>
        </w:rPr>
        <w:t>porządzeniem Komisji (UE) 2019/807 uzupełniającym dyrektywę (UE) 2018/2001</w:t>
      </w:r>
      <w:r w:rsidRPr="004F6DAA">
        <w:rPr>
          <w:rStyle w:val="Odwoanieprzypisudolnego"/>
          <w:rFonts w:eastAsia="Arial Unicode MS"/>
          <w:noProof/>
        </w:rPr>
        <w:footnoteReference w:id="10"/>
      </w:r>
      <w:r w:rsidRPr="004F6DAA">
        <w:rPr>
          <w:noProof/>
        </w:rPr>
        <w:t xml:space="preserve"> „w odniesieniu do określania surowców</w:t>
      </w:r>
      <w:r w:rsidR="00062BFA" w:rsidRPr="004F6DAA">
        <w:rPr>
          <w:noProof/>
        </w:rPr>
        <w:t xml:space="preserve"> o</w:t>
      </w:r>
      <w:r w:rsidR="00062BFA">
        <w:rPr>
          <w:noProof/>
        </w:rPr>
        <w:t> </w:t>
      </w:r>
      <w:r w:rsidR="00062BFA" w:rsidRPr="004F6DAA">
        <w:rPr>
          <w:noProof/>
        </w:rPr>
        <w:t>wys</w:t>
      </w:r>
      <w:r w:rsidRPr="004F6DAA">
        <w:rPr>
          <w:noProof/>
        </w:rPr>
        <w:t>okim ryzyku spowodowania pośredniej zmiany użytkowania gruntów,</w:t>
      </w:r>
      <w:r w:rsidR="00062BFA" w:rsidRPr="004F6DAA">
        <w:rPr>
          <w:noProof/>
        </w:rPr>
        <w:t xml:space="preserve"> w</w:t>
      </w:r>
      <w:r w:rsidR="00062BFA">
        <w:rPr>
          <w:noProof/>
        </w:rPr>
        <w:t> </w:t>
      </w:r>
      <w:r w:rsidR="00062BFA" w:rsidRPr="004F6DAA">
        <w:rPr>
          <w:noProof/>
        </w:rPr>
        <w:t>prz</w:t>
      </w:r>
      <w:r w:rsidRPr="004F6DAA">
        <w:rPr>
          <w:noProof/>
        </w:rPr>
        <w:t>ypadku których zaobserwowano znaczącą ekspansję obszaru produkcji na tereny zasobne</w:t>
      </w:r>
      <w:r w:rsidR="00062BFA" w:rsidRPr="004F6DAA">
        <w:rPr>
          <w:noProof/>
        </w:rPr>
        <w:t xml:space="preserve"> w</w:t>
      </w:r>
      <w:r w:rsidR="00062BFA">
        <w:rPr>
          <w:noProof/>
        </w:rPr>
        <w:t> </w:t>
      </w:r>
      <w:r w:rsidR="00062BFA" w:rsidRPr="004F6DAA">
        <w:rPr>
          <w:noProof/>
        </w:rPr>
        <w:t>pie</w:t>
      </w:r>
      <w:r w:rsidRPr="004F6DAA">
        <w:rPr>
          <w:noProof/>
        </w:rPr>
        <w:t>rwiastek węgla oraz certyfikowania biopaliw, biopłynów</w:t>
      </w:r>
      <w:r w:rsidR="00062BFA" w:rsidRPr="004F6DAA">
        <w:rPr>
          <w:noProof/>
        </w:rPr>
        <w:t xml:space="preserve"> i</w:t>
      </w:r>
      <w:r w:rsidR="00062BFA">
        <w:rPr>
          <w:noProof/>
        </w:rPr>
        <w:t> </w:t>
      </w:r>
      <w:r w:rsidR="00062BFA" w:rsidRPr="004F6DAA">
        <w:rPr>
          <w:noProof/>
        </w:rPr>
        <w:t>pal</w:t>
      </w:r>
      <w:r w:rsidRPr="004F6DAA">
        <w:rPr>
          <w:noProof/>
        </w:rPr>
        <w:t>iw</w:t>
      </w:r>
      <w:r w:rsidR="00062BFA" w:rsidRPr="004F6DAA">
        <w:rPr>
          <w:noProof/>
        </w:rPr>
        <w:t xml:space="preserve"> z</w:t>
      </w:r>
      <w:r w:rsidR="00062BFA">
        <w:rPr>
          <w:noProof/>
        </w:rPr>
        <w:t> </w:t>
      </w:r>
      <w:r w:rsidR="00062BFA" w:rsidRPr="004F6DAA">
        <w:rPr>
          <w:noProof/>
        </w:rPr>
        <w:t>bio</w:t>
      </w:r>
      <w:r w:rsidRPr="004F6DAA">
        <w:rPr>
          <w:noProof/>
        </w:rPr>
        <w:t>masy</w:t>
      </w:r>
      <w:r w:rsidR="00062BFA" w:rsidRPr="004F6DAA">
        <w:rPr>
          <w:noProof/>
        </w:rPr>
        <w:t xml:space="preserve"> o</w:t>
      </w:r>
      <w:r w:rsidR="00062BFA">
        <w:rPr>
          <w:noProof/>
        </w:rPr>
        <w:t> </w:t>
      </w:r>
      <w:r w:rsidR="00062BFA" w:rsidRPr="004F6DAA">
        <w:rPr>
          <w:noProof/>
        </w:rPr>
        <w:t>nis</w:t>
      </w:r>
      <w:r w:rsidRPr="004F6DAA">
        <w:rPr>
          <w:noProof/>
        </w:rPr>
        <w:t>kim ryzyku spowodowania pośredniej zmiany użytkowania gruntów” takie systemy certyfikacji mogą również stosować podmioty</w:t>
      </w:r>
      <w:r w:rsidR="00062BFA" w:rsidRPr="004F6DAA">
        <w:rPr>
          <w:noProof/>
        </w:rPr>
        <w:t xml:space="preserve"> i</w:t>
      </w:r>
      <w:r w:rsidR="00062BFA">
        <w:rPr>
          <w:noProof/>
        </w:rPr>
        <w:t> </w:t>
      </w:r>
      <w:r w:rsidR="00062BFA" w:rsidRPr="004F6DAA">
        <w:rPr>
          <w:noProof/>
        </w:rPr>
        <w:t>pod</w:t>
      </w:r>
      <w:r w:rsidRPr="004F6DAA">
        <w:rPr>
          <w:noProof/>
        </w:rPr>
        <w:t>mioty handlowe</w:t>
      </w:r>
      <w:r w:rsidR="00062BFA" w:rsidRPr="004F6DAA">
        <w:rPr>
          <w:noProof/>
        </w:rPr>
        <w:t xml:space="preserve"> w</w:t>
      </w:r>
      <w:r w:rsidR="00062BFA">
        <w:rPr>
          <w:noProof/>
        </w:rPr>
        <w:t> </w:t>
      </w:r>
      <w:r w:rsidR="00062BFA" w:rsidRPr="004F6DAA">
        <w:rPr>
          <w:noProof/>
        </w:rPr>
        <w:t>ram</w:t>
      </w:r>
      <w:r w:rsidRPr="004F6DAA">
        <w:rPr>
          <w:noProof/>
        </w:rPr>
        <w:t>ach swoich systemów zasad należytej staranności</w:t>
      </w:r>
      <w:r w:rsidR="00062BFA" w:rsidRPr="004F6DAA">
        <w:rPr>
          <w:noProof/>
        </w:rPr>
        <w:t xml:space="preserve"> w</w:t>
      </w:r>
      <w:r w:rsidR="00062BFA">
        <w:rPr>
          <w:noProof/>
        </w:rPr>
        <w:t> </w:t>
      </w:r>
      <w:r w:rsidR="00062BFA" w:rsidRPr="004F6DAA">
        <w:rPr>
          <w:noProof/>
        </w:rPr>
        <w:t>cel</w:t>
      </w:r>
      <w:r w:rsidRPr="004F6DAA">
        <w:rPr>
          <w:noProof/>
        </w:rPr>
        <w:t>u uzyskania informacji wymaganych na mocy tego rozporządzenia, aby spełnić niektóre wymogi dotyczące identyfikowalności</w:t>
      </w:r>
      <w:r w:rsidR="00062BFA" w:rsidRPr="004F6DAA">
        <w:rPr>
          <w:noProof/>
        </w:rPr>
        <w:t xml:space="preserve"> i</w:t>
      </w:r>
      <w:r w:rsidR="00062BFA">
        <w:rPr>
          <w:noProof/>
        </w:rPr>
        <w:t> </w:t>
      </w:r>
      <w:r w:rsidR="00062BFA" w:rsidRPr="004F6DAA">
        <w:rPr>
          <w:noProof/>
        </w:rPr>
        <w:t>wym</w:t>
      </w:r>
      <w:r w:rsidRPr="004F6DAA">
        <w:rPr>
          <w:noProof/>
        </w:rPr>
        <w:t>ogi informacyjne określone</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9</w:t>
      </w:r>
      <w:r w:rsidRPr="004F6DAA">
        <w:rPr>
          <w:noProof/>
        </w:rPr>
        <w:t xml:space="preserve"> tego rozporządzenia. Podobnie jak ma to miejsce</w:t>
      </w:r>
      <w:r w:rsidR="00062BFA" w:rsidRPr="004F6DAA">
        <w:rPr>
          <w:noProof/>
        </w:rPr>
        <w:t xml:space="preserve"> w</w:t>
      </w:r>
      <w:r w:rsidR="00062BFA">
        <w:rPr>
          <w:noProof/>
        </w:rPr>
        <w:t> </w:t>
      </w:r>
      <w:r w:rsidR="00062BFA" w:rsidRPr="004F6DAA">
        <w:rPr>
          <w:noProof/>
        </w:rPr>
        <w:t>prz</w:t>
      </w:r>
      <w:r w:rsidRPr="004F6DAA">
        <w:rPr>
          <w:noProof/>
        </w:rPr>
        <w:t>ypadku wszelkich innych systemów certyfikacji, ich stosowanie pozostaje bez uszczerbku dla wynikających</w:t>
      </w:r>
      <w:r w:rsidR="00062BFA" w:rsidRPr="004F6DAA">
        <w:rPr>
          <w:noProof/>
        </w:rPr>
        <w:t xml:space="preserve"> z</w:t>
      </w:r>
      <w:r w:rsidR="00062BFA">
        <w:rPr>
          <w:noProof/>
        </w:rPr>
        <w:t> </w:t>
      </w:r>
      <w:r w:rsidR="00062BFA" w:rsidRPr="004F6DAA">
        <w:rPr>
          <w:noProof/>
        </w:rPr>
        <w:t>teg</w:t>
      </w:r>
      <w:r w:rsidRPr="004F6DAA">
        <w:rPr>
          <w:noProof/>
        </w:rPr>
        <w:t>o rozporządzenia odpowiedzialności prawnej oraz obowiązków podmiotów</w:t>
      </w:r>
      <w:r w:rsidR="00062BFA" w:rsidRPr="004F6DAA">
        <w:rPr>
          <w:noProof/>
        </w:rPr>
        <w:t xml:space="preserve"> i</w:t>
      </w:r>
      <w:r w:rsidR="00062BFA">
        <w:rPr>
          <w:noProof/>
        </w:rPr>
        <w:t> </w:t>
      </w:r>
      <w:r w:rsidR="00062BFA" w:rsidRPr="004F6DAA">
        <w:rPr>
          <w:noProof/>
        </w:rPr>
        <w:t>pod</w:t>
      </w:r>
      <w:r w:rsidRPr="004F6DAA">
        <w:rPr>
          <w:noProof/>
        </w:rPr>
        <w:t>miotów handlowych</w:t>
      </w:r>
      <w:r w:rsidR="00062BFA" w:rsidRPr="004F6DAA">
        <w:rPr>
          <w:noProof/>
        </w:rPr>
        <w:t xml:space="preserve"> w</w:t>
      </w:r>
      <w:r w:rsidR="00062BFA">
        <w:rPr>
          <w:noProof/>
        </w:rPr>
        <w:t> </w:t>
      </w:r>
      <w:r w:rsidR="00062BFA" w:rsidRPr="004F6DAA">
        <w:rPr>
          <w:noProof/>
        </w:rPr>
        <w:t>zak</w:t>
      </w:r>
      <w:r w:rsidRPr="004F6DAA">
        <w:rPr>
          <w:noProof/>
        </w:rPr>
        <w:t>resie zachowania należytej staranności.</w:t>
      </w:r>
    </w:p>
    <w:p w14:paraId="02F47BD1" w14:textId="77777777" w:rsidR="001C3FCC" w:rsidRPr="004F6DAA" w:rsidRDefault="001C3FCC" w:rsidP="009A3168">
      <w:pPr>
        <w:pStyle w:val="ManualHeading1"/>
        <w:rPr>
          <w:noProof/>
        </w:rPr>
      </w:pPr>
      <w:r w:rsidRPr="004F6DAA">
        <w:rPr>
          <w:noProof/>
        </w:rPr>
        <w:t>2.</w:t>
      </w:r>
      <w:r w:rsidRPr="004F6DAA">
        <w:rPr>
          <w:noProof/>
        </w:rPr>
        <w:tab/>
        <w:t>PODSTAWA PRAWNA, POMOCNICZOŚĆ I PROPORCJONALNOŚĆ</w:t>
      </w:r>
    </w:p>
    <w:p w14:paraId="783EA6FC" w14:textId="77777777" w:rsidR="001C3FCC" w:rsidRPr="004F6DAA" w:rsidRDefault="001C3FCC" w:rsidP="009A3168">
      <w:pPr>
        <w:pStyle w:val="ManualHeading2"/>
        <w:rPr>
          <w:rFonts w:eastAsia="Arial Unicode MS"/>
          <w:noProof/>
          <w:u w:color="000000"/>
          <w:bdr w:val="nil"/>
        </w:rPr>
      </w:pPr>
      <w:r w:rsidRPr="004F6DAA">
        <w:rPr>
          <w:noProof/>
          <w:u w:color="000000"/>
          <w:bdr w:val="nil"/>
        </w:rPr>
        <w:t>•</w:t>
      </w:r>
      <w:r w:rsidRPr="004F6DAA">
        <w:rPr>
          <w:noProof/>
        </w:rPr>
        <w:tab/>
      </w:r>
      <w:r w:rsidRPr="004F6DAA">
        <w:rPr>
          <w:noProof/>
          <w:u w:color="000000"/>
          <w:bdr w:val="nil"/>
        </w:rPr>
        <w:t>Podstawa prawna</w:t>
      </w:r>
    </w:p>
    <w:p w14:paraId="16991C3F" w14:textId="77777777" w:rsidR="00864FFC" w:rsidRPr="004F6DAA" w:rsidRDefault="00864FFC" w:rsidP="00864FFC">
      <w:pPr>
        <w:pBdr>
          <w:top w:val="nil"/>
          <w:left w:val="nil"/>
          <w:bottom w:val="nil"/>
          <w:right w:val="nil"/>
          <w:between w:val="nil"/>
          <w:bar w:val="nil"/>
        </w:pBdr>
        <w:spacing w:before="0" w:after="240"/>
        <w:rPr>
          <w:rFonts w:eastAsia="Arial Unicode MS"/>
          <w:noProof/>
        </w:rPr>
      </w:pPr>
      <w:r w:rsidRPr="004F6DAA">
        <w:rPr>
          <w:noProof/>
        </w:rPr>
        <w:t>Kompetencje UE</w:t>
      </w:r>
      <w:r w:rsidR="00062BFA" w:rsidRPr="004F6DAA">
        <w:rPr>
          <w:noProof/>
        </w:rPr>
        <w:t xml:space="preserve"> w</w:t>
      </w:r>
      <w:r w:rsidR="00062BFA">
        <w:rPr>
          <w:noProof/>
        </w:rPr>
        <w:t> </w:t>
      </w:r>
      <w:r w:rsidR="00062BFA" w:rsidRPr="004F6DAA">
        <w:rPr>
          <w:noProof/>
        </w:rPr>
        <w:t>zak</w:t>
      </w:r>
      <w:r w:rsidRPr="004F6DAA">
        <w:rPr>
          <w:noProof/>
        </w:rPr>
        <w:t>resie podejmowania działań</w:t>
      </w:r>
      <w:r w:rsidR="00062BFA" w:rsidRPr="004F6DAA">
        <w:rPr>
          <w:noProof/>
        </w:rPr>
        <w:t xml:space="preserve"> w</w:t>
      </w:r>
      <w:r w:rsidR="00062BFA">
        <w:rPr>
          <w:noProof/>
        </w:rPr>
        <w:t> </w:t>
      </w:r>
      <w:r w:rsidR="00062BFA" w:rsidRPr="004F6DAA">
        <w:rPr>
          <w:noProof/>
        </w:rPr>
        <w:t>obs</w:t>
      </w:r>
      <w:r w:rsidRPr="004F6DAA">
        <w:rPr>
          <w:noProof/>
        </w:rPr>
        <w:t>zarze wylesiania</w:t>
      </w:r>
      <w:r w:rsidR="00062BFA" w:rsidRPr="004F6DAA">
        <w:rPr>
          <w:noProof/>
        </w:rPr>
        <w:t xml:space="preserve"> i</w:t>
      </w:r>
      <w:r w:rsidR="00062BFA">
        <w:rPr>
          <w:noProof/>
        </w:rPr>
        <w:t> </w:t>
      </w:r>
      <w:r w:rsidR="00062BFA" w:rsidRPr="004F6DAA">
        <w:rPr>
          <w:noProof/>
        </w:rPr>
        <w:t>deg</w:t>
      </w:r>
      <w:r w:rsidRPr="004F6DAA">
        <w:rPr>
          <w:noProof/>
        </w:rPr>
        <w:t>radacji lasów wynikają</w:t>
      </w:r>
      <w:r w:rsidR="00062BFA" w:rsidRPr="004F6DAA">
        <w:rPr>
          <w:noProof/>
        </w:rPr>
        <w:t xml:space="preserve"> z</w:t>
      </w:r>
      <w:r w:rsidR="00062BFA">
        <w:rPr>
          <w:noProof/>
        </w:rPr>
        <w:t> </w:t>
      </w:r>
      <w:r w:rsidR="00062BFA" w:rsidRPr="004F6DAA">
        <w:rPr>
          <w:noProof/>
        </w:rPr>
        <w:t>art</w:t>
      </w:r>
      <w:r w:rsidRPr="004F6DAA">
        <w:rPr>
          <w:noProof/>
        </w:rPr>
        <w:t>ykułów Traktatu</w:t>
      </w:r>
      <w:r w:rsidR="00062BFA" w:rsidRPr="004F6DAA">
        <w:rPr>
          <w:noProof/>
        </w:rPr>
        <w:t xml:space="preserve"> o</w:t>
      </w:r>
      <w:r w:rsidR="00062BFA">
        <w:rPr>
          <w:noProof/>
        </w:rPr>
        <w:t> </w:t>
      </w:r>
      <w:r w:rsidR="00062BFA" w:rsidRPr="004F6DAA">
        <w:rPr>
          <w:noProof/>
        </w:rPr>
        <w:t>fun</w:t>
      </w:r>
      <w:r w:rsidRPr="004F6DAA">
        <w:rPr>
          <w:noProof/>
        </w:rPr>
        <w:t>kcjonowaniu Unii Europejskiej (TFUE) dotyczących ochrony środowiska. Zgodnie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 xml:space="preserve">91 </w:t>
      </w:r>
      <w:r w:rsidRPr="00062BFA">
        <w:rPr>
          <w:noProof/>
        </w:rPr>
        <w:t>ust.</w:t>
      </w:r>
      <w:r w:rsidR="00062BFA" w:rsidRPr="00062BFA">
        <w:rPr>
          <w:noProof/>
        </w:rPr>
        <w:t> </w:t>
      </w:r>
      <w:r w:rsidRPr="00062BFA">
        <w:rPr>
          <w:noProof/>
        </w:rPr>
        <w:t>1</w:t>
      </w:r>
      <w:r w:rsidRPr="004F6DAA">
        <w:rPr>
          <w:noProof/>
        </w:rPr>
        <w:t xml:space="preserve"> TFUE „zachowanie, ochron[ę]</w:t>
      </w:r>
      <w:r w:rsidR="00062BFA" w:rsidRPr="004F6DAA">
        <w:rPr>
          <w:noProof/>
        </w:rPr>
        <w:t xml:space="preserve"> i</w:t>
      </w:r>
      <w:r w:rsidR="00062BFA">
        <w:rPr>
          <w:noProof/>
        </w:rPr>
        <w:t> </w:t>
      </w:r>
      <w:r w:rsidR="00062BFA" w:rsidRPr="004F6DAA">
        <w:rPr>
          <w:noProof/>
        </w:rPr>
        <w:t>pop</w:t>
      </w:r>
      <w:r w:rsidRPr="004F6DAA">
        <w:rPr>
          <w:noProof/>
        </w:rPr>
        <w:t>raw[ę] jakości środowiska naturalnego, ochron[ę] zdrowia ludzkiego, ostrożne</w:t>
      </w:r>
      <w:r w:rsidR="00062BFA" w:rsidRPr="004F6DAA">
        <w:rPr>
          <w:noProof/>
        </w:rPr>
        <w:t xml:space="preserve"> i</w:t>
      </w:r>
      <w:r w:rsidR="00062BFA">
        <w:rPr>
          <w:noProof/>
        </w:rPr>
        <w:t> </w:t>
      </w:r>
      <w:r w:rsidR="00062BFA" w:rsidRPr="004F6DAA">
        <w:rPr>
          <w:noProof/>
        </w:rPr>
        <w:t>rac</w:t>
      </w:r>
      <w:r w:rsidRPr="004F6DAA">
        <w:rPr>
          <w:noProof/>
        </w:rPr>
        <w:t>jonalne wykorzystywanie zasobów naturalnych, promowanie środków zmierzających do rozwiązywania regionalnych lub światowych problemów środowiska naturalnego,</w:t>
      </w:r>
      <w:r w:rsidR="00062BFA" w:rsidRPr="004F6DAA">
        <w:rPr>
          <w:noProof/>
        </w:rPr>
        <w:t xml:space="preserve"> w</w:t>
      </w:r>
      <w:r w:rsidR="00062BFA">
        <w:rPr>
          <w:noProof/>
        </w:rPr>
        <w:t> </w:t>
      </w:r>
      <w:r w:rsidR="00062BFA" w:rsidRPr="004F6DAA">
        <w:rPr>
          <w:noProof/>
        </w:rPr>
        <w:t>szc</w:t>
      </w:r>
      <w:r w:rsidRPr="004F6DAA">
        <w:rPr>
          <w:noProof/>
        </w:rPr>
        <w:t>zególności zwalczanie zmian klimatu” wyznaczono jako cele polityki Unii</w:t>
      </w:r>
      <w:r w:rsidR="00062BFA" w:rsidRPr="004F6DAA">
        <w:rPr>
          <w:noProof/>
        </w:rPr>
        <w:t xml:space="preserve"> w</w:t>
      </w:r>
      <w:r w:rsidR="00062BFA">
        <w:rPr>
          <w:noProof/>
        </w:rPr>
        <w:t> </w:t>
      </w:r>
      <w:r w:rsidR="00062BFA" w:rsidRPr="004F6DAA">
        <w:rPr>
          <w:noProof/>
        </w:rPr>
        <w:t>dzi</w:t>
      </w:r>
      <w:r w:rsidRPr="004F6DAA">
        <w:rPr>
          <w:noProof/>
        </w:rPr>
        <w:t>edzinie środowiska. Przyjęcie na szczeblu Unii środków mających na celu zwalczanie wylesiania</w:t>
      </w:r>
      <w:r w:rsidR="00062BFA" w:rsidRPr="004F6DAA">
        <w:rPr>
          <w:noProof/>
        </w:rPr>
        <w:t xml:space="preserve"> i</w:t>
      </w:r>
      <w:r w:rsidR="00062BFA">
        <w:rPr>
          <w:noProof/>
        </w:rPr>
        <w:t> </w:t>
      </w:r>
      <w:r w:rsidR="00062BFA" w:rsidRPr="004F6DAA">
        <w:rPr>
          <w:noProof/>
        </w:rPr>
        <w:t>deg</w:t>
      </w:r>
      <w:r w:rsidRPr="004F6DAA">
        <w:rPr>
          <w:noProof/>
        </w:rPr>
        <w:t>radacji lasów przyczyni się do ograniczenia emisji gazów cieplarnianych, zwiększenia odporności na zmianę klimatu</w:t>
      </w:r>
      <w:r w:rsidR="00062BFA" w:rsidRPr="004F6DAA">
        <w:rPr>
          <w:noProof/>
        </w:rPr>
        <w:t xml:space="preserve"> i</w:t>
      </w:r>
      <w:r w:rsidR="00062BFA">
        <w:rPr>
          <w:noProof/>
        </w:rPr>
        <w:t> </w:t>
      </w:r>
      <w:r w:rsidR="00062BFA" w:rsidRPr="004F6DAA">
        <w:rPr>
          <w:noProof/>
        </w:rPr>
        <w:t>ogr</w:t>
      </w:r>
      <w:r w:rsidRPr="004F6DAA">
        <w:rPr>
          <w:noProof/>
        </w:rPr>
        <w:t>aniczenia wpływu człowieka na bioróżnorodność,</w:t>
      </w:r>
      <w:r w:rsidR="00062BFA" w:rsidRPr="004F6DAA">
        <w:rPr>
          <w:noProof/>
        </w:rPr>
        <w:t xml:space="preserve"> a</w:t>
      </w:r>
      <w:r w:rsidR="00062BFA">
        <w:rPr>
          <w:noProof/>
        </w:rPr>
        <w:t> </w:t>
      </w:r>
      <w:r w:rsidR="00062BFA" w:rsidRPr="004F6DAA">
        <w:rPr>
          <w:noProof/>
        </w:rPr>
        <w:t>tym</w:t>
      </w:r>
      <w:r w:rsidRPr="004F6DAA">
        <w:rPr>
          <w:noProof/>
        </w:rPr>
        <w:t xml:space="preserve"> samym przyczyni się znacząco do realizacji każdego</w:t>
      </w:r>
      <w:r w:rsidR="00062BFA" w:rsidRPr="004F6DAA">
        <w:rPr>
          <w:noProof/>
        </w:rPr>
        <w:t xml:space="preserve"> z</w:t>
      </w:r>
      <w:r w:rsidR="00062BFA">
        <w:rPr>
          <w:noProof/>
        </w:rPr>
        <w:t> </w:t>
      </w:r>
      <w:r w:rsidR="00062BFA" w:rsidRPr="004F6DAA">
        <w:rPr>
          <w:noProof/>
        </w:rPr>
        <w:t>cel</w:t>
      </w:r>
      <w:r w:rsidRPr="004F6DAA">
        <w:rPr>
          <w:noProof/>
        </w:rPr>
        <w:t xml:space="preserve">ów polityki ochrony środowiska. Podstawą prawną wniosku powinien być zatem </w:t>
      </w:r>
      <w:r w:rsidRPr="00062BFA">
        <w:rPr>
          <w:noProof/>
        </w:rPr>
        <w:t>art.</w:t>
      </w:r>
      <w:r w:rsidR="00062BFA" w:rsidRPr="00062BFA">
        <w:rPr>
          <w:noProof/>
        </w:rPr>
        <w:t> </w:t>
      </w:r>
      <w:r w:rsidRPr="00062BFA">
        <w:rPr>
          <w:noProof/>
        </w:rPr>
        <w:t>1</w:t>
      </w:r>
      <w:r w:rsidRPr="004F6DAA">
        <w:rPr>
          <w:noProof/>
        </w:rPr>
        <w:t xml:space="preserve">92 TFUE. </w:t>
      </w:r>
    </w:p>
    <w:p w14:paraId="0ADD4953" w14:textId="77777777" w:rsidR="00864FFC" w:rsidRPr="004F6DAA" w:rsidRDefault="00864FFC" w:rsidP="00864FFC">
      <w:pPr>
        <w:pBdr>
          <w:top w:val="nil"/>
          <w:left w:val="nil"/>
          <w:bottom w:val="nil"/>
          <w:right w:val="nil"/>
          <w:between w:val="nil"/>
          <w:bar w:val="nil"/>
        </w:pBdr>
        <w:spacing w:before="0" w:after="240"/>
        <w:rPr>
          <w:rFonts w:eastAsia="Arial Unicode MS"/>
          <w:noProof/>
        </w:rPr>
      </w:pPr>
      <w:r w:rsidRPr="004F6DAA">
        <w:rPr>
          <w:noProof/>
        </w:rPr>
        <w:t>Podobnie jak ma to miejsce</w:t>
      </w:r>
      <w:r w:rsidR="00062BFA" w:rsidRPr="004F6DAA">
        <w:rPr>
          <w:noProof/>
        </w:rPr>
        <w:t xml:space="preserve"> w</w:t>
      </w:r>
      <w:r w:rsidR="00062BFA">
        <w:rPr>
          <w:noProof/>
        </w:rPr>
        <w:t> </w:t>
      </w:r>
      <w:r w:rsidR="00062BFA" w:rsidRPr="004F6DAA">
        <w:rPr>
          <w:noProof/>
        </w:rPr>
        <w:t>prz</w:t>
      </w:r>
      <w:r w:rsidRPr="004F6DAA">
        <w:rPr>
          <w:noProof/>
        </w:rPr>
        <w:t>ypadku wielu kwestii środowiskowych, konsekwencje wylesiania na jednym obszarze mogą mieć wpływ na cały świat</w:t>
      </w:r>
      <w:r w:rsidR="00062BFA" w:rsidRPr="004F6DAA">
        <w:rPr>
          <w:noProof/>
        </w:rPr>
        <w:t>. W</w:t>
      </w:r>
      <w:r w:rsidR="00062BFA">
        <w:rPr>
          <w:noProof/>
        </w:rPr>
        <w:t> </w:t>
      </w:r>
      <w:r w:rsidR="00062BFA" w:rsidRPr="004F6DAA">
        <w:rPr>
          <w:noProof/>
        </w:rPr>
        <w:t>ram</w:t>
      </w:r>
      <w:r w:rsidRPr="004F6DAA">
        <w:rPr>
          <w:noProof/>
        </w:rPr>
        <w:t>ach proponowanej podstawy prawnej niniejszym wnioskiem należy zatem objąć zarówno produkty krajowe, jak</w:t>
      </w:r>
      <w:r w:rsidR="00062BFA" w:rsidRPr="004F6DAA">
        <w:rPr>
          <w:noProof/>
        </w:rPr>
        <w:t xml:space="preserve"> i</w:t>
      </w:r>
      <w:r w:rsidR="00062BFA">
        <w:rPr>
          <w:noProof/>
        </w:rPr>
        <w:t> </w:t>
      </w:r>
      <w:r w:rsidR="00062BFA" w:rsidRPr="004F6DAA">
        <w:rPr>
          <w:noProof/>
        </w:rPr>
        <w:t>pro</w:t>
      </w:r>
      <w:r w:rsidRPr="004F6DAA">
        <w:rPr>
          <w:noProof/>
        </w:rPr>
        <w:t xml:space="preserve">dukty dopuszczone do obrotu lub wywożone. Dzięki temu możliwe będzie spełnienie wymogu zawartego </w:t>
      </w:r>
      <w:r w:rsidRPr="00062BFA">
        <w:rPr>
          <w:noProof/>
        </w:rPr>
        <w:t>art.</w:t>
      </w:r>
      <w:r w:rsidR="00062BFA" w:rsidRPr="00062BFA">
        <w:rPr>
          <w:noProof/>
        </w:rPr>
        <w:t> </w:t>
      </w:r>
      <w:r w:rsidRPr="00062BFA">
        <w:rPr>
          <w:noProof/>
        </w:rPr>
        <w:t>1</w:t>
      </w:r>
      <w:r w:rsidRPr="004F6DAA">
        <w:rPr>
          <w:noProof/>
        </w:rPr>
        <w:t xml:space="preserve">91 </w:t>
      </w:r>
      <w:r w:rsidRPr="00062BFA">
        <w:rPr>
          <w:noProof/>
        </w:rPr>
        <w:t>ust.</w:t>
      </w:r>
      <w:r w:rsidR="00062BFA" w:rsidRPr="00062BFA">
        <w:rPr>
          <w:noProof/>
        </w:rPr>
        <w:t> </w:t>
      </w:r>
      <w:r w:rsidRPr="00062BFA">
        <w:rPr>
          <w:noProof/>
        </w:rPr>
        <w:t>2</w:t>
      </w:r>
      <w:r w:rsidRPr="004F6DAA">
        <w:rPr>
          <w:noProof/>
        </w:rPr>
        <w:t xml:space="preserve"> TFUE, zgodnie</w:t>
      </w:r>
      <w:r w:rsidR="00062BFA" w:rsidRPr="004F6DAA">
        <w:rPr>
          <w:noProof/>
        </w:rPr>
        <w:t xml:space="preserve"> z</w:t>
      </w:r>
      <w:r w:rsidR="00062BFA">
        <w:rPr>
          <w:noProof/>
        </w:rPr>
        <w:t> </w:t>
      </w:r>
      <w:r w:rsidR="00062BFA" w:rsidRPr="004F6DAA">
        <w:rPr>
          <w:noProof/>
        </w:rPr>
        <w:t>któ</w:t>
      </w:r>
      <w:r w:rsidRPr="004F6DAA">
        <w:rPr>
          <w:noProof/>
        </w:rPr>
        <w:t>rym polityka Unii</w:t>
      </w:r>
      <w:r w:rsidR="00062BFA" w:rsidRPr="004F6DAA">
        <w:rPr>
          <w:noProof/>
        </w:rPr>
        <w:t xml:space="preserve"> w</w:t>
      </w:r>
      <w:r w:rsidR="00062BFA">
        <w:rPr>
          <w:noProof/>
        </w:rPr>
        <w:t> </w:t>
      </w:r>
      <w:r w:rsidR="00062BFA" w:rsidRPr="004F6DAA">
        <w:rPr>
          <w:noProof/>
        </w:rPr>
        <w:t>dzi</w:t>
      </w:r>
      <w:r w:rsidRPr="004F6DAA">
        <w:rPr>
          <w:noProof/>
        </w:rPr>
        <w:t>edzinie środowiska naturalnego stawia sobie za cel wysoki poziom ochrony, oraz wymogu ustanowionego</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 xml:space="preserve"> </w:t>
      </w:r>
      <w:r w:rsidRPr="00062BFA">
        <w:rPr>
          <w:noProof/>
        </w:rPr>
        <w:t>ust.</w:t>
      </w:r>
      <w:r w:rsidR="00062BFA" w:rsidRPr="00062BFA">
        <w:rPr>
          <w:noProof/>
        </w:rPr>
        <w:t> </w:t>
      </w:r>
      <w:r w:rsidRPr="00062BFA">
        <w:rPr>
          <w:noProof/>
        </w:rPr>
        <w:t>3</w:t>
      </w:r>
      <w:r w:rsidRPr="004F6DAA">
        <w:rPr>
          <w:noProof/>
        </w:rPr>
        <w:t xml:space="preserve"> Traktatu</w:t>
      </w:r>
      <w:r w:rsidR="00062BFA" w:rsidRPr="004F6DAA">
        <w:rPr>
          <w:noProof/>
        </w:rPr>
        <w:t xml:space="preserve"> o</w:t>
      </w:r>
      <w:r w:rsidR="00062BFA">
        <w:rPr>
          <w:noProof/>
        </w:rPr>
        <w:t> </w:t>
      </w:r>
      <w:r w:rsidR="00062BFA" w:rsidRPr="004F6DAA">
        <w:rPr>
          <w:noProof/>
        </w:rPr>
        <w:t>Uni</w:t>
      </w:r>
      <w:r w:rsidRPr="004F6DAA">
        <w:rPr>
          <w:noProof/>
        </w:rPr>
        <w:t>i Europejskiej (TUE), zgodnie</w:t>
      </w:r>
      <w:r w:rsidR="00062BFA" w:rsidRPr="004F6DAA">
        <w:rPr>
          <w:noProof/>
        </w:rPr>
        <w:t xml:space="preserve"> z</w:t>
      </w:r>
      <w:r w:rsidR="00062BFA">
        <w:rPr>
          <w:noProof/>
        </w:rPr>
        <w:t> </w:t>
      </w:r>
      <w:r w:rsidR="00062BFA" w:rsidRPr="004F6DAA">
        <w:rPr>
          <w:noProof/>
        </w:rPr>
        <w:t>któ</w:t>
      </w:r>
      <w:r w:rsidRPr="004F6DAA">
        <w:rPr>
          <w:noProof/>
        </w:rPr>
        <w:t>rym wspieranie wysokiego poziomu ochrony</w:t>
      </w:r>
      <w:r w:rsidR="00062BFA" w:rsidRPr="004F6DAA">
        <w:rPr>
          <w:noProof/>
        </w:rPr>
        <w:t xml:space="preserve"> i</w:t>
      </w:r>
      <w:r w:rsidR="00062BFA">
        <w:rPr>
          <w:noProof/>
        </w:rPr>
        <w:t> </w:t>
      </w:r>
      <w:r w:rsidR="00062BFA" w:rsidRPr="004F6DAA">
        <w:rPr>
          <w:noProof/>
        </w:rPr>
        <w:t>pop</w:t>
      </w:r>
      <w:r w:rsidRPr="004F6DAA">
        <w:rPr>
          <w:noProof/>
        </w:rPr>
        <w:t>rawy jakości środowiska naturalnego jest jednym</w:t>
      </w:r>
      <w:r w:rsidR="00062BFA" w:rsidRPr="004F6DAA">
        <w:rPr>
          <w:noProof/>
        </w:rPr>
        <w:t xml:space="preserve"> z</w:t>
      </w:r>
      <w:r w:rsidR="00062BFA">
        <w:rPr>
          <w:noProof/>
        </w:rPr>
        <w:t> </w:t>
      </w:r>
      <w:r w:rsidR="00062BFA" w:rsidRPr="004F6DAA">
        <w:rPr>
          <w:noProof/>
        </w:rPr>
        <w:t>cel</w:t>
      </w:r>
      <w:r w:rsidRPr="004F6DAA">
        <w:rPr>
          <w:noProof/>
        </w:rPr>
        <w:t xml:space="preserve">ów Unii. </w:t>
      </w:r>
    </w:p>
    <w:p w14:paraId="66529D9D" w14:textId="77777777" w:rsidR="00864FFC" w:rsidRPr="004F6DAA" w:rsidRDefault="00864FFC" w:rsidP="00864FFC">
      <w:pPr>
        <w:pBdr>
          <w:top w:val="nil"/>
          <w:left w:val="nil"/>
          <w:bottom w:val="nil"/>
          <w:right w:val="nil"/>
          <w:between w:val="nil"/>
          <w:bar w:val="nil"/>
        </w:pBdr>
        <w:spacing w:before="0" w:after="240"/>
        <w:rPr>
          <w:rFonts w:eastAsia="Arial Unicode MS"/>
          <w:noProof/>
          <w:u w:val="single"/>
          <w:vertAlign w:val="superscript"/>
        </w:rPr>
      </w:pPr>
      <w:r w:rsidRPr="004F6DAA">
        <w:rPr>
          <w:noProof/>
        </w:rPr>
        <w:t>Zgodnie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 xml:space="preserve">92 </w:t>
      </w:r>
      <w:r w:rsidRPr="00062BFA">
        <w:rPr>
          <w:noProof/>
        </w:rPr>
        <w:t>ust.</w:t>
      </w:r>
      <w:r w:rsidR="00062BFA" w:rsidRPr="00062BFA">
        <w:rPr>
          <w:noProof/>
        </w:rPr>
        <w:t> </w:t>
      </w:r>
      <w:r w:rsidRPr="00062BFA">
        <w:rPr>
          <w:noProof/>
        </w:rPr>
        <w:t>1</w:t>
      </w:r>
      <w:r w:rsidRPr="004F6DAA">
        <w:rPr>
          <w:noProof/>
        </w:rPr>
        <w:t xml:space="preserve"> TFUE „Parlament Europejski</w:t>
      </w:r>
      <w:r w:rsidR="00062BFA" w:rsidRPr="004F6DAA">
        <w:rPr>
          <w:noProof/>
        </w:rPr>
        <w:t xml:space="preserve"> i</w:t>
      </w:r>
      <w:r w:rsidR="00062BFA">
        <w:rPr>
          <w:noProof/>
        </w:rPr>
        <w:t> </w:t>
      </w:r>
      <w:r w:rsidR="00062BFA" w:rsidRPr="004F6DAA">
        <w:rPr>
          <w:noProof/>
        </w:rPr>
        <w:t>Rad</w:t>
      </w:r>
      <w:r w:rsidRPr="004F6DAA">
        <w:rPr>
          <w:noProof/>
        </w:rPr>
        <w:t>a, stanowiąc zgodnie ze zwykłą procedurą ustawodawczą i po konsultacji</w:t>
      </w:r>
      <w:r w:rsidR="00062BFA" w:rsidRPr="004F6DAA">
        <w:rPr>
          <w:noProof/>
        </w:rPr>
        <w:t xml:space="preserve"> z</w:t>
      </w:r>
      <w:r w:rsidR="00062BFA">
        <w:rPr>
          <w:noProof/>
        </w:rPr>
        <w:t> </w:t>
      </w:r>
      <w:r w:rsidR="00062BFA" w:rsidRPr="004F6DAA">
        <w:rPr>
          <w:noProof/>
        </w:rPr>
        <w:t>Kom</w:t>
      </w:r>
      <w:r w:rsidRPr="004F6DAA">
        <w:rPr>
          <w:noProof/>
        </w:rPr>
        <w:t>itetem Ekonomiczno-Społecznym oraz Komitetem Regionów, decydują</w:t>
      </w:r>
      <w:r w:rsidR="00062BFA" w:rsidRPr="004F6DAA">
        <w:rPr>
          <w:noProof/>
        </w:rPr>
        <w:t xml:space="preserve"> o</w:t>
      </w:r>
      <w:r w:rsidR="00062BFA">
        <w:rPr>
          <w:noProof/>
        </w:rPr>
        <w:t> </w:t>
      </w:r>
      <w:r w:rsidR="00062BFA" w:rsidRPr="004F6DAA">
        <w:rPr>
          <w:noProof/>
        </w:rPr>
        <w:t>dzi</w:t>
      </w:r>
      <w:r w:rsidRPr="004F6DAA">
        <w:rPr>
          <w:noProof/>
        </w:rPr>
        <w:t>ałaniu służącym osiągnięciu celów określonych</w:t>
      </w:r>
      <w:r w:rsidR="00062BFA" w:rsidRPr="004F6DAA">
        <w:rPr>
          <w:noProof/>
        </w:rPr>
        <w:t xml:space="preserve"> w</w:t>
      </w:r>
      <w:r w:rsidR="00062BFA">
        <w:rPr>
          <w:noProof/>
        </w:rPr>
        <w:t> </w:t>
      </w:r>
      <w:r w:rsidR="00062BFA" w:rsidRPr="004F6DAA">
        <w:rPr>
          <w:noProof/>
        </w:rPr>
        <w:t>art</w:t>
      </w:r>
      <w:r w:rsidRPr="004F6DAA">
        <w:rPr>
          <w:noProof/>
        </w:rPr>
        <w:t>ykule 191, które ma być podjęte przez Unię”.</w:t>
      </w:r>
      <w:r w:rsidRPr="004F6DAA">
        <w:rPr>
          <w:noProof/>
          <w:vertAlign w:val="superscript"/>
        </w:rPr>
        <w:t xml:space="preserve"> </w:t>
      </w:r>
    </w:p>
    <w:p w14:paraId="0A756D2D" w14:textId="77777777" w:rsidR="001C3FCC" w:rsidRPr="004F6DAA" w:rsidRDefault="001C3FCC" w:rsidP="009A3168">
      <w:pPr>
        <w:pStyle w:val="ManualHeading2"/>
        <w:rPr>
          <w:rFonts w:eastAsia="Arial Unicode MS"/>
          <w:noProof/>
          <w:u w:color="000000"/>
          <w:bdr w:val="nil"/>
        </w:rPr>
      </w:pPr>
      <w:r w:rsidRPr="004F6DAA">
        <w:rPr>
          <w:noProof/>
          <w:u w:color="000000"/>
          <w:bdr w:val="nil"/>
        </w:rPr>
        <w:t>•</w:t>
      </w:r>
      <w:r w:rsidRPr="004F6DAA">
        <w:rPr>
          <w:noProof/>
        </w:rPr>
        <w:tab/>
      </w:r>
      <w:r w:rsidRPr="004F6DAA">
        <w:rPr>
          <w:noProof/>
          <w:u w:color="000000"/>
          <w:bdr w:val="nil"/>
        </w:rPr>
        <w:t xml:space="preserve">Pomocniczość (w przypadku kompetencji niewyłącznych) </w:t>
      </w:r>
    </w:p>
    <w:p w14:paraId="55EA025B" w14:textId="77777777" w:rsidR="00E303F9" w:rsidRPr="004F6DAA" w:rsidRDefault="00E303F9" w:rsidP="00E303F9">
      <w:pPr>
        <w:tabs>
          <w:tab w:val="num" w:pos="540"/>
        </w:tabs>
        <w:rPr>
          <w:rFonts w:eastAsia="Times New Roman"/>
          <w:noProof/>
        </w:rPr>
      </w:pPr>
      <w:r w:rsidRPr="004F6DAA">
        <w:rPr>
          <w:noProof/>
        </w:rPr>
        <w:t>Główne czynniki powodujące wylesianie</w:t>
      </w:r>
      <w:r w:rsidR="00062BFA" w:rsidRPr="004F6DAA">
        <w:rPr>
          <w:noProof/>
        </w:rPr>
        <w:t xml:space="preserve"> i</w:t>
      </w:r>
      <w:r w:rsidR="00062BFA">
        <w:rPr>
          <w:noProof/>
        </w:rPr>
        <w:t> </w:t>
      </w:r>
      <w:r w:rsidR="00062BFA" w:rsidRPr="004F6DAA">
        <w:rPr>
          <w:noProof/>
        </w:rPr>
        <w:t>deg</w:t>
      </w:r>
      <w:r w:rsidRPr="004F6DAA">
        <w:rPr>
          <w:noProof/>
        </w:rPr>
        <w:t>radację lasów są związane zarówno</w:t>
      </w:r>
      <w:r w:rsidR="00062BFA" w:rsidRPr="004F6DAA">
        <w:rPr>
          <w:noProof/>
        </w:rPr>
        <w:t xml:space="preserve"> z</w:t>
      </w:r>
      <w:r w:rsidR="00062BFA">
        <w:rPr>
          <w:noProof/>
        </w:rPr>
        <w:t> </w:t>
      </w:r>
      <w:r w:rsidR="00062BFA" w:rsidRPr="004F6DAA">
        <w:rPr>
          <w:noProof/>
        </w:rPr>
        <w:t>ryn</w:t>
      </w:r>
      <w:r w:rsidRPr="004F6DAA">
        <w:rPr>
          <w:noProof/>
        </w:rPr>
        <w:t>kiem UE, jak</w:t>
      </w:r>
      <w:r w:rsidR="00062BFA" w:rsidRPr="004F6DAA">
        <w:rPr>
          <w:noProof/>
        </w:rPr>
        <w:t xml:space="preserve"> i</w:t>
      </w:r>
      <w:r w:rsidR="00062BFA">
        <w:rPr>
          <w:noProof/>
        </w:rPr>
        <w:t> </w:t>
      </w:r>
      <w:r w:rsidR="00062BFA" w:rsidRPr="004F6DAA">
        <w:rPr>
          <w:noProof/>
        </w:rPr>
        <w:t>z</w:t>
      </w:r>
      <w:r w:rsidR="00062BFA">
        <w:rPr>
          <w:noProof/>
        </w:rPr>
        <w:t> </w:t>
      </w:r>
      <w:r w:rsidR="00062BFA" w:rsidRPr="004F6DAA">
        <w:rPr>
          <w:noProof/>
        </w:rPr>
        <w:t>han</w:t>
      </w:r>
      <w:r w:rsidRPr="004F6DAA">
        <w:rPr>
          <w:noProof/>
        </w:rPr>
        <w:t>dlem międzynarodowym. Konieczne jest podjęcie działań na szczeblu UE, aby</w:t>
      </w:r>
      <w:r w:rsidR="00062BFA" w:rsidRPr="004F6DAA">
        <w:rPr>
          <w:noProof/>
        </w:rPr>
        <w:t xml:space="preserve"> w</w:t>
      </w:r>
      <w:r w:rsidR="00062BFA">
        <w:rPr>
          <w:noProof/>
        </w:rPr>
        <w:t> </w:t>
      </w:r>
      <w:r w:rsidR="00062BFA" w:rsidRPr="004F6DAA">
        <w:rPr>
          <w:noProof/>
        </w:rPr>
        <w:t>spo</w:t>
      </w:r>
      <w:r w:rsidRPr="004F6DAA">
        <w:rPr>
          <w:noProof/>
        </w:rPr>
        <w:t>sób skoordynowany</w:t>
      </w:r>
      <w:r w:rsidR="00062BFA" w:rsidRPr="004F6DAA">
        <w:rPr>
          <w:noProof/>
        </w:rPr>
        <w:t xml:space="preserve"> i</w:t>
      </w:r>
      <w:r w:rsidR="00062BFA">
        <w:rPr>
          <w:noProof/>
        </w:rPr>
        <w:t> </w:t>
      </w:r>
      <w:r w:rsidR="00062BFA" w:rsidRPr="004F6DAA">
        <w:rPr>
          <w:noProof/>
        </w:rPr>
        <w:t>zha</w:t>
      </w:r>
      <w:r w:rsidRPr="004F6DAA">
        <w:rPr>
          <w:noProof/>
        </w:rPr>
        <w:t>rmonizowany zająć się kwestiami związanymi ze śladem konsumpcyjnym UE</w:t>
      </w:r>
      <w:r w:rsidR="00062BFA" w:rsidRPr="004F6DAA">
        <w:rPr>
          <w:noProof/>
        </w:rPr>
        <w:t xml:space="preserve"> i</w:t>
      </w:r>
      <w:r w:rsidR="00062BFA">
        <w:rPr>
          <w:noProof/>
        </w:rPr>
        <w:t> </w:t>
      </w:r>
      <w:r w:rsidR="00062BFA" w:rsidRPr="004F6DAA">
        <w:rPr>
          <w:noProof/>
        </w:rPr>
        <w:t>han</w:t>
      </w:r>
      <w:r w:rsidRPr="004F6DAA">
        <w:rPr>
          <w:noProof/>
        </w:rPr>
        <w:t>dlem międzynarodowym, przy zapewnieniu pewności</w:t>
      </w:r>
      <w:r w:rsidR="00062BFA" w:rsidRPr="004F6DAA">
        <w:rPr>
          <w:noProof/>
        </w:rPr>
        <w:t xml:space="preserve"> i</w:t>
      </w:r>
      <w:r w:rsidR="00062BFA">
        <w:rPr>
          <w:noProof/>
        </w:rPr>
        <w:t> </w:t>
      </w:r>
      <w:r w:rsidR="00062BFA" w:rsidRPr="004F6DAA">
        <w:rPr>
          <w:noProof/>
        </w:rPr>
        <w:t>jas</w:t>
      </w:r>
      <w:r w:rsidRPr="004F6DAA">
        <w:rPr>
          <w:noProof/>
        </w:rPr>
        <w:t>ności prawa, które są niezbędne do prawidłowego funkcjonowania rynku UE</w:t>
      </w:r>
      <w:r w:rsidR="00062BFA" w:rsidRPr="004F6DAA">
        <w:rPr>
          <w:noProof/>
        </w:rPr>
        <w:t>. W</w:t>
      </w:r>
      <w:r w:rsidR="00062BFA">
        <w:rPr>
          <w:noProof/>
        </w:rPr>
        <w:t> </w:t>
      </w:r>
      <w:r w:rsidR="00062BFA" w:rsidRPr="004F6DAA">
        <w:rPr>
          <w:noProof/>
        </w:rPr>
        <w:t>prz</w:t>
      </w:r>
      <w:r w:rsidRPr="004F6DAA">
        <w:rPr>
          <w:noProof/>
        </w:rPr>
        <w:t>ypadku braku zharmonizowanego podejścia środki ograniczające handel wewnętrzny zostałyby wprowadzone przez kilka państw członkowskich, co zakłóciłoby funkcjonowanie rynku wewnętrznego. Miałoby to poważny wpływ na funkcjonowanie rynku UE, zagroziłoby zdolności europejskich podmiotów do zaopatrywania się</w:t>
      </w:r>
      <w:r w:rsidR="00062BFA" w:rsidRPr="004F6DAA">
        <w:rPr>
          <w:noProof/>
        </w:rPr>
        <w:t xml:space="preserve"> w</w:t>
      </w:r>
      <w:r w:rsidR="00062BFA">
        <w:rPr>
          <w:noProof/>
        </w:rPr>
        <w:t> </w:t>
      </w:r>
      <w:r w:rsidR="00062BFA" w:rsidRPr="004F6DAA">
        <w:rPr>
          <w:noProof/>
        </w:rPr>
        <w:t>pro</w:t>
      </w:r>
      <w:r w:rsidRPr="004F6DAA">
        <w:rPr>
          <w:noProof/>
        </w:rPr>
        <w:t>dukty/towary objęte zakresem niniejszego rozporządzenia,</w:t>
      </w:r>
      <w:r w:rsidR="00062BFA" w:rsidRPr="004F6DAA">
        <w:rPr>
          <w:noProof/>
        </w:rPr>
        <w:t xml:space="preserve"> a</w:t>
      </w:r>
      <w:r w:rsidR="00062BFA">
        <w:rPr>
          <w:noProof/>
        </w:rPr>
        <w:t> </w:t>
      </w:r>
      <w:r w:rsidR="00062BFA" w:rsidRPr="004F6DAA">
        <w:rPr>
          <w:noProof/>
        </w:rPr>
        <w:t>tak</w:t>
      </w:r>
      <w:r w:rsidRPr="004F6DAA">
        <w:rPr>
          <w:noProof/>
        </w:rPr>
        <w:t xml:space="preserve">że podważyłoby wiarygodność środków UE. Inne państwa członkowskie mogą zdecydować, że nie przyjmą żadnych środków ograniczających możliwy wpływ działań podjętych przez inne państwa na wylesianie. </w:t>
      </w:r>
    </w:p>
    <w:p w14:paraId="0D6940F1" w14:textId="77777777" w:rsidR="00E303F9" w:rsidRPr="004F6DAA" w:rsidRDefault="00E303F9" w:rsidP="00E303F9">
      <w:pPr>
        <w:spacing w:before="0" w:after="240"/>
        <w:rPr>
          <w:rFonts w:eastAsia="Times New Roman"/>
          <w:noProof/>
          <w:szCs w:val="24"/>
        </w:rPr>
      </w:pPr>
      <w:r w:rsidRPr="004F6DAA">
        <w:rPr>
          <w:noProof/>
        </w:rPr>
        <w:t>Łańcuchy dostaw produktów objętych inicjatywą mają charakter międzynarodowy,</w:t>
      </w:r>
      <w:r w:rsidR="00062BFA" w:rsidRPr="004F6DAA">
        <w:rPr>
          <w:noProof/>
        </w:rPr>
        <w:t xml:space="preserve"> a</w:t>
      </w:r>
      <w:r w:rsidR="00062BFA">
        <w:rPr>
          <w:noProof/>
        </w:rPr>
        <w:t> </w:t>
      </w:r>
      <w:r w:rsidR="00062BFA" w:rsidRPr="004F6DAA">
        <w:rPr>
          <w:noProof/>
        </w:rPr>
        <w:t>bar</w:t>
      </w:r>
      <w:r w:rsidRPr="004F6DAA">
        <w:rPr>
          <w:noProof/>
        </w:rPr>
        <w:t>dzo często globalny. Doświadczenie UE</w:t>
      </w:r>
      <w:r w:rsidR="00062BFA" w:rsidRPr="004F6DAA">
        <w:rPr>
          <w:noProof/>
        </w:rPr>
        <w:t xml:space="preserve"> w</w:t>
      </w:r>
      <w:r w:rsidR="00062BFA">
        <w:rPr>
          <w:noProof/>
        </w:rPr>
        <w:t> </w:t>
      </w:r>
      <w:r w:rsidR="00062BFA" w:rsidRPr="004F6DAA">
        <w:rPr>
          <w:noProof/>
        </w:rPr>
        <w:t>roz</w:t>
      </w:r>
      <w:r w:rsidRPr="004F6DAA">
        <w:rPr>
          <w:noProof/>
        </w:rPr>
        <w:t>wiązywaniu złożonych problemów związanych</w:t>
      </w:r>
      <w:r w:rsidR="00062BFA" w:rsidRPr="004F6DAA">
        <w:rPr>
          <w:noProof/>
        </w:rPr>
        <w:t xml:space="preserve"> z</w:t>
      </w:r>
      <w:r w:rsidR="00062BFA">
        <w:rPr>
          <w:noProof/>
        </w:rPr>
        <w:t> </w:t>
      </w:r>
      <w:r w:rsidR="00062BFA" w:rsidRPr="004F6DAA">
        <w:rPr>
          <w:noProof/>
        </w:rPr>
        <w:t>łań</w:t>
      </w:r>
      <w:r w:rsidRPr="004F6DAA">
        <w:rPr>
          <w:noProof/>
        </w:rPr>
        <w:t>cuchem dostaw (np. wynikających</w:t>
      </w:r>
      <w:r w:rsidR="00062BFA" w:rsidRPr="004F6DAA">
        <w:rPr>
          <w:noProof/>
        </w:rPr>
        <w:t xml:space="preserve"> z</w:t>
      </w:r>
      <w:r w:rsidR="00062BFA">
        <w:rPr>
          <w:noProof/>
        </w:rPr>
        <w:t> </w:t>
      </w:r>
      <w:r w:rsidR="00062BFA" w:rsidRPr="004F6DAA">
        <w:rPr>
          <w:noProof/>
        </w:rPr>
        <w:t>prz</w:t>
      </w:r>
      <w:r w:rsidRPr="004F6DAA">
        <w:rPr>
          <w:noProof/>
        </w:rPr>
        <w:t>episów dotyczących nielegalnego pozyskiwania drewna) pokazuje, że zasadnicze znaczenie ma zapewnienie podmiotom równych szans pod względem wymogów, które należy spełnić przed wprowadzeniem po raz pierwszy produktów (towarów</w:t>
      </w:r>
      <w:r w:rsidR="00062BFA" w:rsidRPr="004F6DAA">
        <w:rPr>
          <w:noProof/>
        </w:rPr>
        <w:t xml:space="preserve"> i</w:t>
      </w:r>
      <w:r w:rsidR="00062BFA">
        <w:rPr>
          <w:noProof/>
        </w:rPr>
        <w:t> </w:t>
      </w:r>
      <w:r w:rsidR="00062BFA" w:rsidRPr="004F6DAA">
        <w:rPr>
          <w:noProof/>
        </w:rPr>
        <w:t>pro</w:t>
      </w:r>
      <w:r w:rsidRPr="004F6DAA">
        <w:rPr>
          <w:noProof/>
        </w:rPr>
        <w:t>duktów pochodnych) do obrotu w UE.</w:t>
      </w:r>
    </w:p>
    <w:p w14:paraId="19ED15E6" w14:textId="77777777" w:rsidR="00E303F9" w:rsidRPr="004F6DAA" w:rsidRDefault="00E303F9" w:rsidP="00E303F9">
      <w:pPr>
        <w:spacing w:before="0" w:after="240"/>
        <w:rPr>
          <w:rFonts w:eastAsia="Times New Roman"/>
          <w:noProof/>
        </w:rPr>
      </w:pPr>
      <w:r w:rsidRPr="004F6DAA">
        <w:rPr>
          <w:noProof/>
        </w:rPr>
        <w:t>Brak obowiązujących przepisów na szczeblu europejskim stawia</w:t>
      </w:r>
      <w:r w:rsidR="00062BFA" w:rsidRPr="004F6DAA">
        <w:rPr>
          <w:noProof/>
        </w:rPr>
        <w:t xml:space="preserve"> w</w:t>
      </w:r>
      <w:r w:rsidR="00062BFA">
        <w:rPr>
          <w:noProof/>
        </w:rPr>
        <w:t> </w:t>
      </w:r>
      <w:r w:rsidR="00062BFA" w:rsidRPr="004F6DAA">
        <w:rPr>
          <w:noProof/>
        </w:rPr>
        <w:t>nie</w:t>
      </w:r>
      <w:r w:rsidRPr="004F6DAA">
        <w:rPr>
          <w:noProof/>
        </w:rPr>
        <w:t>korzystnej sytuacji konkurencyjnej odpowiedzialne podmioty gospodarcze, które są gotowe uporządkować swoje łańcuchy dostaw,</w:t>
      </w:r>
      <w:r w:rsidR="00062BFA" w:rsidRPr="004F6DAA">
        <w:rPr>
          <w:noProof/>
        </w:rPr>
        <w:t xml:space="preserve"> i</w:t>
      </w:r>
      <w:r w:rsidR="00062BFA">
        <w:rPr>
          <w:noProof/>
        </w:rPr>
        <w:t> </w:t>
      </w:r>
      <w:r w:rsidR="00062BFA" w:rsidRPr="004F6DAA">
        <w:rPr>
          <w:noProof/>
        </w:rPr>
        <w:t>nag</w:t>
      </w:r>
      <w:r w:rsidRPr="004F6DAA">
        <w:rPr>
          <w:noProof/>
        </w:rPr>
        <w:t>radza zachowania niezgodne</w:t>
      </w:r>
      <w:r w:rsidR="00062BFA" w:rsidRPr="004F6DAA">
        <w:rPr>
          <w:noProof/>
        </w:rPr>
        <w:t xml:space="preserve"> z</w:t>
      </w:r>
      <w:r w:rsidR="00062BFA">
        <w:rPr>
          <w:noProof/>
        </w:rPr>
        <w:t> </w:t>
      </w:r>
      <w:r w:rsidR="00062BFA" w:rsidRPr="004F6DAA">
        <w:rPr>
          <w:noProof/>
        </w:rPr>
        <w:t>zas</w:t>
      </w:r>
      <w:r w:rsidRPr="004F6DAA">
        <w:rPr>
          <w:noProof/>
        </w:rPr>
        <w:t>adami zrównoważonego rozwoju. Dlatego też – mimo że kwestie związane ze środowiskiem należą do kompetencji dzielonych między UE</w:t>
      </w:r>
      <w:r w:rsidR="00062BFA" w:rsidRPr="004F6DAA">
        <w:rPr>
          <w:noProof/>
        </w:rPr>
        <w:t xml:space="preserve"> i</w:t>
      </w:r>
      <w:r w:rsidR="00062BFA">
        <w:rPr>
          <w:noProof/>
        </w:rPr>
        <w:t> </w:t>
      </w:r>
      <w:r w:rsidR="00062BFA" w:rsidRPr="004F6DAA">
        <w:rPr>
          <w:noProof/>
        </w:rPr>
        <w:t>pań</w:t>
      </w:r>
      <w:r w:rsidRPr="004F6DAA">
        <w:rPr>
          <w:noProof/>
        </w:rPr>
        <w:t>stwa członkowskie – należy wprowadzić ogólnounijne środki, aby zapewnić wspólne rozumienie łańcuchów dostaw niepowodujących wylesiania</w:t>
      </w:r>
      <w:r w:rsidR="00062BFA" w:rsidRPr="004F6DAA">
        <w:rPr>
          <w:noProof/>
        </w:rPr>
        <w:t xml:space="preserve"> i</w:t>
      </w:r>
      <w:r w:rsidR="00062BFA">
        <w:rPr>
          <w:noProof/>
        </w:rPr>
        <w:t> </w:t>
      </w:r>
      <w:r w:rsidR="00062BFA" w:rsidRPr="004F6DAA">
        <w:rPr>
          <w:noProof/>
        </w:rPr>
        <w:t>deg</w:t>
      </w:r>
      <w:r w:rsidRPr="004F6DAA">
        <w:rPr>
          <w:noProof/>
        </w:rPr>
        <w:t>radacji lasów, zwiększyć przejrzystość takich łańcuchów dostaw,</w:t>
      </w:r>
      <w:r w:rsidR="00062BFA" w:rsidRPr="004F6DAA">
        <w:rPr>
          <w:noProof/>
        </w:rPr>
        <w:t xml:space="preserve"> a</w:t>
      </w:r>
      <w:r w:rsidR="00062BFA">
        <w:rPr>
          <w:noProof/>
        </w:rPr>
        <w:t> </w:t>
      </w:r>
      <w:r w:rsidR="00062BFA" w:rsidRPr="004F6DAA">
        <w:rPr>
          <w:noProof/>
        </w:rPr>
        <w:t>tak</w:t>
      </w:r>
      <w:r w:rsidRPr="004F6DAA">
        <w:rPr>
          <w:noProof/>
        </w:rPr>
        <w:t xml:space="preserve">że aby umożliwić, dzięki skali działań, wywarcie znaczącego wpływu na wylesianie. </w:t>
      </w:r>
    </w:p>
    <w:p w14:paraId="376DE2CF" w14:textId="77777777" w:rsidR="00E303F9" w:rsidRPr="004F6DAA" w:rsidRDefault="00E303F9" w:rsidP="00E303F9">
      <w:pPr>
        <w:spacing w:before="0" w:after="240"/>
        <w:rPr>
          <w:rFonts w:eastAsia="Times New Roman"/>
          <w:noProof/>
          <w:szCs w:val="24"/>
        </w:rPr>
      </w:pPr>
      <w:r w:rsidRPr="004F6DAA">
        <w:rPr>
          <w:noProof/>
        </w:rPr>
        <w:t>W zakresie,</w:t>
      </w:r>
      <w:r w:rsidR="00062BFA" w:rsidRPr="004F6DAA">
        <w:rPr>
          <w:noProof/>
        </w:rPr>
        <w:t xml:space="preserve"> w</w:t>
      </w:r>
      <w:r w:rsidR="00062BFA">
        <w:rPr>
          <w:noProof/>
        </w:rPr>
        <w:t> </w:t>
      </w:r>
      <w:r w:rsidR="00062BFA" w:rsidRPr="004F6DAA">
        <w:rPr>
          <w:noProof/>
        </w:rPr>
        <w:t>jak</w:t>
      </w:r>
      <w:r w:rsidRPr="004F6DAA">
        <w:rPr>
          <w:noProof/>
        </w:rPr>
        <w:t>im niniejsza inicjatywa obejmuje towary dopuszczone do obrotu lub towary wywożone</w:t>
      </w:r>
      <w:r w:rsidR="00062BFA" w:rsidRPr="004F6DAA">
        <w:rPr>
          <w:noProof/>
        </w:rPr>
        <w:t xml:space="preserve"> z</w:t>
      </w:r>
      <w:r w:rsidR="00062BFA">
        <w:rPr>
          <w:noProof/>
        </w:rPr>
        <w:t> </w:t>
      </w:r>
      <w:r w:rsidR="00062BFA" w:rsidRPr="004F6DAA">
        <w:rPr>
          <w:noProof/>
        </w:rPr>
        <w:t>ryn</w:t>
      </w:r>
      <w:r w:rsidRPr="004F6DAA">
        <w:rPr>
          <w:noProof/>
        </w:rPr>
        <w:t>ku unijnego, działanie na szczeblu UE byłoby skuteczniejsze niż działanie na szczeblu krajowym, ponieważ zapobiegłoby ewentualnemu niekorzystnemu oddziaływaniu na funkcjonowanie rynku wewnętrznego</w:t>
      </w:r>
      <w:r w:rsidR="00062BFA" w:rsidRPr="004F6DAA">
        <w:rPr>
          <w:noProof/>
        </w:rPr>
        <w:t xml:space="preserve"> i</w:t>
      </w:r>
      <w:r w:rsidR="00062BFA">
        <w:rPr>
          <w:noProof/>
        </w:rPr>
        <w:t> </w:t>
      </w:r>
      <w:r w:rsidR="00062BFA" w:rsidRPr="004F6DAA">
        <w:rPr>
          <w:noProof/>
        </w:rPr>
        <w:t>asp</w:t>
      </w:r>
      <w:r w:rsidRPr="004F6DAA">
        <w:rPr>
          <w:noProof/>
        </w:rPr>
        <w:t>ekty handlowe</w:t>
      </w:r>
      <w:r w:rsidR="00062BFA" w:rsidRPr="004F6DAA">
        <w:rPr>
          <w:noProof/>
        </w:rPr>
        <w:t>.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tym</w:t>
      </w:r>
      <w:r w:rsidRPr="004F6DAA">
        <w:rPr>
          <w:noProof/>
        </w:rPr>
        <w:t xml:space="preserve"> działania UE mogą uzupełniać</w:t>
      </w:r>
      <w:r w:rsidR="00062BFA" w:rsidRPr="004F6DAA">
        <w:rPr>
          <w:noProof/>
        </w:rPr>
        <w:t xml:space="preserve"> i</w:t>
      </w:r>
      <w:r w:rsidR="00062BFA">
        <w:rPr>
          <w:noProof/>
        </w:rPr>
        <w:t> </w:t>
      </w:r>
      <w:r w:rsidR="00062BFA" w:rsidRPr="004F6DAA">
        <w:rPr>
          <w:noProof/>
        </w:rPr>
        <w:t>wzm</w:t>
      </w:r>
      <w:r w:rsidRPr="004F6DAA">
        <w:rPr>
          <w:noProof/>
        </w:rPr>
        <w:t>acniać krajowe starania państw członkowskich. Jeżeli UE nie podejmie działań, problem wylesiania</w:t>
      </w:r>
      <w:r w:rsidR="00062BFA" w:rsidRPr="004F6DAA">
        <w:rPr>
          <w:noProof/>
        </w:rPr>
        <w:t xml:space="preserve"> i</w:t>
      </w:r>
      <w:r w:rsidR="00062BFA">
        <w:rPr>
          <w:noProof/>
        </w:rPr>
        <w:t> </w:t>
      </w:r>
      <w:r w:rsidR="00062BFA" w:rsidRPr="004F6DAA">
        <w:rPr>
          <w:noProof/>
        </w:rPr>
        <w:t>deg</w:t>
      </w:r>
      <w:r w:rsidRPr="004F6DAA">
        <w:rPr>
          <w:noProof/>
        </w:rPr>
        <w:t>radacji lasów związany</w:t>
      </w:r>
      <w:r w:rsidR="00062BFA" w:rsidRPr="004F6DAA">
        <w:rPr>
          <w:noProof/>
        </w:rPr>
        <w:t xml:space="preserve"> z</w:t>
      </w:r>
      <w:r w:rsidR="00062BFA">
        <w:rPr>
          <w:noProof/>
        </w:rPr>
        <w:t> </w:t>
      </w:r>
      <w:r w:rsidR="00062BFA" w:rsidRPr="004F6DAA">
        <w:rPr>
          <w:noProof/>
        </w:rPr>
        <w:t>uni</w:t>
      </w:r>
      <w:r w:rsidRPr="004F6DAA">
        <w:rPr>
          <w:noProof/>
        </w:rPr>
        <w:t>jną konsumpcją utrzyma się</w:t>
      </w:r>
      <w:r w:rsidR="00062BFA" w:rsidRPr="004F6DAA">
        <w:rPr>
          <w:noProof/>
        </w:rPr>
        <w:t xml:space="preserve"> i</w:t>
      </w:r>
      <w:r w:rsidR="00062BFA">
        <w:rPr>
          <w:noProof/>
        </w:rPr>
        <w:t> </w:t>
      </w:r>
      <w:r w:rsidR="00062BFA" w:rsidRPr="004F6DAA">
        <w:rPr>
          <w:noProof/>
        </w:rPr>
        <w:t>pog</w:t>
      </w:r>
      <w:r w:rsidRPr="004F6DAA">
        <w:rPr>
          <w:noProof/>
        </w:rPr>
        <w:t>łębi. Mogłoby to negatywnie wpłynąć na starania podejmowane przez UE</w:t>
      </w:r>
      <w:r w:rsidR="00062BFA" w:rsidRPr="004F6DAA">
        <w:rPr>
          <w:noProof/>
        </w:rPr>
        <w:t xml:space="preserve"> w</w:t>
      </w:r>
      <w:r w:rsidR="00062BFA">
        <w:rPr>
          <w:noProof/>
        </w:rPr>
        <w:t> </w:t>
      </w:r>
      <w:r w:rsidR="00062BFA" w:rsidRPr="004F6DAA">
        <w:rPr>
          <w:noProof/>
        </w:rPr>
        <w:t>dzi</w:t>
      </w:r>
      <w:r w:rsidRPr="004F6DAA">
        <w:rPr>
          <w:noProof/>
        </w:rPr>
        <w:t>edzinie ochrony bioróżnorodności</w:t>
      </w:r>
      <w:r w:rsidR="00062BFA" w:rsidRPr="004F6DAA">
        <w:rPr>
          <w:noProof/>
        </w:rPr>
        <w:t xml:space="preserve"> i</w:t>
      </w:r>
      <w:r w:rsidR="00062BFA">
        <w:rPr>
          <w:noProof/>
        </w:rPr>
        <w:t> </w:t>
      </w:r>
      <w:r w:rsidR="00062BFA" w:rsidRPr="004F6DAA">
        <w:rPr>
          <w:noProof/>
        </w:rPr>
        <w:t>prz</w:t>
      </w:r>
      <w:r w:rsidRPr="004F6DAA">
        <w:rPr>
          <w:noProof/>
        </w:rPr>
        <w:t>eciwdziałania zmianie klimatu na świecie.</w:t>
      </w:r>
    </w:p>
    <w:p w14:paraId="0DA2F944" w14:textId="77777777" w:rsidR="001C3FCC" w:rsidRPr="004F6DAA" w:rsidRDefault="001C3FCC" w:rsidP="009A3168">
      <w:pPr>
        <w:pStyle w:val="ManualHeading2"/>
        <w:rPr>
          <w:rFonts w:eastAsia="Arial Unicode MS"/>
          <w:noProof/>
          <w:u w:color="000000"/>
          <w:bdr w:val="nil"/>
        </w:rPr>
      </w:pPr>
      <w:r w:rsidRPr="004F6DAA">
        <w:rPr>
          <w:noProof/>
          <w:u w:color="000000"/>
          <w:bdr w:val="nil"/>
        </w:rPr>
        <w:t>•</w:t>
      </w:r>
      <w:r w:rsidRPr="004F6DAA">
        <w:rPr>
          <w:noProof/>
        </w:rPr>
        <w:tab/>
      </w:r>
      <w:r w:rsidRPr="004F6DAA">
        <w:rPr>
          <w:noProof/>
          <w:u w:color="000000"/>
          <w:bdr w:val="nil"/>
        </w:rPr>
        <w:t>Proporcjonalność</w:t>
      </w:r>
    </w:p>
    <w:p w14:paraId="404165EB" w14:textId="77777777" w:rsidR="00DE5FED" w:rsidRPr="004F6DAA" w:rsidRDefault="00DE5FED" w:rsidP="00DE5FED">
      <w:pPr>
        <w:pBdr>
          <w:top w:val="nil"/>
          <w:left w:val="nil"/>
          <w:bottom w:val="nil"/>
          <w:right w:val="nil"/>
          <w:between w:val="nil"/>
          <w:bar w:val="nil"/>
        </w:pBdr>
        <w:spacing w:before="0" w:after="240"/>
        <w:rPr>
          <w:rFonts w:eastAsia="Calibri"/>
          <w:noProof/>
        </w:rPr>
      </w:pPr>
      <w:r w:rsidRPr="004F6DAA">
        <w:rPr>
          <w:noProof/>
        </w:rPr>
        <w:t>Dzięki niniejszej inicjatywie ustawodawczej UE zintensyfikuje swoje działania przeciwko wylesianiu</w:t>
      </w:r>
      <w:r w:rsidR="00062BFA" w:rsidRPr="004F6DAA">
        <w:rPr>
          <w:noProof/>
        </w:rPr>
        <w:t xml:space="preserve"> i</w:t>
      </w:r>
      <w:r w:rsidR="00062BFA">
        <w:rPr>
          <w:noProof/>
        </w:rPr>
        <w:t> </w:t>
      </w:r>
      <w:r w:rsidR="00062BFA" w:rsidRPr="004F6DAA">
        <w:rPr>
          <w:noProof/>
        </w:rPr>
        <w:t>deg</w:t>
      </w:r>
      <w:r w:rsidRPr="004F6DAA">
        <w:rPr>
          <w:noProof/>
        </w:rPr>
        <w:t>radacji lasów, ustanawiając ambitne</w:t>
      </w:r>
      <w:r w:rsidR="00062BFA" w:rsidRPr="004F6DAA">
        <w:rPr>
          <w:noProof/>
        </w:rPr>
        <w:t xml:space="preserve"> i</w:t>
      </w:r>
      <w:r w:rsidR="00062BFA">
        <w:rPr>
          <w:noProof/>
        </w:rPr>
        <w:t> </w:t>
      </w:r>
      <w:r w:rsidR="00062BFA" w:rsidRPr="004F6DAA">
        <w:rPr>
          <w:noProof/>
        </w:rPr>
        <w:t>moż</w:t>
      </w:r>
      <w:r w:rsidRPr="004F6DAA">
        <w:rPr>
          <w:noProof/>
        </w:rPr>
        <w:t>liwe do wdrożenia ramy regulacyjne zachęcające do przejścia na zrównoważone łańcuchy dostaw we wszystkich państwach będących producentami,</w:t>
      </w:r>
      <w:r w:rsidR="00062BFA" w:rsidRPr="004F6DAA">
        <w:rPr>
          <w:noProof/>
        </w:rPr>
        <w:t xml:space="preserve"> w</w:t>
      </w:r>
      <w:r w:rsidR="00062BFA">
        <w:rPr>
          <w:noProof/>
        </w:rPr>
        <w:t> </w:t>
      </w:r>
      <w:r w:rsidR="00062BFA" w:rsidRPr="004F6DAA">
        <w:rPr>
          <w:noProof/>
        </w:rPr>
        <w:t>obr</w:t>
      </w:r>
      <w:r w:rsidRPr="004F6DAA">
        <w:rPr>
          <w:noProof/>
        </w:rPr>
        <w:t>ębie UE lub poza jej granicami. Dzięki temu UE stałaby się wiarygodnym podmiotem wyznaczającym standardy na świecie. Minimalne korzyści pieniężne wyraźnie równoważą koszty. Inicjatywa ta odzwierciedla również powagę</w:t>
      </w:r>
      <w:r w:rsidR="00062BFA" w:rsidRPr="004F6DAA">
        <w:rPr>
          <w:noProof/>
        </w:rPr>
        <w:t xml:space="preserve"> i</w:t>
      </w:r>
      <w:r w:rsidR="00062BFA">
        <w:rPr>
          <w:noProof/>
        </w:rPr>
        <w:t> </w:t>
      </w:r>
      <w:r w:rsidR="00062BFA" w:rsidRPr="004F6DAA">
        <w:rPr>
          <w:noProof/>
        </w:rPr>
        <w:t>pil</w:t>
      </w:r>
      <w:r w:rsidRPr="004F6DAA">
        <w:rPr>
          <w:noProof/>
        </w:rPr>
        <w:t>ność problemu, który ma rozwiązać,</w:t>
      </w:r>
      <w:r w:rsidR="00062BFA" w:rsidRPr="004F6DAA">
        <w:rPr>
          <w:noProof/>
        </w:rPr>
        <w:t xml:space="preserve"> a</w:t>
      </w:r>
      <w:r w:rsidR="00062BFA">
        <w:rPr>
          <w:noProof/>
        </w:rPr>
        <w:t> </w:t>
      </w:r>
      <w:r w:rsidR="00062BFA" w:rsidRPr="004F6DAA">
        <w:rPr>
          <w:noProof/>
        </w:rPr>
        <w:t>tak</w:t>
      </w:r>
      <w:r w:rsidRPr="004F6DAA">
        <w:rPr>
          <w:noProof/>
        </w:rPr>
        <w:t>że priorytety Europejskiego Zielonego Ładu.</w:t>
      </w:r>
    </w:p>
    <w:p w14:paraId="27EFB566" w14:textId="77777777" w:rsidR="00DE5FED" w:rsidRPr="004F6DAA" w:rsidRDefault="00DE5FED" w:rsidP="00DE5FED">
      <w:pPr>
        <w:pBdr>
          <w:top w:val="nil"/>
          <w:left w:val="nil"/>
          <w:bottom w:val="nil"/>
          <w:right w:val="nil"/>
          <w:between w:val="nil"/>
          <w:bar w:val="nil"/>
        </w:pBdr>
        <w:spacing w:before="0" w:after="240"/>
        <w:rPr>
          <w:noProof/>
        </w:rPr>
      </w:pPr>
      <w:r w:rsidRPr="004F6DAA">
        <w:rPr>
          <w:noProof/>
        </w:rPr>
        <w:t>Celem niniejszej inicjatywy ustawodawczej jest zminimalizowanie wpływu UE na wylesianie</w:t>
      </w:r>
      <w:r w:rsidR="00062BFA" w:rsidRPr="004F6DAA">
        <w:rPr>
          <w:noProof/>
        </w:rPr>
        <w:t xml:space="preserve"> i</w:t>
      </w:r>
      <w:r w:rsidR="00062BFA">
        <w:rPr>
          <w:noProof/>
        </w:rPr>
        <w:t> </w:t>
      </w:r>
      <w:r w:rsidR="00062BFA" w:rsidRPr="004F6DAA">
        <w:rPr>
          <w:noProof/>
        </w:rPr>
        <w:t>deg</w:t>
      </w:r>
      <w:r w:rsidRPr="004F6DAA">
        <w:rPr>
          <w:noProof/>
        </w:rPr>
        <w:t>radację lasów. Cel ten zostanie osiągnięty dzięki ustanowieniu wielopoziomowego, obowiązkowego systemu zasad należytej staranności, opartego na definicji terminu „niepowodujący wylesiania”,</w:t>
      </w:r>
      <w:r w:rsidR="00062BFA" w:rsidRPr="004F6DAA">
        <w:rPr>
          <w:noProof/>
        </w:rPr>
        <w:t xml:space="preserve"> w</w:t>
      </w:r>
      <w:r w:rsidR="00062BFA">
        <w:rPr>
          <w:noProof/>
        </w:rPr>
        <w:t> </w:t>
      </w:r>
      <w:r w:rsidR="00062BFA" w:rsidRPr="004F6DAA">
        <w:rPr>
          <w:noProof/>
        </w:rPr>
        <w:t>poł</w:t>
      </w:r>
      <w:r w:rsidRPr="004F6DAA">
        <w:rPr>
          <w:noProof/>
        </w:rPr>
        <w:t>ączeniu</w:t>
      </w:r>
      <w:r w:rsidR="00062BFA" w:rsidRPr="004F6DAA">
        <w:rPr>
          <w:noProof/>
        </w:rPr>
        <w:t xml:space="preserve"> z</w:t>
      </w:r>
      <w:r w:rsidR="00062BFA">
        <w:rPr>
          <w:noProof/>
        </w:rPr>
        <w:t> </w:t>
      </w:r>
      <w:r w:rsidR="00062BFA" w:rsidRPr="004F6DAA">
        <w:rPr>
          <w:noProof/>
        </w:rPr>
        <w:t>sys</w:t>
      </w:r>
      <w:r w:rsidRPr="004F6DAA">
        <w:rPr>
          <w:noProof/>
        </w:rPr>
        <w:t>temem wskaźników. Zgodnie</w:t>
      </w:r>
      <w:r w:rsidR="00062BFA" w:rsidRPr="004F6DAA">
        <w:rPr>
          <w:noProof/>
        </w:rPr>
        <w:t xml:space="preserve"> z</w:t>
      </w:r>
      <w:r w:rsidR="00062BFA">
        <w:rPr>
          <w:noProof/>
        </w:rPr>
        <w:t> </w:t>
      </w:r>
      <w:r w:rsidR="00062BFA" w:rsidRPr="004F6DAA">
        <w:rPr>
          <w:noProof/>
        </w:rPr>
        <w:t>ana</w:t>
      </w:r>
      <w:r w:rsidRPr="004F6DAA">
        <w:rPr>
          <w:noProof/>
        </w:rPr>
        <w:t>lizą zawartą w „Ocenie skutków dotyczącej minimalizacji ryzyka wylesiania</w:t>
      </w:r>
      <w:r w:rsidR="00062BFA" w:rsidRPr="004F6DAA">
        <w:rPr>
          <w:noProof/>
        </w:rPr>
        <w:t xml:space="preserve"> i</w:t>
      </w:r>
      <w:r w:rsidR="00062BFA">
        <w:rPr>
          <w:noProof/>
        </w:rPr>
        <w:t> </w:t>
      </w:r>
      <w:r w:rsidR="00062BFA" w:rsidRPr="004F6DAA">
        <w:rPr>
          <w:noProof/>
        </w:rPr>
        <w:t>deg</w:t>
      </w:r>
      <w:r w:rsidRPr="004F6DAA">
        <w:rPr>
          <w:noProof/>
        </w:rPr>
        <w:t>radacji lasów związanego</w:t>
      </w:r>
      <w:r w:rsidR="00062BFA" w:rsidRPr="004F6DAA">
        <w:rPr>
          <w:noProof/>
        </w:rPr>
        <w:t xml:space="preserve"> z</w:t>
      </w:r>
      <w:r w:rsidR="00062BFA">
        <w:rPr>
          <w:noProof/>
        </w:rPr>
        <w:t> </w:t>
      </w:r>
      <w:r w:rsidR="00062BFA" w:rsidRPr="004F6DAA">
        <w:rPr>
          <w:noProof/>
        </w:rPr>
        <w:t>pro</w:t>
      </w:r>
      <w:r w:rsidRPr="004F6DAA">
        <w:rPr>
          <w:noProof/>
        </w:rPr>
        <w:t>duktami wprowadzanymi do obrotu w UE” (zwanej dalej „oceną skutków”) oczekuje się, że środki te będą najskuteczniejsze</w:t>
      </w:r>
      <w:r w:rsidR="00062BFA" w:rsidRPr="004F6DAA">
        <w:rPr>
          <w:noProof/>
        </w:rPr>
        <w:t xml:space="preserve"> w</w:t>
      </w:r>
      <w:r w:rsidR="00062BFA">
        <w:rPr>
          <w:noProof/>
        </w:rPr>
        <w:t> </w:t>
      </w:r>
      <w:r w:rsidR="00062BFA" w:rsidRPr="004F6DAA">
        <w:rPr>
          <w:noProof/>
        </w:rPr>
        <w:t>ogr</w:t>
      </w:r>
      <w:r w:rsidRPr="004F6DAA">
        <w:rPr>
          <w:noProof/>
        </w:rPr>
        <w:t>aniczaniu wylesiania powodowanego przez UE</w:t>
      </w:r>
      <w:r w:rsidR="00062BFA" w:rsidRPr="004F6DAA">
        <w:rPr>
          <w:noProof/>
        </w:rPr>
        <w:t xml:space="preserve"> i</w:t>
      </w:r>
      <w:r w:rsidR="00062BFA">
        <w:rPr>
          <w:noProof/>
        </w:rPr>
        <w:t> </w:t>
      </w:r>
      <w:r w:rsidR="00062BFA" w:rsidRPr="004F6DAA">
        <w:rPr>
          <w:noProof/>
        </w:rPr>
        <w:t>naj</w:t>
      </w:r>
      <w:r w:rsidRPr="004F6DAA">
        <w:rPr>
          <w:noProof/>
        </w:rPr>
        <w:t>efektywniejsze spośród środków poddanych przeglądowi</w:t>
      </w:r>
      <w:r w:rsidR="00062BFA" w:rsidRPr="004F6DAA">
        <w:rPr>
          <w:noProof/>
        </w:rPr>
        <w:t xml:space="preserve"> w</w:t>
      </w:r>
      <w:r w:rsidR="00062BFA">
        <w:rPr>
          <w:noProof/>
        </w:rPr>
        <w:t> </w:t>
      </w:r>
      <w:r w:rsidR="00062BFA" w:rsidRPr="004F6DAA">
        <w:rPr>
          <w:noProof/>
        </w:rPr>
        <w:t>ram</w:t>
      </w:r>
      <w:r w:rsidRPr="004F6DAA">
        <w:rPr>
          <w:noProof/>
        </w:rPr>
        <w:t>ach przygotowywania niniejszej inicjatywy</w:t>
      </w:r>
      <w:r w:rsidR="00062BFA" w:rsidRPr="004F6DAA">
        <w:rPr>
          <w:noProof/>
        </w:rPr>
        <w:t>. Z</w:t>
      </w:r>
      <w:r w:rsidR="00062BFA">
        <w:rPr>
          <w:noProof/>
        </w:rPr>
        <w:t> </w:t>
      </w:r>
      <w:r w:rsidR="00062BFA" w:rsidRPr="004F6DAA">
        <w:rPr>
          <w:noProof/>
        </w:rPr>
        <w:t>ust</w:t>
      </w:r>
      <w:r w:rsidRPr="004F6DAA">
        <w:rPr>
          <w:noProof/>
        </w:rPr>
        <w:t>aleń zawartych</w:t>
      </w:r>
      <w:r w:rsidR="00062BFA" w:rsidRPr="004F6DAA">
        <w:rPr>
          <w:noProof/>
        </w:rPr>
        <w:t xml:space="preserve"> w</w:t>
      </w:r>
      <w:r w:rsidR="00062BFA">
        <w:rPr>
          <w:noProof/>
        </w:rPr>
        <w:t> </w:t>
      </w:r>
      <w:r w:rsidR="00062BFA" w:rsidRPr="004F6DAA">
        <w:rPr>
          <w:noProof/>
        </w:rPr>
        <w:t>oce</w:t>
      </w:r>
      <w:r w:rsidRPr="004F6DAA">
        <w:rPr>
          <w:noProof/>
        </w:rPr>
        <w:t>nie skutków wynika, że prawnie wiążące warianty (takie jak wymóg niepowodowania wylesiania, obowiązek zachowania należytej staranności itp.) byłyby skuteczniejsze niż środki dobrowolne (takie jak dobrowolna należyta staranność, dobrowolne znakowanie lub dobrowolna certyfikacja prywatna). Ustalenia te potwierdziły wyniki otwartych konsultacji publicznych, zgodnie</w:t>
      </w:r>
      <w:r w:rsidR="00062BFA" w:rsidRPr="004F6DAA">
        <w:rPr>
          <w:noProof/>
        </w:rPr>
        <w:t xml:space="preserve"> z</w:t>
      </w:r>
      <w:r w:rsidR="00062BFA">
        <w:rPr>
          <w:noProof/>
        </w:rPr>
        <w:t> </w:t>
      </w:r>
      <w:r w:rsidR="00062BFA" w:rsidRPr="004F6DAA">
        <w:rPr>
          <w:noProof/>
        </w:rPr>
        <w:t>któ</w:t>
      </w:r>
      <w:r w:rsidRPr="004F6DAA">
        <w:rPr>
          <w:noProof/>
        </w:rPr>
        <w:t>rymi przeważająca większość zainteresowanych stron – stowarzyszeń przedsiębiorców</w:t>
      </w:r>
      <w:r w:rsidR="00062BFA" w:rsidRPr="004F6DAA">
        <w:rPr>
          <w:noProof/>
        </w:rPr>
        <w:t xml:space="preserve"> i</w:t>
      </w:r>
      <w:r w:rsidR="00062BFA">
        <w:rPr>
          <w:noProof/>
        </w:rPr>
        <w:t> </w:t>
      </w:r>
      <w:r w:rsidR="00062BFA" w:rsidRPr="004F6DAA">
        <w:rPr>
          <w:noProof/>
        </w:rPr>
        <w:t>org</w:t>
      </w:r>
      <w:r w:rsidRPr="004F6DAA">
        <w:rPr>
          <w:noProof/>
        </w:rPr>
        <w:t xml:space="preserve">anizacji pozarządowych – poparła obowiązkowy system zasad należytej staranności. </w:t>
      </w:r>
    </w:p>
    <w:p w14:paraId="320ED968" w14:textId="77777777" w:rsidR="001C3FCC" w:rsidRPr="004F6DAA" w:rsidRDefault="001C3FCC" w:rsidP="009A3168">
      <w:pPr>
        <w:pStyle w:val="ManualHeading2"/>
        <w:rPr>
          <w:rFonts w:eastAsia="Arial Unicode MS"/>
          <w:noProof/>
          <w:u w:color="000000"/>
          <w:bdr w:val="nil"/>
        </w:rPr>
      </w:pPr>
      <w:r w:rsidRPr="004F6DAA">
        <w:rPr>
          <w:noProof/>
          <w:u w:color="000000"/>
          <w:bdr w:val="nil"/>
        </w:rPr>
        <w:t>•</w:t>
      </w:r>
      <w:r w:rsidRPr="004F6DAA">
        <w:rPr>
          <w:noProof/>
        </w:rPr>
        <w:tab/>
      </w:r>
      <w:r w:rsidRPr="004F6DAA">
        <w:rPr>
          <w:noProof/>
          <w:u w:color="000000"/>
          <w:bdr w:val="nil"/>
        </w:rPr>
        <w:t>Wybór instrumentu</w:t>
      </w:r>
    </w:p>
    <w:p w14:paraId="7EB72BF7" w14:textId="77777777" w:rsidR="00145CFC" w:rsidRPr="004F6DAA" w:rsidRDefault="00145CFC" w:rsidP="00145CFC">
      <w:pPr>
        <w:spacing w:before="0" w:after="240"/>
        <w:rPr>
          <w:noProof/>
        </w:rPr>
      </w:pPr>
      <w:r w:rsidRPr="004F6DAA">
        <w:rPr>
          <w:noProof/>
        </w:rPr>
        <w:t>Proponowanym instrumentem jest rozporządzenie, ponieważ należy zapewnić najwyższy poziom harmonizacji</w:t>
      </w:r>
      <w:r w:rsidR="00062BFA" w:rsidRPr="004F6DAA">
        <w:rPr>
          <w:noProof/>
        </w:rPr>
        <w:t xml:space="preserve"> w</w:t>
      </w:r>
      <w:r w:rsidR="00062BFA">
        <w:rPr>
          <w:noProof/>
        </w:rPr>
        <w:t> </w:t>
      </w:r>
      <w:r w:rsidR="00062BFA" w:rsidRPr="004F6DAA">
        <w:rPr>
          <w:noProof/>
        </w:rPr>
        <w:t>cel</w:t>
      </w:r>
      <w:r w:rsidRPr="004F6DAA">
        <w:rPr>
          <w:noProof/>
        </w:rPr>
        <w:t>u uniknięcia współistnienia różnych norm</w:t>
      </w:r>
      <w:r w:rsidR="00062BFA" w:rsidRPr="004F6DAA">
        <w:rPr>
          <w:noProof/>
        </w:rPr>
        <w:t xml:space="preserve"> w</w:t>
      </w:r>
      <w:r w:rsidR="00062BFA">
        <w:rPr>
          <w:noProof/>
        </w:rPr>
        <w:t> </w:t>
      </w:r>
      <w:r w:rsidR="00062BFA" w:rsidRPr="004F6DAA">
        <w:rPr>
          <w:noProof/>
        </w:rPr>
        <w:t>pos</w:t>
      </w:r>
      <w:r w:rsidRPr="004F6DAA">
        <w:rPr>
          <w:noProof/>
        </w:rPr>
        <w:t xml:space="preserve">zczególnych państwach członkowskich, co podważałoby podstawową zasadę swobodnego przepływu towarów. Rozporządzenie </w:t>
      </w:r>
      <w:r w:rsidRPr="004F6DAA">
        <w:rPr>
          <w:b/>
          <w:noProof/>
        </w:rPr>
        <w:t>ustanowi bezpośrednie wymogi obowiązujące wszystkie podmioty gospodarcze</w:t>
      </w:r>
      <w:r w:rsidRPr="004F6DAA">
        <w:rPr>
          <w:noProof/>
        </w:rPr>
        <w:t>, zapewniając tym samym niezbędną pewność prawa</w:t>
      </w:r>
      <w:r w:rsidR="00062BFA" w:rsidRPr="004F6DAA">
        <w:rPr>
          <w:noProof/>
        </w:rPr>
        <w:t xml:space="preserve"> i</w:t>
      </w:r>
      <w:r w:rsidR="00062BFA">
        <w:rPr>
          <w:noProof/>
        </w:rPr>
        <w:t> </w:t>
      </w:r>
      <w:r w:rsidR="00062BFA" w:rsidRPr="004F6DAA">
        <w:rPr>
          <w:noProof/>
        </w:rPr>
        <w:t>moż</w:t>
      </w:r>
      <w:r w:rsidRPr="004F6DAA">
        <w:rPr>
          <w:noProof/>
        </w:rPr>
        <w:t>liwość egzekwowania prawa na</w:t>
      </w:r>
      <w:r w:rsidR="00062BFA" w:rsidRPr="004F6DAA">
        <w:rPr>
          <w:noProof/>
        </w:rPr>
        <w:t xml:space="preserve"> w</w:t>
      </w:r>
      <w:r w:rsidR="00062BFA">
        <w:rPr>
          <w:noProof/>
        </w:rPr>
        <w:t> </w:t>
      </w:r>
      <w:r w:rsidR="00062BFA" w:rsidRPr="004F6DAA">
        <w:rPr>
          <w:noProof/>
        </w:rPr>
        <w:t>peł</w:t>
      </w:r>
      <w:r w:rsidRPr="004F6DAA">
        <w:rPr>
          <w:noProof/>
        </w:rPr>
        <w:t>ni zintegrowanym rynku</w:t>
      </w:r>
      <w:r w:rsidR="00062BFA" w:rsidRPr="004F6DAA">
        <w:rPr>
          <w:noProof/>
        </w:rPr>
        <w:t xml:space="preserve"> w</w:t>
      </w:r>
      <w:r w:rsidR="00062BFA">
        <w:rPr>
          <w:noProof/>
        </w:rPr>
        <w:t> </w:t>
      </w:r>
      <w:r w:rsidR="00062BFA" w:rsidRPr="004F6DAA">
        <w:rPr>
          <w:noProof/>
        </w:rPr>
        <w:t>cał</w:t>
      </w:r>
      <w:r w:rsidRPr="004F6DAA">
        <w:rPr>
          <w:noProof/>
        </w:rPr>
        <w:t xml:space="preserve">ej UE. Ponadto dzięki rozporządzeniu </w:t>
      </w:r>
      <w:r w:rsidRPr="004F6DAA">
        <w:rPr>
          <w:b/>
          <w:noProof/>
        </w:rPr>
        <w:t>zobowiązania zostaną wdrożone tym samym czasie</w:t>
      </w:r>
      <w:r w:rsidR="00062BFA" w:rsidRPr="004F6DAA">
        <w:rPr>
          <w:b/>
          <w:noProof/>
        </w:rPr>
        <w:t xml:space="preserve"> i</w:t>
      </w:r>
      <w:r w:rsidR="00062BFA">
        <w:rPr>
          <w:b/>
          <w:noProof/>
        </w:rPr>
        <w:t> </w:t>
      </w:r>
      <w:r w:rsidR="00062BFA" w:rsidRPr="004F6DAA">
        <w:rPr>
          <w:b/>
          <w:noProof/>
        </w:rPr>
        <w:t>w</w:t>
      </w:r>
      <w:r w:rsidR="00062BFA">
        <w:rPr>
          <w:b/>
          <w:noProof/>
        </w:rPr>
        <w:t> </w:t>
      </w:r>
      <w:r w:rsidR="00062BFA" w:rsidRPr="004F6DAA">
        <w:rPr>
          <w:b/>
          <w:noProof/>
        </w:rPr>
        <w:t>ten</w:t>
      </w:r>
      <w:r w:rsidRPr="004F6DAA">
        <w:rPr>
          <w:b/>
          <w:noProof/>
        </w:rPr>
        <w:t xml:space="preserve"> sam sposób we wszystkich 27 państwach członkowskich</w:t>
      </w:r>
      <w:r w:rsidRPr="004F6DAA">
        <w:rPr>
          <w:noProof/>
        </w:rPr>
        <w:t xml:space="preserve">. Rozporządzenie przyczyni się również do </w:t>
      </w:r>
      <w:r w:rsidRPr="004F6DAA">
        <w:rPr>
          <w:b/>
          <w:bCs/>
          <w:noProof/>
        </w:rPr>
        <w:t>ograniczenia niepewności co do terminów</w:t>
      </w:r>
      <w:r w:rsidR="00062BFA" w:rsidRPr="004F6DAA">
        <w:rPr>
          <w:noProof/>
        </w:rPr>
        <w:t xml:space="preserve"> w</w:t>
      </w:r>
      <w:r w:rsidR="00062BFA">
        <w:rPr>
          <w:noProof/>
        </w:rPr>
        <w:t> </w:t>
      </w:r>
      <w:r w:rsidR="00062BFA" w:rsidRPr="004F6DAA">
        <w:rPr>
          <w:noProof/>
        </w:rPr>
        <w:t>ram</w:t>
      </w:r>
      <w:r w:rsidRPr="004F6DAA">
        <w:rPr>
          <w:noProof/>
        </w:rPr>
        <w:t>ach procesu transpozycji, którą zazwyczaj kojarzy się</w:t>
      </w:r>
      <w:r w:rsidR="00062BFA" w:rsidRPr="004F6DAA">
        <w:rPr>
          <w:noProof/>
        </w:rPr>
        <w:t xml:space="preserve"> z</w:t>
      </w:r>
      <w:r w:rsidR="00062BFA">
        <w:rPr>
          <w:noProof/>
        </w:rPr>
        <w:t> </w:t>
      </w:r>
      <w:r w:rsidR="00062BFA" w:rsidRPr="004F6DAA">
        <w:rPr>
          <w:noProof/>
        </w:rPr>
        <w:t>dyr</w:t>
      </w:r>
      <w:r w:rsidRPr="004F6DAA">
        <w:rPr>
          <w:noProof/>
        </w:rPr>
        <w:t>ektywą,</w:t>
      </w:r>
      <w:r w:rsidR="00062BFA" w:rsidRPr="004F6DAA">
        <w:rPr>
          <w:noProof/>
        </w:rPr>
        <w:t xml:space="preserve"> a</w:t>
      </w:r>
      <w:r w:rsidR="00062BFA">
        <w:rPr>
          <w:noProof/>
        </w:rPr>
        <w:t> </w:t>
      </w:r>
      <w:r w:rsidR="00062BFA" w:rsidRPr="004F6DAA">
        <w:rPr>
          <w:noProof/>
        </w:rPr>
        <w:t>jes</w:t>
      </w:r>
      <w:r w:rsidRPr="004F6DAA">
        <w:rPr>
          <w:noProof/>
        </w:rPr>
        <w:t>t to dziedzina,</w:t>
      </w:r>
      <w:r w:rsidR="00062BFA" w:rsidRPr="004F6DAA">
        <w:rPr>
          <w:noProof/>
        </w:rPr>
        <w:t xml:space="preserve"> w</w:t>
      </w:r>
      <w:r w:rsidR="00062BFA">
        <w:rPr>
          <w:noProof/>
        </w:rPr>
        <w:t> </w:t>
      </w:r>
      <w:r w:rsidR="00062BFA" w:rsidRPr="004F6DAA">
        <w:rPr>
          <w:noProof/>
        </w:rPr>
        <w:t>któ</w:t>
      </w:r>
      <w:r w:rsidRPr="004F6DAA">
        <w:rPr>
          <w:noProof/>
        </w:rPr>
        <w:t>rej czas</w:t>
      </w:r>
      <w:r w:rsidR="00062BFA" w:rsidRPr="004F6DAA">
        <w:rPr>
          <w:noProof/>
        </w:rPr>
        <w:t xml:space="preserve"> i</w:t>
      </w:r>
      <w:r w:rsidR="00062BFA">
        <w:rPr>
          <w:noProof/>
        </w:rPr>
        <w:t> </w:t>
      </w:r>
      <w:r w:rsidR="00062BFA" w:rsidRPr="004F6DAA">
        <w:rPr>
          <w:noProof/>
        </w:rPr>
        <w:t>pew</w:t>
      </w:r>
      <w:r w:rsidRPr="004F6DAA">
        <w:rPr>
          <w:noProof/>
        </w:rPr>
        <w:t>ność prawa mają kluczowe znaczenie ze względu na przewidywany rozwój rynku</w:t>
      </w:r>
      <w:r w:rsidR="00062BFA" w:rsidRPr="004F6DAA">
        <w:rPr>
          <w:noProof/>
        </w:rPr>
        <w:t xml:space="preserve"> i</w:t>
      </w:r>
      <w:r w:rsidR="00062BFA">
        <w:rPr>
          <w:noProof/>
        </w:rPr>
        <w:t> </w:t>
      </w:r>
      <w:r w:rsidR="00062BFA" w:rsidRPr="004F6DAA">
        <w:rPr>
          <w:noProof/>
        </w:rPr>
        <w:t>ogó</w:t>
      </w:r>
      <w:r w:rsidRPr="004F6DAA">
        <w:rPr>
          <w:noProof/>
        </w:rPr>
        <w:t>lnie na zmiany</w:t>
      </w:r>
      <w:r w:rsidR="00062BFA" w:rsidRPr="004F6DAA">
        <w:rPr>
          <w:noProof/>
        </w:rPr>
        <w:t xml:space="preserve"> w</w:t>
      </w:r>
      <w:r w:rsidR="00062BFA">
        <w:rPr>
          <w:noProof/>
        </w:rPr>
        <w:t> </w:t>
      </w:r>
      <w:r w:rsidR="00062BFA" w:rsidRPr="004F6DAA">
        <w:rPr>
          <w:noProof/>
        </w:rPr>
        <w:t>dyn</w:t>
      </w:r>
      <w:r w:rsidRPr="004F6DAA">
        <w:rPr>
          <w:noProof/>
        </w:rPr>
        <w:t>amice rynku.</w:t>
      </w:r>
    </w:p>
    <w:p w14:paraId="541EA3FB" w14:textId="77777777" w:rsidR="00145CFC" w:rsidRPr="004F6DAA" w:rsidRDefault="00145CFC" w:rsidP="00145CFC">
      <w:pPr>
        <w:rPr>
          <w:noProof/>
          <w:szCs w:val="24"/>
        </w:rPr>
      </w:pPr>
      <w:r w:rsidRPr="004F6DAA">
        <w:rPr>
          <w:noProof/>
        </w:rPr>
        <w:t>Instrument zaprojektowano również jako zachowujący aktualność, dynamiczny system, który będzie</w:t>
      </w:r>
      <w:r w:rsidR="00062BFA" w:rsidRPr="004F6DAA">
        <w:rPr>
          <w:noProof/>
        </w:rPr>
        <w:t xml:space="preserve"> w</w:t>
      </w:r>
      <w:r w:rsidR="00062BFA">
        <w:rPr>
          <w:noProof/>
        </w:rPr>
        <w:t> </w:t>
      </w:r>
      <w:r w:rsidR="00062BFA" w:rsidRPr="004F6DAA">
        <w:rPr>
          <w:noProof/>
        </w:rPr>
        <w:t>sta</w:t>
      </w:r>
      <w:r w:rsidRPr="004F6DAA">
        <w:rPr>
          <w:noProof/>
        </w:rPr>
        <w:t xml:space="preserve">nie </w:t>
      </w:r>
      <w:r w:rsidRPr="004F6DAA">
        <w:rPr>
          <w:b/>
          <w:noProof/>
          <w:szCs w:val="20"/>
        </w:rPr>
        <w:t>dostosować się do sytuacji na rynku oraz nowych danych</w:t>
      </w:r>
      <w:r w:rsidR="00062BFA" w:rsidRPr="004F6DAA">
        <w:rPr>
          <w:b/>
          <w:noProof/>
          <w:szCs w:val="20"/>
        </w:rPr>
        <w:t xml:space="preserve"> i</w:t>
      </w:r>
      <w:r w:rsidR="00062BFA">
        <w:rPr>
          <w:b/>
          <w:noProof/>
          <w:szCs w:val="20"/>
        </w:rPr>
        <w:t> </w:t>
      </w:r>
      <w:r w:rsidR="00062BFA" w:rsidRPr="004F6DAA">
        <w:rPr>
          <w:b/>
          <w:noProof/>
          <w:szCs w:val="20"/>
        </w:rPr>
        <w:t>dow</w:t>
      </w:r>
      <w:r w:rsidRPr="004F6DAA">
        <w:rPr>
          <w:b/>
          <w:noProof/>
          <w:szCs w:val="20"/>
        </w:rPr>
        <w:t>odów naukowych</w:t>
      </w:r>
      <w:r w:rsidR="00062BFA" w:rsidRPr="004F6DAA">
        <w:rPr>
          <w:noProof/>
        </w:rPr>
        <w:t>. W</w:t>
      </w:r>
      <w:r w:rsidR="00062BFA">
        <w:rPr>
          <w:noProof/>
        </w:rPr>
        <w:t> </w:t>
      </w:r>
      <w:r w:rsidR="00062BFA" w:rsidRPr="004F6DAA">
        <w:rPr>
          <w:noProof/>
        </w:rPr>
        <w:t>tym</w:t>
      </w:r>
      <w:r w:rsidRPr="004F6DAA">
        <w:rPr>
          <w:noProof/>
        </w:rPr>
        <w:t xml:space="preserve"> celu przewidziano </w:t>
      </w:r>
      <w:r w:rsidRPr="004F6DAA">
        <w:rPr>
          <w:b/>
          <w:noProof/>
          <w:szCs w:val="20"/>
        </w:rPr>
        <w:t xml:space="preserve">szereg </w:t>
      </w:r>
      <w:r w:rsidRPr="004F6DAA">
        <w:rPr>
          <w:b/>
          <w:bCs/>
          <w:noProof/>
          <w:szCs w:val="20"/>
        </w:rPr>
        <w:t>uprawnień dla Komisji</w:t>
      </w:r>
      <w:r w:rsidRPr="004F6DAA">
        <w:rPr>
          <w:noProof/>
        </w:rPr>
        <w:t>, które umożliwią opracowanie środków wykonawczych, m.in.</w:t>
      </w:r>
      <w:r w:rsidR="00062BFA" w:rsidRPr="004F6DAA">
        <w:rPr>
          <w:noProof/>
        </w:rPr>
        <w:t xml:space="preserve"> w</w:t>
      </w:r>
      <w:r w:rsidR="00062BFA">
        <w:rPr>
          <w:noProof/>
        </w:rPr>
        <w:t> </w:t>
      </w:r>
      <w:r w:rsidR="00062BFA" w:rsidRPr="004F6DAA">
        <w:rPr>
          <w:noProof/>
        </w:rPr>
        <w:t>cel</w:t>
      </w:r>
      <w:r w:rsidRPr="004F6DAA">
        <w:rPr>
          <w:noProof/>
        </w:rPr>
        <w:t xml:space="preserve">u opublikowania wyników analizy wskaźników dla poszczególnych </w:t>
      </w:r>
      <w:commentRangeStart w:id="7"/>
      <w:r w:rsidRPr="004F6DAA">
        <w:rPr>
          <w:noProof/>
        </w:rPr>
        <w:t>krajów</w:t>
      </w:r>
      <w:commentRangeEnd w:id="7"/>
      <w:r w:rsidR="009375F4">
        <w:rPr>
          <w:rStyle w:val="Odwoaniedokomentarza"/>
          <w:rFonts w:eastAsia="Times New Roman"/>
          <w:lang w:eastAsia="en-GB"/>
        </w:rPr>
        <w:commentReference w:id="7"/>
      </w:r>
      <w:r w:rsidRPr="004F6DAA">
        <w:rPr>
          <w:noProof/>
        </w:rPr>
        <w:t xml:space="preserve"> oraz dokonania przeglądu towarów objętych zakresem rozporządzenia.</w:t>
      </w:r>
    </w:p>
    <w:p w14:paraId="3685BAC3" w14:textId="77777777" w:rsidR="001C3FCC" w:rsidRPr="004F6DAA" w:rsidRDefault="001C3FCC" w:rsidP="009A3168">
      <w:pPr>
        <w:pStyle w:val="ManualHeading1"/>
        <w:rPr>
          <w:noProof/>
        </w:rPr>
      </w:pPr>
      <w:r w:rsidRPr="004F6DAA">
        <w:rPr>
          <w:noProof/>
        </w:rPr>
        <w:t>3.</w:t>
      </w:r>
      <w:r w:rsidRPr="004F6DAA">
        <w:rPr>
          <w:noProof/>
        </w:rPr>
        <w:tab/>
        <w:t>WYNIKI OCEN EX POST, KONSULTACJI Z ZAINTERESOWANYMI STRONAMI I OCEN SKUTKÓW</w:t>
      </w:r>
    </w:p>
    <w:p w14:paraId="435A97DE" w14:textId="77777777" w:rsidR="001C3FCC" w:rsidRPr="004F6DAA" w:rsidRDefault="001C3FCC" w:rsidP="009A3168">
      <w:pPr>
        <w:pStyle w:val="ManualHeading2"/>
        <w:rPr>
          <w:rFonts w:eastAsia="Arial Unicode MS"/>
          <w:noProof/>
          <w:u w:color="000000"/>
          <w:bdr w:val="nil"/>
        </w:rPr>
      </w:pPr>
      <w:r w:rsidRPr="004F6DAA">
        <w:rPr>
          <w:noProof/>
          <w:u w:color="000000"/>
          <w:bdr w:val="nil"/>
        </w:rPr>
        <w:t>•</w:t>
      </w:r>
      <w:r w:rsidRPr="004F6DAA">
        <w:rPr>
          <w:noProof/>
        </w:rPr>
        <w:tab/>
      </w:r>
      <w:r w:rsidRPr="004F6DAA">
        <w:rPr>
          <w:noProof/>
          <w:u w:color="000000"/>
          <w:bdr w:val="nil"/>
        </w:rPr>
        <w:t>Oceny ex post/oceny adekwatności obowiązującego prawodawstwa</w:t>
      </w:r>
    </w:p>
    <w:p w14:paraId="0580EF00" w14:textId="77777777" w:rsidR="00266872" w:rsidRPr="004F6DAA" w:rsidRDefault="00266872" w:rsidP="00266872">
      <w:pPr>
        <w:pBdr>
          <w:top w:val="nil"/>
          <w:left w:val="nil"/>
          <w:bottom w:val="nil"/>
          <w:right w:val="nil"/>
          <w:between w:val="nil"/>
          <w:bar w:val="nil"/>
        </w:pBdr>
        <w:spacing w:before="0" w:after="240"/>
        <w:rPr>
          <w:rFonts w:eastAsia="Arial Unicode MS"/>
          <w:noProof/>
        </w:rPr>
      </w:pPr>
      <w:r w:rsidRPr="004F6DAA">
        <w:rPr>
          <w:noProof/>
        </w:rPr>
        <w:t>Niniejsza inicjatywa opiera się na ustaleniach sformułowanych</w:t>
      </w:r>
      <w:r w:rsidR="00062BFA" w:rsidRPr="004F6DAA">
        <w:rPr>
          <w:noProof/>
        </w:rPr>
        <w:t xml:space="preserve"> w</w:t>
      </w:r>
      <w:r w:rsidR="00062BFA">
        <w:rPr>
          <w:noProof/>
        </w:rPr>
        <w:t> </w:t>
      </w:r>
      <w:r w:rsidR="00062BFA" w:rsidRPr="004F6DAA">
        <w:rPr>
          <w:noProof/>
        </w:rPr>
        <w:t>ram</w:t>
      </w:r>
      <w:r w:rsidRPr="004F6DAA">
        <w:rPr>
          <w:noProof/>
        </w:rPr>
        <w:t>ach oceny adekwatności rozporządzenia</w:t>
      </w:r>
      <w:r w:rsidR="00062BFA" w:rsidRPr="004F6DAA">
        <w:rPr>
          <w:noProof/>
        </w:rPr>
        <w:t xml:space="preserve"> w</w:t>
      </w:r>
      <w:r w:rsidR="00062BFA">
        <w:rPr>
          <w:noProof/>
        </w:rPr>
        <w:t> </w:t>
      </w:r>
      <w:r w:rsidR="00062BFA" w:rsidRPr="004F6DAA">
        <w:rPr>
          <w:noProof/>
        </w:rPr>
        <w:t>spr</w:t>
      </w:r>
      <w:r w:rsidRPr="004F6DAA">
        <w:rPr>
          <w:noProof/>
        </w:rPr>
        <w:t>awie drewna</w:t>
      </w:r>
      <w:r w:rsidR="00062BFA" w:rsidRPr="004F6DAA">
        <w:rPr>
          <w:noProof/>
        </w:rPr>
        <w:t xml:space="preserve"> i</w:t>
      </w:r>
      <w:r w:rsidR="00062BFA">
        <w:rPr>
          <w:noProof/>
        </w:rPr>
        <w:t> </w:t>
      </w:r>
      <w:r w:rsidR="00062BFA" w:rsidRPr="004F6DAA">
        <w:rPr>
          <w:noProof/>
        </w:rPr>
        <w:t>roz</w:t>
      </w:r>
      <w:r w:rsidRPr="004F6DAA">
        <w:rPr>
          <w:noProof/>
        </w:rPr>
        <w:t xml:space="preserve">porządzenia FLEGT, którą przeprowadzono równolegle do oceny skutków niniejszego rozporządzenia. </w:t>
      </w:r>
    </w:p>
    <w:p w14:paraId="3E5D9430" w14:textId="77777777" w:rsidR="00266872" w:rsidRPr="004F6DAA" w:rsidRDefault="00266872" w:rsidP="00266872">
      <w:pPr>
        <w:spacing w:before="0" w:after="240"/>
        <w:rPr>
          <w:rFonts w:cstheme="minorBidi"/>
          <w:noProof/>
        </w:rPr>
      </w:pPr>
      <w:r w:rsidRPr="004F6DAA">
        <w:rPr>
          <w:noProof/>
        </w:rPr>
        <w:t>Jeżeli chodzi</w:t>
      </w:r>
      <w:r w:rsidR="00062BFA" w:rsidRPr="004F6DAA">
        <w:rPr>
          <w:noProof/>
        </w:rPr>
        <w:t xml:space="preserve"> o</w:t>
      </w:r>
      <w:r w:rsidR="00062BFA">
        <w:rPr>
          <w:noProof/>
        </w:rPr>
        <w:t> </w:t>
      </w:r>
      <w:r w:rsidR="00062BFA" w:rsidRPr="004F6DAA">
        <w:rPr>
          <w:noProof/>
        </w:rPr>
        <w:t>roz</w:t>
      </w:r>
      <w:r w:rsidRPr="004F6DAA">
        <w:rPr>
          <w:noProof/>
        </w:rPr>
        <w:t>porządzenie</w:t>
      </w:r>
      <w:r w:rsidR="00062BFA" w:rsidRPr="004F6DAA">
        <w:rPr>
          <w:noProof/>
        </w:rPr>
        <w:t xml:space="preserve"> w</w:t>
      </w:r>
      <w:r w:rsidR="00062BFA">
        <w:rPr>
          <w:noProof/>
        </w:rPr>
        <w:t> </w:t>
      </w:r>
      <w:r w:rsidR="00062BFA" w:rsidRPr="004F6DAA">
        <w:rPr>
          <w:noProof/>
        </w:rPr>
        <w:t>spr</w:t>
      </w:r>
      <w:r w:rsidRPr="004F6DAA">
        <w:rPr>
          <w:noProof/>
        </w:rPr>
        <w:t>awie drewna,</w:t>
      </w:r>
      <w:r w:rsidR="00062BFA" w:rsidRPr="004F6DAA">
        <w:rPr>
          <w:noProof/>
        </w:rPr>
        <w:t xml:space="preserve"> w</w:t>
      </w:r>
      <w:r w:rsidR="00062BFA">
        <w:rPr>
          <w:noProof/>
        </w:rPr>
        <w:t> </w:t>
      </w:r>
      <w:r w:rsidR="00062BFA" w:rsidRPr="004F6DAA">
        <w:rPr>
          <w:noProof/>
        </w:rPr>
        <w:t>oce</w:t>
      </w:r>
      <w:r w:rsidRPr="004F6DAA">
        <w:rPr>
          <w:noProof/>
        </w:rPr>
        <w:t>nie adekwatności wykazano, że doprowadziło ono do poprawy sytuacji</w:t>
      </w:r>
      <w:r w:rsidR="00062BFA" w:rsidRPr="004F6DAA">
        <w:rPr>
          <w:noProof/>
        </w:rPr>
        <w:t xml:space="preserve"> w</w:t>
      </w:r>
      <w:r w:rsidR="00062BFA">
        <w:rPr>
          <w:noProof/>
        </w:rPr>
        <w:t> </w:t>
      </w:r>
      <w:r w:rsidR="00062BFA" w:rsidRPr="004F6DAA">
        <w:rPr>
          <w:noProof/>
        </w:rPr>
        <w:t>pań</w:t>
      </w:r>
      <w:r w:rsidRPr="004F6DAA">
        <w:rPr>
          <w:noProof/>
        </w:rPr>
        <w:t>stwach trzecich,</w:t>
      </w:r>
      <w:r w:rsidR="00062BFA" w:rsidRPr="004F6DAA">
        <w:rPr>
          <w:noProof/>
        </w:rPr>
        <w:t xml:space="preserve"> w</w:t>
      </w:r>
      <w:r w:rsidR="00062BFA">
        <w:rPr>
          <w:noProof/>
        </w:rPr>
        <w:t> </w:t>
      </w:r>
      <w:r w:rsidR="00062BFA" w:rsidRPr="004F6DAA">
        <w:rPr>
          <w:noProof/>
        </w:rPr>
        <w:t>tym w</w:t>
      </w:r>
      <w:r w:rsidR="00062BFA">
        <w:rPr>
          <w:noProof/>
        </w:rPr>
        <w:t> </w:t>
      </w:r>
      <w:r w:rsidR="00062BFA" w:rsidRPr="004F6DAA">
        <w:rPr>
          <w:noProof/>
        </w:rPr>
        <w:t>pań</w:t>
      </w:r>
      <w:r w:rsidRPr="004F6DAA">
        <w:rPr>
          <w:noProof/>
        </w:rPr>
        <w:t>stwach, które postanowiły nie angażować się</w:t>
      </w:r>
      <w:r w:rsidR="00062BFA" w:rsidRPr="004F6DAA">
        <w:rPr>
          <w:noProof/>
        </w:rPr>
        <w:t xml:space="preserve"> w</w:t>
      </w:r>
      <w:r w:rsidR="00062BFA">
        <w:rPr>
          <w:noProof/>
        </w:rPr>
        <w:t> </w:t>
      </w:r>
      <w:r w:rsidR="00062BFA" w:rsidRPr="004F6DAA">
        <w:rPr>
          <w:noProof/>
        </w:rPr>
        <w:t>pro</w:t>
      </w:r>
      <w:r w:rsidRPr="004F6DAA">
        <w:rPr>
          <w:noProof/>
        </w:rPr>
        <w:t>cesy umów</w:t>
      </w:r>
      <w:r w:rsidR="00062BFA" w:rsidRPr="004F6DAA">
        <w:rPr>
          <w:noProof/>
        </w:rPr>
        <w:t xml:space="preserve"> o</w:t>
      </w:r>
      <w:r w:rsidR="00062BFA">
        <w:rPr>
          <w:noProof/>
        </w:rPr>
        <w:t> </w:t>
      </w:r>
      <w:r w:rsidR="00062BFA" w:rsidRPr="004F6DAA">
        <w:rPr>
          <w:noProof/>
        </w:rPr>
        <w:t>dob</w:t>
      </w:r>
      <w:r w:rsidRPr="004F6DAA">
        <w:rPr>
          <w:noProof/>
        </w:rPr>
        <w:t>rowolnym partnerstwie. Aby spełnić wymogi rozporządzenia</w:t>
      </w:r>
      <w:r w:rsidR="00062BFA" w:rsidRPr="004F6DAA">
        <w:rPr>
          <w:noProof/>
        </w:rPr>
        <w:t xml:space="preserve"> w</w:t>
      </w:r>
      <w:r w:rsidR="00062BFA">
        <w:rPr>
          <w:noProof/>
        </w:rPr>
        <w:t> </w:t>
      </w:r>
      <w:r w:rsidR="00062BFA" w:rsidRPr="004F6DAA">
        <w:rPr>
          <w:noProof/>
        </w:rPr>
        <w:t>spr</w:t>
      </w:r>
      <w:r w:rsidRPr="004F6DAA">
        <w:rPr>
          <w:noProof/>
        </w:rPr>
        <w:t>awie drewna, główni partnerzy handlowi UE podjęli działania zmierzające do wzmocnienia swoich systemów gospodarki leśnej</w:t>
      </w:r>
      <w:r w:rsidR="00062BFA" w:rsidRPr="004F6DAA">
        <w:rPr>
          <w:noProof/>
        </w:rPr>
        <w:t xml:space="preserve"> i</w:t>
      </w:r>
      <w:r w:rsidR="00062BFA">
        <w:rPr>
          <w:noProof/>
        </w:rPr>
        <w:t> </w:t>
      </w:r>
      <w:r w:rsidR="00062BFA" w:rsidRPr="004F6DAA">
        <w:rPr>
          <w:noProof/>
        </w:rPr>
        <w:t>ogr</w:t>
      </w:r>
      <w:r w:rsidRPr="004F6DAA">
        <w:rPr>
          <w:noProof/>
        </w:rPr>
        <w:t>aniczenia nielegalnego pozyskiwania drewna. Mimo że koncepcja rozporządzenia</w:t>
      </w:r>
      <w:r w:rsidR="00062BFA" w:rsidRPr="004F6DAA">
        <w:rPr>
          <w:noProof/>
        </w:rPr>
        <w:t xml:space="preserve"> w</w:t>
      </w:r>
      <w:r w:rsidR="00062BFA">
        <w:rPr>
          <w:noProof/>
        </w:rPr>
        <w:t> </w:t>
      </w:r>
      <w:r w:rsidR="00062BFA" w:rsidRPr="004F6DAA">
        <w:rPr>
          <w:noProof/>
        </w:rPr>
        <w:t>spr</w:t>
      </w:r>
      <w:r w:rsidRPr="004F6DAA">
        <w:rPr>
          <w:noProof/>
        </w:rPr>
        <w:t>awie drewna ma pewne wady</w:t>
      </w:r>
      <w:r w:rsidR="00062BFA" w:rsidRPr="004F6DAA">
        <w:rPr>
          <w:noProof/>
        </w:rPr>
        <w:t xml:space="preserve"> i</w:t>
      </w:r>
      <w:r w:rsidR="00062BFA">
        <w:rPr>
          <w:noProof/>
        </w:rPr>
        <w:t> </w:t>
      </w:r>
      <w:r w:rsidR="00062BFA" w:rsidRPr="004F6DAA">
        <w:rPr>
          <w:noProof/>
        </w:rPr>
        <w:t>wys</w:t>
      </w:r>
      <w:r w:rsidRPr="004F6DAA">
        <w:rPr>
          <w:noProof/>
        </w:rPr>
        <w:t>tępują trudności</w:t>
      </w:r>
      <w:r w:rsidR="00062BFA" w:rsidRPr="004F6DAA">
        <w:rPr>
          <w:noProof/>
        </w:rPr>
        <w:t xml:space="preserve"> z</w:t>
      </w:r>
      <w:r w:rsidR="00062BFA">
        <w:rPr>
          <w:noProof/>
        </w:rPr>
        <w:t> </w:t>
      </w:r>
      <w:r w:rsidR="00062BFA" w:rsidRPr="004F6DAA">
        <w:rPr>
          <w:noProof/>
        </w:rPr>
        <w:t>jeg</w:t>
      </w:r>
      <w:r w:rsidRPr="004F6DAA">
        <w:rPr>
          <w:noProof/>
        </w:rPr>
        <w:t>o egzekwowaniem, uzyskało ono pewne pozytywne wyniki zarówno pod względem skuteczności, jak</w:t>
      </w:r>
      <w:r w:rsidR="00062BFA" w:rsidRPr="004F6DAA">
        <w:rPr>
          <w:noProof/>
        </w:rPr>
        <w:t xml:space="preserve"> i</w:t>
      </w:r>
      <w:r w:rsidR="00062BFA">
        <w:rPr>
          <w:noProof/>
        </w:rPr>
        <w:t> </w:t>
      </w:r>
      <w:r w:rsidR="00062BFA" w:rsidRPr="004F6DAA">
        <w:rPr>
          <w:noProof/>
        </w:rPr>
        <w:t>wyd</w:t>
      </w:r>
      <w:r w:rsidRPr="004F6DAA">
        <w:rPr>
          <w:noProof/>
        </w:rPr>
        <w:t>ajności. Jego ogólnoświatowy zasięg dał Unii podstawę do ścisłej współpracy</w:t>
      </w:r>
      <w:r w:rsidR="00062BFA" w:rsidRPr="004F6DAA">
        <w:rPr>
          <w:noProof/>
        </w:rPr>
        <w:t xml:space="preserve"> z</w:t>
      </w:r>
      <w:r w:rsidR="00062BFA">
        <w:rPr>
          <w:noProof/>
        </w:rPr>
        <w:t> </w:t>
      </w:r>
      <w:r w:rsidR="00062BFA" w:rsidRPr="004F6DAA">
        <w:rPr>
          <w:noProof/>
        </w:rPr>
        <w:t>inn</w:t>
      </w:r>
      <w:r w:rsidRPr="004F6DAA">
        <w:rPr>
          <w:noProof/>
        </w:rPr>
        <w:t>ymi państwami będącymi konsumentami. Inne państwa będące konsumentami</w:t>
      </w:r>
      <w:r w:rsidR="00062BFA" w:rsidRPr="004F6DAA">
        <w:rPr>
          <w:noProof/>
        </w:rPr>
        <w:t xml:space="preserve"> i</w:t>
      </w:r>
      <w:r w:rsidR="00062BFA">
        <w:rPr>
          <w:noProof/>
        </w:rPr>
        <w:t> </w:t>
      </w:r>
      <w:r w:rsidR="00062BFA" w:rsidRPr="004F6DAA">
        <w:rPr>
          <w:noProof/>
        </w:rPr>
        <w:t>par</w:t>
      </w:r>
      <w:r w:rsidRPr="004F6DAA">
        <w:rPr>
          <w:noProof/>
        </w:rPr>
        <w:t>tnerzy handlowi na całym świecie przyjęli podejścia legislacyjne podobne do podejścia przyjętego</w:t>
      </w:r>
      <w:r w:rsidR="00062BFA" w:rsidRPr="004F6DAA">
        <w:rPr>
          <w:noProof/>
        </w:rPr>
        <w:t xml:space="preserve"> w</w:t>
      </w:r>
      <w:r w:rsidR="00062BFA">
        <w:rPr>
          <w:noProof/>
        </w:rPr>
        <w:t> </w:t>
      </w:r>
      <w:r w:rsidR="00062BFA" w:rsidRPr="004F6DAA">
        <w:rPr>
          <w:noProof/>
        </w:rPr>
        <w:t>roz</w:t>
      </w:r>
      <w:r w:rsidRPr="004F6DAA">
        <w:rPr>
          <w:noProof/>
        </w:rPr>
        <w:t>porządzeniu</w:t>
      </w:r>
      <w:r w:rsidR="00062BFA" w:rsidRPr="004F6DAA">
        <w:rPr>
          <w:noProof/>
        </w:rPr>
        <w:t xml:space="preserve"> w</w:t>
      </w:r>
      <w:r w:rsidR="00062BFA">
        <w:rPr>
          <w:noProof/>
        </w:rPr>
        <w:t> </w:t>
      </w:r>
      <w:r w:rsidR="00062BFA" w:rsidRPr="004F6DAA">
        <w:rPr>
          <w:noProof/>
        </w:rPr>
        <w:t>spr</w:t>
      </w:r>
      <w:r w:rsidRPr="004F6DAA">
        <w:rPr>
          <w:noProof/>
        </w:rPr>
        <w:t>awie drewna. Jest to szczególnie istotne</w:t>
      </w:r>
      <w:r w:rsidR="00062BFA" w:rsidRPr="004F6DAA">
        <w:rPr>
          <w:noProof/>
        </w:rPr>
        <w:t xml:space="preserve"> w</w:t>
      </w:r>
      <w:r w:rsidR="00062BFA">
        <w:rPr>
          <w:noProof/>
        </w:rPr>
        <w:t> </w:t>
      </w:r>
      <w:r w:rsidR="00062BFA" w:rsidRPr="004F6DAA">
        <w:rPr>
          <w:noProof/>
        </w:rPr>
        <w:t>sze</w:t>
      </w:r>
      <w:r w:rsidRPr="004F6DAA">
        <w:rPr>
          <w:noProof/>
        </w:rPr>
        <w:t>rszym kontekście wylesiania, ponieważ pokazuje, że UE – nawet przy malejącym udziale</w:t>
      </w:r>
      <w:r w:rsidR="00062BFA" w:rsidRPr="004F6DAA">
        <w:rPr>
          <w:noProof/>
        </w:rPr>
        <w:t xml:space="preserve"> w</w:t>
      </w:r>
      <w:r w:rsidR="00062BFA">
        <w:rPr>
          <w:noProof/>
        </w:rPr>
        <w:t> </w:t>
      </w:r>
      <w:r w:rsidR="00062BFA" w:rsidRPr="004F6DAA">
        <w:rPr>
          <w:noProof/>
        </w:rPr>
        <w:t>ryn</w:t>
      </w:r>
      <w:r w:rsidRPr="004F6DAA">
        <w:rPr>
          <w:noProof/>
        </w:rPr>
        <w:t>ku – może wywierać wpływ</w:t>
      </w:r>
      <w:r w:rsidR="00062BFA" w:rsidRPr="004F6DAA">
        <w:rPr>
          <w:noProof/>
        </w:rPr>
        <w:t xml:space="preserve"> i</w:t>
      </w:r>
      <w:r w:rsidR="00062BFA">
        <w:rPr>
          <w:noProof/>
        </w:rPr>
        <w:t> </w:t>
      </w:r>
      <w:r w:rsidR="00062BFA" w:rsidRPr="004F6DAA">
        <w:rPr>
          <w:noProof/>
        </w:rPr>
        <w:t>być</w:t>
      </w:r>
      <w:r w:rsidRPr="004F6DAA">
        <w:rPr>
          <w:noProof/>
        </w:rPr>
        <w:t xml:space="preserve"> światowym liderem. </w:t>
      </w:r>
    </w:p>
    <w:p w14:paraId="270AD054" w14:textId="77777777" w:rsidR="00266872" w:rsidRPr="004F6DAA" w:rsidRDefault="00266872" w:rsidP="00266872">
      <w:pPr>
        <w:spacing w:before="0" w:after="240"/>
        <w:rPr>
          <w:rFonts w:cstheme="minorBidi"/>
          <w:noProof/>
        </w:rPr>
      </w:pPr>
      <w:r w:rsidRPr="004F6DAA">
        <w:rPr>
          <w:noProof/>
        </w:rPr>
        <w:t>Pomimo wyzwań związanych</w:t>
      </w:r>
      <w:r w:rsidR="00062BFA" w:rsidRPr="004F6DAA">
        <w:rPr>
          <w:noProof/>
        </w:rPr>
        <w:t xml:space="preserve"> z</w:t>
      </w:r>
      <w:r w:rsidR="00062BFA">
        <w:rPr>
          <w:noProof/>
        </w:rPr>
        <w:t> </w:t>
      </w:r>
      <w:r w:rsidR="00062BFA" w:rsidRPr="004F6DAA">
        <w:rPr>
          <w:noProof/>
        </w:rPr>
        <w:t>jeg</w:t>
      </w:r>
      <w:r w:rsidRPr="004F6DAA">
        <w:rPr>
          <w:noProof/>
        </w:rPr>
        <w:t>o wdrożeniem,</w:t>
      </w:r>
      <w:r w:rsidR="00062BFA" w:rsidRPr="004F6DAA">
        <w:rPr>
          <w:noProof/>
        </w:rPr>
        <w:t xml:space="preserve"> z</w:t>
      </w:r>
      <w:r w:rsidR="00062BFA">
        <w:rPr>
          <w:noProof/>
        </w:rPr>
        <w:t> </w:t>
      </w:r>
      <w:r w:rsidR="00062BFA" w:rsidRPr="004F6DAA">
        <w:rPr>
          <w:noProof/>
        </w:rPr>
        <w:t>ust</w:t>
      </w:r>
      <w:r w:rsidRPr="004F6DAA">
        <w:rPr>
          <w:noProof/>
        </w:rPr>
        <w:t>aleń sformułowanych</w:t>
      </w:r>
      <w:r w:rsidR="00062BFA" w:rsidRPr="004F6DAA">
        <w:rPr>
          <w:noProof/>
        </w:rPr>
        <w:t xml:space="preserve"> w</w:t>
      </w:r>
      <w:r w:rsidR="00062BFA">
        <w:rPr>
          <w:noProof/>
        </w:rPr>
        <w:t> </w:t>
      </w:r>
      <w:r w:rsidR="00062BFA" w:rsidRPr="004F6DAA">
        <w:rPr>
          <w:noProof/>
        </w:rPr>
        <w:t>ram</w:t>
      </w:r>
      <w:r w:rsidRPr="004F6DAA">
        <w:rPr>
          <w:noProof/>
        </w:rPr>
        <w:t>ach oceny adekwatności wynika, że podejście przyjęte</w:t>
      </w:r>
      <w:r w:rsidR="00062BFA" w:rsidRPr="004F6DAA">
        <w:rPr>
          <w:noProof/>
        </w:rPr>
        <w:t xml:space="preserve"> w</w:t>
      </w:r>
      <w:r w:rsidR="00062BFA">
        <w:rPr>
          <w:noProof/>
        </w:rPr>
        <w:t> </w:t>
      </w:r>
      <w:r w:rsidR="00062BFA" w:rsidRPr="004F6DAA">
        <w:rPr>
          <w:noProof/>
        </w:rPr>
        <w:t>prz</w:t>
      </w:r>
      <w:r w:rsidRPr="004F6DAA">
        <w:rPr>
          <w:noProof/>
        </w:rPr>
        <w:t>ypadku rozporządzenia</w:t>
      </w:r>
      <w:r w:rsidR="00062BFA" w:rsidRPr="004F6DAA">
        <w:rPr>
          <w:noProof/>
        </w:rPr>
        <w:t xml:space="preserve"> w</w:t>
      </w:r>
      <w:r w:rsidR="00062BFA">
        <w:rPr>
          <w:noProof/>
        </w:rPr>
        <w:t> </w:t>
      </w:r>
      <w:r w:rsidR="00062BFA" w:rsidRPr="004F6DAA">
        <w:rPr>
          <w:noProof/>
        </w:rPr>
        <w:t>spr</w:t>
      </w:r>
      <w:r w:rsidRPr="004F6DAA">
        <w:rPr>
          <w:noProof/>
        </w:rPr>
        <w:t>awie drewna – należyta staranność – pozwala elastycznie reagować na nowe</w:t>
      </w:r>
      <w:r w:rsidR="00062BFA" w:rsidRPr="004F6DAA">
        <w:rPr>
          <w:noProof/>
        </w:rPr>
        <w:t xml:space="preserve"> i</w:t>
      </w:r>
      <w:r w:rsidR="00062BFA">
        <w:rPr>
          <w:noProof/>
        </w:rPr>
        <w:t> </w:t>
      </w:r>
      <w:r w:rsidR="00062BFA" w:rsidRPr="004F6DAA">
        <w:rPr>
          <w:noProof/>
        </w:rPr>
        <w:t>poj</w:t>
      </w:r>
      <w:r w:rsidRPr="004F6DAA">
        <w:rPr>
          <w:noProof/>
        </w:rPr>
        <w:t>awiające się wyzwania związane</w:t>
      </w:r>
      <w:r w:rsidR="00062BFA" w:rsidRPr="004F6DAA">
        <w:rPr>
          <w:noProof/>
        </w:rPr>
        <w:t xml:space="preserve"> z</w:t>
      </w:r>
      <w:r w:rsidR="00062BFA">
        <w:rPr>
          <w:noProof/>
        </w:rPr>
        <w:t> </w:t>
      </w:r>
      <w:r w:rsidR="00062BFA" w:rsidRPr="004F6DAA">
        <w:rPr>
          <w:noProof/>
        </w:rPr>
        <w:t>nie</w:t>
      </w:r>
      <w:r w:rsidRPr="004F6DAA">
        <w:rPr>
          <w:noProof/>
        </w:rPr>
        <w:t>legalnym pozyskiwaniem drewna</w:t>
      </w:r>
      <w:r w:rsidR="00062BFA" w:rsidRPr="004F6DAA">
        <w:rPr>
          <w:noProof/>
        </w:rPr>
        <w:t xml:space="preserve"> i</w:t>
      </w:r>
      <w:r w:rsidR="00062BFA">
        <w:rPr>
          <w:noProof/>
        </w:rPr>
        <w:t> </w:t>
      </w:r>
      <w:r w:rsidR="00062BFA" w:rsidRPr="004F6DAA">
        <w:rPr>
          <w:noProof/>
        </w:rPr>
        <w:t>nie</w:t>
      </w:r>
      <w:r w:rsidRPr="004F6DAA">
        <w:rPr>
          <w:noProof/>
        </w:rPr>
        <w:t>legalną zmianą użytkowania gruntów. Ogólny wymóg (zachowania należytej staranności) nałożony na wszystkie podmioty</w:t>
      </w:r>
      <w:r w:rsidR="00062BFA" w:rsidRPr="004F6DAA">
        <w:rPr>
          <w:noProof/>
        </w:rPr>
        <w:t xml:space="preserve"> z</w:t>
      </w:r>
      <w:r w:rsidR="00062BFA">
        <w:rPr>
          <w:noProof/>
        </w:rPr>
        <w:t> </w:t>
      </w:r>
      <w:r w:rsidR="00062BFA" w:rsidRPr="004F6DAA">
        <w:rPr>
          <w:noProof/>
        </w:rPr>
        <w:t>sie</w:t>
      </w:r>
      <w:r w:rsidRPr="004F6DAA">
        <w:rPr>
          <w:noProof/>
        </w:rPr>
        <w:t>dzibą w UE pozwala również na elastyczne dostosowanie rozporządzenia do zmian</w:t>
      </w:r>
      <w:r w:rsidR="00062BFA" w:rsidRPr="004F6DAA">
        <w:rPr>
          <w:noProof/>
        </w:rPr>
        <w:t xml:space="preserve"> w</w:t>
      </w:r>
      <w:r w:rsidR="00062BFA">
        <w:rPr>
          <w:noProof/>
        </w:rPr>
        <w:t> </w:t>
      </w:r>
      <w:r w:rsidR="00062BFA" w:rsidRPr="004F6DAA">
        <w:rPr>
          <w:noProof/>
        </w:rPr>
        <w:t>str</w:t>
      </w:r>
      <w:r w:rsidRPr="004F6DAA">
        <w:rPr>
          <w:noProof/>
        </w:rPr>
        <w:t>ukturze handlu</w:t>
      </w:r>
      <w:r w:rsidR="00062BFA" w:rsidRPr="004F6DAA">
        <w:rPr>
          <w:noProof/>
        </w:rPr>
        <w:t xml:space="preserve"> i</w:t>
      </w:r>
      <w:r w:rsidR="00062BFA">
        <w:rPr>
          <w:noProof/>
        </w:rPr>
        <w:t> </w:t>
      </w:r>
      <w:r w:rsidR="00062BFA" w:rsidRPr="004F6DAA">
        <w:rPr>
          <w:noProof/>
        </w:rPr>
        <w:t>zmi</w:t>
      </w:r>
      <w:r w:rsidRPr="004F6DAA">
        <w:rPr>
          <w:noProof/>
        </w:rPr>
        <w:t>an</w:t>
      </w:r>
      <w:r w:rsidR="00062BFA" w:rsidRPr="004F6DAA">
        <w:rPr>
          <w:noProof/>
        </w:rPr>
        <w:t xml:space="preserve"> w</w:t>
      </w:r>
      <w:r w:rsidR="00062BFA">
        <w:rPr>
          <w:noProof/>
        </w:rPr>
        <w:t> </w:t>
      </w:r>
      <w:r w:rsidR="00062BFA" w:rsidRPr="004F6DAA">
        <w:rPr>
          <w:noProof/>
        </w:rPr>
        <w:t>pro</w:t>
      </w:r>
      <w:r w:rsidRPr="004F6DAA">
        <w:rPr>
          <w:noProof/>
        </w:rPr>
        <w:t>filach ryzyka poszczególnych państw. Proponowany wariant zintegruje</w:t>
      </w:r>
      <w:r w:rsidR="00062BFA" w:rsidRPr="004F6DAA">
        <w:rPr>
          <w:noProof/>
        </w:rPr>
        <w:t xml:space="preserve"> i</w:t>
      </w:r>
      <w:r w:rsidR="00062BFA">
        <w:rPr>
          <w:noProof/>
        </w:rPr>
        <w:t> </w:t>
      </w:r>
      <w:r w:rsidR="00062BFA" w:rsidRPr="004F6DAA">
        <w:rPr>
          <w:noProof/>
        </w:rPr>
        <w:t>udo</w:t>
      </w:r>
      <w:r w:rsidRPr="004F6DAA">
        <w:rPr>
          <w:noProof/>
        </w:rPr>
        <w:t>skonali ramy ustanowione</w:t>
      </w:r>
      <w:r w:rsidR="00062BFA" w:rsidRPr="004F6DAA">
        <w:rPr>
          <w:noProof/>
        </w:rPr>
        <w:t xml:space="preserve"> w</w:t>
      </w:r>
      <w:r w:rsidR="00062BFA">
        <w:rPr>
          <w:noProof/>
        </w:rPr>
        <w:t> </w:t>
      </w:r>
      <w:r w:rsidR="00062BFA" w:rsidRPr="004F6DAA">
        <w:rPr>
          <w:noProof/>
        </w:rPr>
        <w:t>roz</w:t>
      </w:r>
      <w:r w:rsidRPr="004F6DAA">
        <w:rPr>
          <w:noProof/>
        </w:rPr>
        <w:t>porządzeniu</w:t>
      </w:r>
      <w:r w:rsidR="00062BFA" w:rsidRPr="004F6DAA">
        <w:rPr>
          <w:noProof/>
        </w:rPr>
        <w:t xml:space="preserve"> w</w:t>
      </w:r>
      <w:r w:rsidR="00062BFA">
        <w:rPr>
          <w:noProof/>
        </w:rPr>
        <w:t> </w:t>
      </w:r>
      <w:r w:rsidR="00062BFA" w:rsidRPr="004F6DAA">
        <w:rPr>
          <w:noProof/>
        </w:rPr>
        <w:t>spr</w:t>
      </w:r>
      <w:r w:rsidRPr="004F6DAA">
        <w:rPr>
          <w:noProof/>
        </w:rPr>
        <w:t>awie drewna, które zostałoby</w:t>
      </w:r>
      <w:r w:rsidR="00062BFA" w:rsidRPr="004F6DAA">
        <w:rPr>
          <w:noProof/>
        </w:rPr>
        <w:t xml:space="preserve">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tym</w:t>
      </w:r>
      <w:r w:rsidRPr="004F6DAA">
        <w:rPr>
          <w:noProof/>
        </w:rPr>
        <w:t xml:space="preserve"> uchylone.</w:t>
      </w:r>
    </w:p>
    <w:p w14:paraId="64E6E6A7" w14:textId="77777777" w:rsidR="00266872" w:rsidRPr="004F6DAA" w:rsidRDefault="00266872" w:rsidP="00266872">
      <w:pPr>
        <w:spacing w:before="0" w:after="240"/>
        <w:rPr>
          <w:rFonts w:cstheme="minorBidi"/>
          <w:noProof/>
        </w:rPr>
      </w:pPr>
      <w:r w:rsidRPr="004F6DAA">
        <w:rPr>
          <w:noProof/>
        </w:rPr>
        <w:t>Procedura należytej staranności ustanowiona</w:t>
      </w:r>
      <w:r w:rsidR="00062BFA" w:rsidRPr="004F6DAA">
        <w:rPr>
          <w:noProof/>
        </w:rPr>
        <w:t xml:space="preserve"> w</w:t>
      </w:r>
      <w:r w:rsidR="00062BFA">
        <w:rPr>
          <w:noProof/>
        </w:rPr>
        <w:t> </w:t>
      </w:r>
      <w:r w:rsidR="00062BFA" w:rsidRPr="004F6DAA">
        <w:rPr>
          <w:noProof/>
        </w:rPr>
        <w:t>roz</w:t>
      </w:r>
      <w:r w:rsidRPr="004F6DAA">
        <w:rPr>
          <w:noProof/>
        </w:rPr>
        <w:t>porządzeniu</w:t>
      </w:r>
      <w:r w:rsidR="00062BFA" w:rsidRPr="004F6DAA">
        <w:rPr>
          <w:noProof/>
        </w:rPr>
        <w:t xml:space="preserve"> w</w:t>
      </w:r>
      <w:r w:rsidR="00062BFA">
        <w:rPr>
          <w:noProof/>
        </w:rPr>
        <w:t> </w:t>
      </w:r>
      <w:r w:rsidR="00062BFA" w:rsidRPr="004F6DAA">
        <w:rPr>
          <w:noProof/>
        </w:rPr>
        <w:t>spr</w:t>
      </w:r>
      <w:r w:rsidRPr="004F6DAA">
        <w:rPr>
          <w:noProof/>
        </w:rPr>
        <w:t>awie drewna zostanie dostosowana</w:t>
      </w:r>
      <w:r w:rsidR="00062BFA" w:rsidRPr="004F6DAA">
        <w:rPr>
          <w:noProof/>
        </w:rPr>
        <w:t xml:space="preserve"> i</w:t>
      </w:r>
      <w:r w:rsidR="00062BFA">
        <w:rPr>
          <w:noProof/>
        </w:rPr>
        <w:t> </w:t>
      </w:r>
      <w:r w:rsidR="00062BFA" w:rsidRPr="004F6DAA">
        <w:rPr>
          <w:noProof/>
        </w:rPr>
        <w:t>udo</w:t>
      </w:r>
      <w:r w:rsidRPr="004F6DAA">
        <w:rPr>
          <w:noProof/>
        </w:rPr>
        <w:t>skonalona</w:t>
      </w:r>
      <w:r w:rsidR="00062BFA" w:rsidRPr="004F6DAA">
        <w:rPr>
          <w:noProof/>
        </w:rPr>
        <w:t xml:space="preserve"> w</w:t>
      </w:r>
      <w:r w:rsidR="00062BFA">
        <w:rPr>
          <w:noProof/>
        </w:rPr>
        <w:t> </w:t>
      </w:r>
      <w:r w:rsidR="00062BFA" w:rsidRPr="004F6DAA">
        <w:rPr>
          <w:noProof/>
        </w:rPr>
        <w:t>nin</w:t>
      </w:r>
      <w:r w:rsidRPr="004F6DAA">
        <w:rPr>
          <w:noProof/>
        </w:rPr>
        <w:t>iejszym rozporządzeniu dzięki wprowadzeniu nowych elementów, takich jak oświadczenie</w:t>
      </w:r>
      <w:r w:rsidR="00062BFA" w:rsidRPr="004F6DAA">
        <w:rPr>
          <w:noProof/>
        </w:rPr>
        <w:t xml:space="preserve"> o</w:t>
      </w:r>
      <w:r w:rsidR="00062BFA">
        <w:rPr>
          <w:noProof/>
        </w:rPr>
        <w:t> </w:t>
      </w:r>
      <w:r w:rsidR="00062BFA" w:rsidRPr="004F6DAA">
        <w:rPr>
          <w:noProof/>
        </w:rPr>
        <w:t>zac</w:t>
      </w:r>
      <w:r w:rsidRPr="004F6DAA">
        <w:rPr>
          <w:noProof/>
        </w:rPr>
        <w:t>howaniu należytej staranności (</w:t>
      </w:r>
      <w:r w:rsidRPr="00062BFA">
        <w:rPr>
          <w:noProof/>
        </w:rPr>
        <w:t>art.</w:t>
      </w:r>
      <w:r w:rsidR="00062BFA" w:rsidRPr="00062BFA">
        <w:rPr>
          <w:noProof/>
        </w:rPr>
        <w:t> </w:t>
      </w:r>
      <w:r w:rsidRPr="00062BFA">
        <w:rPr>
          <w:noProof/>
        </w:rPr>
        <w:t>4</w:t>
      </w:r>
      <w:r w:rsidRPr="004F6DAA">
        <w:rPr>
          <w:noProof/>
        </w:rPr>
        <w:t>), wymóg dotyczący informacji geograficznej lub geolokalizacji, łączący towary</w:t>
      </w:r>
      <w:r w:rsidR="00062BFA" w:rsidRPr="004F6DAA">
        <w:rPr>
          <w:noProof/>
        </w:rPr>
        <w:t xml:space="preserve"> i</w:t>
      </w:r>
      <w:r w:rsidR="00062BFA">
        <w:rPr>
          <w:noProof/>
        </w:rPr>
        <w:t> </w:t>
      </w:r>
      <w:r w:rsidR="00062BFA" w:rsidRPr="004F6DAA">
        <w:rPr>
          <w:noProof/>
        </w:rPr>
        <w:t>pro</w:t>
      </w:r>
      <w:r w:rsidRPr="004F6DAA">
        <w:rPr>
          <w:noProof/>
        </w:rPr>
        <w:t>dukty</w:t>
      </w:r>
      <w:r w:rsidR="00062BFA" w:rsidRPr="004F6DAA">
        <w:rPr>
          <w:noProof/>
        </w:rPr>
        <w:t xml:space="preserve"> z</w:t>
      </w:r>
      <w:r w:rsidR="00062BFA">
        <w:rPr>
          <w:noProof/>
        </w:rPr>
        <w:t> </w:t>
      </w:r>
      <w:r w:rsidR="00062BFA" w:rsidRPr="004F6DAA">
        <w:rPr>
          <w:noProof/>
        </w:rPr>
        <w:t>dzi</w:t>
      </w:r>
      <w:r w:rsidRPr="004F6DAA">
        <w:rPr>
          <w:noProof/>
        </w:rPr>
        <w:t>ałką, na której zostały wyprodukowane (</w:t>
      </w:r>
      <w:r w:rsidRPr="00062BFA">
        <w:rPr>
          <w:noProof/>
        </w:rPr>
        <w:t>art.</w:t>
      </w:r>
      <w:r w:rsidR="00062BFA" w:rsidRPr="00062BFA">
        <w:rPr>
          <w:noProof/>
        </w:rPr>
        <w:t> </w:t>
      </w:r>
      <w:r w:rsidRPr="00062BFA">
        <w:rPr>
          <w:noProof/>
        </w:rPr>
        <w:t>9</w:t>
      </w:r>
      <w:r w:rsidRPr="004F6DAA">
        <w:rPr>
          <w:noProof/>
        </w:rPr>
        <w:t>), ściślejsza współpraca</w:t>
      </w:r>
      <w:r w:rsidR="00062BFA" w:rsidRPr="004F6DAA">
        <w:rPr>
          <w:noProof/>
        </w:rPr>
        <w:t xml:space="preserve"> z</w:t>
      </w:r>
      <w:r w:rsidR="00062BFA">
        <w:rPr>
          <w:noProof/>
        </w:rPr>
        <w:t> </w:t>
      </w:r>
      <w:r w:rsidR="00062BFA" w:rsidRPr="004F6DAA">
        <w:rPr>
          <w:noProof/>
        </w:rPr>
        <w:t>org</w:t>
      </w:r>
      <w:r w:rsidRPr="004F6DAA">
        <w:rPr>
          <w:noProof/>
        </w:rPr>
        <w:t>anami celnymi (</w:t>
      </w:r>
      <w:r w:rsidRPr="00062BFA">
        <w:rPr>
          <w:noProof/>
        </w:rPr>
        <w:t>art.</w:t>
      </w:r>
      <w:r w:rsidR="00062BFA" w:rsidRPr="00062BFA">
        <w:rPr>
          <w:noProof/>
        </w:rPr>
        <w:t> </w:t>
      </w:r>
      <w:r w:rsidRPr="00062BFA">
        <w:rPr>
          <w:noProof/>
        </w:rPr>
        <w:t>1</w:t>
      </w:r>
      <w:r w:rsidRPr="004F6DAA">
        <w:rPr>
          <w:noProof/>
        </w:rPr>
        <w:t>4</w:t>
      </w:r>
      <w:r w:rsidR="00062BFA" w:rsidRPr="004F6DAA">
        <w:rPr>
          <w:noProof/>
        </w:rPr>
        <w:t xml:space="preserve"> i</w:t>
      </w:r>
      <w:r w:rsidR="00062BFA">
        <w:rPr>
          <w:noProof/>
        </w:rPr>
        <w:t> </w:t>
      </w:r>
      <w:r w:rsidR="00062BFA" w:rsidRPr="004F6DAA">
        <w:rPr>
          <w:noProof/>
        </w:rPr>
        <w:t>2</w:t>
      </w:r>
      <w:r w:rsidRPr="004F6DAA">
        <w:rPr>
          <w:noProof/>
        </w:rPr>
        <w:t>4), minimalne poziomy inspekcji (</w:t>
      </w:r>
      <w:r w:rsidRPr="00062BFA">
        <w:rPr>
          <w:noProof/>
        </w:rPr>
        <w:t>art.</w:t>
      </w:r>
      <w:r w:rsidR="00062BFA" w:rsidRPr="00062BFA">
        <w:rPr>
          <w:noProof/>
        </w:rPr>
        <w:t> </w:t>
      </w:r>
      <w:r w:rsidRPr="00062BFA">
        <w:rPr>
          <w:noProof/>
        </w:rPr>
        <w:t>1</w:t>
      </w:r>
      <w:r w:rsidRPr="004F6DAA">
        <w:rPr>
          <w:noProof/>
        </w:rPr>
        <w:t>4) oraz system wskaźników dla poszczególnych krajów (</w:t>
      </w:r>
      <w:r w:rsidRPr="00062BFA">
        <w:rPr>
          <w:noProof/>
        </w:rPr>
        <w:t>art.</w:t>
      </w:r>
      <w:r w:rsidR="00062BFA" w:rsidRPr="00062BFA">
        <w:rPr>
          <w:noProof/>
        </w:rPr>
        <w:t> </w:t>
      </w:r>
      <w:r w:rsidRPr="00062BFA">
        <w:rPr>
          <w:noProof/>
        </w:rPr>
        <w:t>2</w:t>
      </w:r>
      <w:r w:rsidRPr="004F6DAA">
        <w:rPr>
          <w:noProof/>
        </w:rPr>
        <w:t xml:space="preserve">5–26). </w:t>
      </w:r>
    </w:p>
    <w:p w14:paraId="092B8118" w14:textId="77777777" w:rsidR="00266872" w:rsidRPr="004F6DAA" w:rsidRDefault="00266872" w:rsidP="00266872">
      <w:pPr>
        <w:spacing w:before="0" w:after="240"/>
        <w:rPr>
          <w:rFonts w:eastAsia="Times New Roman"/>
          <w:noProof/>
          <w:szCs w:val="24"/>
        </w:rPr>
      </w:pPr>
      <w:r w:rsidRPr="004F6DAA">
        <w:rPr>
          <w:noProof/>
        </w:rPr>
        <w:t>Jeżeli chodzi</w:t>
      </w:r>
      <w:r w:rsidR="00062BFA" w:rsidRPr="004F6DAA">
        <w:rPr>
          <w:noProof/>
        </w:rPr>
        <w:t xml:space="preserve"> o</w:t>
      </w:r>
      <w:r w:rsidR="00062BFA">
        <w:rPr>
          <w:noProof/>
        </w:rPr>
        <w:t> </w:t>
      </w:r>
      <w:r w:rsidR="00062BFA" w:rsidRPr="004F6DAA">
        <w:rPr>
          <w:noProof/>
        </w:rPr>
        <w:t>roz</w:t>
      </w:r>
      <w:r w:rsidRPr="004F6DAA">
        <w:rPr>
          <w:noProof/>
        </w:rPr>
        <w:t>porządzenie FLEGT,</w:t>
      </w:r>
      <w:r w:rsidR="00062BFA" w:rsidRPr="004F6DAA">
        <w:rPr>
          <w:noProof/>
        </w:rPr>
        <w:t xml:space="preserve"> w</w:t>
      </w:r>
      <w:r w:rsidR="00062BFA">
        <w:rPr>
          <w:noProof/>
        </w:rPr>
        <w:t> </w:t>
      </w:r>
      <w:r w:rsidR="00062BFA" w:rsidRPr="004F6DAA">
        <w:rPr>
          <w:noProof/>
        </w:rPr>
        <w:t>oce</w:t>
      </w:r>
      <w:r w:rsidRPr="004F6DAA">
        <w:rPr>
          <w:noProof/>
        </w:rPr>
        <w:t>nie adekwatności potwierdzono osiągnięcia związane</w:t>
      </w:r>
      <w:r w:rsidR="00062BFA" w:rsidRPr="004F6DAA">
        <w:rPr>
          <w:noProof/>
        </w:rPr>
        <w:t xml:space="preserve"> z</w:t>
      </w:r>
      <w:r w:rsidR="00062BFA">
        <w:rPr>
          <w:noProof/>
        </w:rPr>
        <w:t> </w:t>
      </w:r>
      <w:r w:rsidR="00062BFA" w:rsidRPr="004F6DAA">
        <w:rPr>
          <w:noProof/>
        </w:rPr>
        <w:t>umo</w:t>
      </w:r>
      <w:r w:rsidRPr="004F6DAA">
        <w:rPr>
          <w:noProof/>
        </w:rPr>
        <w:t>wami</w:t>
      </w:r>
      <w:r w:rsidR="00062BFA" w:rsidRPr="004F6DAA">
        <w:rPr>
          <w:noProof/>
        </w:rPr>
        <w:t xml:space="preserve"> o</w:t>
      </w:r>
      <w:r w:rsidR="00062BFA">
        <w:rPr>
          <w:noProof/>
        </w:rPr>
        <w:t> </w:t>
      </w:r>
      <w:r w:rsidR="00062BFA" w:rsidRPr="004F6DAA">
        <w:rPr>
          <w:noProof/>
        </w:rPr>
        <w:t>dob</w:t>
      </w:r>
      <w:r w:rsidRPr="004F6DAA">
        <w:rPr>
          <w:noProof/>
        </w:rPr>
        <w:t>rowolnym partnerstwie</w:t>
      </w:r>
      <w:r w:rsidR="00062BFA" w:rsidRPr="004F6DAA">
        <w:rPr>
          <w:noProof/>
        </w:rPr>
        <w:t xml:space="preserve"> w</w:t>
      </w:r>
      <w:r w:rsidR="00062BFA">
        <w:rPr>
          <w:noProof/>
        </w:rPr>
        <w:t> </w:t>
      </w:r>
      <w:r w:rsidR="00062BFA" w:rsidRPr="004F6DAA">
        <w:rPr>
          <w:noProof/>
        </w:rPr>
        <w:t>zak</w:t>
      </w:r>
      <w:r w:rsidRPr="004F6DAA">
        <w:rPr>
          <w:noProof/>
        </w:rPr>
        <w:t>resie zwiększania udziału zainteresowanych stron</w:t>
      </w:r>
      <w:r w:rsidR="00062BFA" w:rsidRPr="004F6DAA">
        <w:rPr>
          <w:noProof/>
        </w:rPr>
        <w:t xml:space="preserve"> i</w:t>
      </w:r>
      <w:r w:rsidR="00062BFA">
        <w:rPr>
          <w:noProof/>
        </w:rPr>
        <w:t> </w:t>
      </w:r>
      <w:r w:rsidR="00062BFA" w:rsidRPr="004F6DAA">
        <w:rPr>
          <w:noProof/>
        </w:rPr>
        <w:t>ule</w:t>
      </w:r>
      <w:r w:rsidRPr="004F6DAA">
        <w:rPr>
          <w:noProof/>
        </w:rPr>
        <w:t>pszenia ram dotyczących gospodarki leśnej</w:t>
      </w:r>
      <w:r w:rsidR="00062BFA" w:rsidRPr="004F6DAA">
        <w:rPr>
          <w:noProof/>
        </w:rPr>
        <w:t xml:space="preserve"> w</w:t>
      </w:r>
      <w:r w:rsidR="00062BFA">
        <w:rPr>
          <w:noProof/>
        </w:rPr>
        <w:t> </w:t>
      </w:r>
      <w:r w:rsidR="00062BFA" w:rsidRPr="004F6DAA">
        <w:rPr>
          <w:noProof/>
        </w:rPr>
        <w:t>kra</w:t>
      </w:r>
      <w:r w:rsidRPr="004F6DAA">
        <w:rPr>
          <w:noProof/>
        </w:rPr>
        <w:t>jach partnerskich, przy czym zwrócono uwagę na szereg niedociągnięć. Wskazano również, że istnieją ograniczone dowody na to, że umowy</w:t>
      </w:r>
      <w:r w:rsidR="00062BFA" w:rsidRPr="004F6DAA">
        <w:rPr>
          <w:noProof/>
        </w:rPr>
        <w:t xml:space="preserve"> o</w:t>
      </w:r>
      <w:r w:rsidR="00062BFA">
        <w:rPr>
          <w:noProof/>
        </w:rPr>
        <w:t> </w:t>
      </w:r>
      <w:r w:rsidR="00062BFA" w:rsidRPr="004F6DAA">
        <w:rPr>
          <w:noProof/>
        </w:rPr>
        <w:t>dob</w:t>
      </w:r>
      <w:r w:rsidRPr="004F6DAA">
        <w:rPr>
          <w:noProof/>
        </w:rPr>
        <w:t>rowolnym partnerstwie ogólnie przyczyniły się do zmniejszenia nielegalnego pozyskiwania drewna. Chociaż system UE ustanowiony na podstawie rozporządzenia byłby skutecznym narzędziem umożliwiającym obniżenie kosztów przestrzegania przepisów ponoszonych przez podmioty w UE, główny instrument służący jego uruchomieniu, tj. umowy</w:t>
      </w:r>
      <w:r w:rsidR="00062BFA" w:rsidRPr="004F6DAA">
        <w:rPr>
          <w:noProof/>
        </w:rPr>
        <w:t xml:space="preserve"> o</w:t>
      </w:r>
      <w:r w:rsidR="00062BFA">
        <w:rPr>
          <w:noProof/>
        </w:rPr>
        <w:t> </w:t>
      </w:r>
      <w:r w:rsidR="00062BFA" w:rsidRPr="004F6DAA">
        <w:rPr>
          <w:noProof/>
        </w:rPr>
        <w:t>dob</w:t>
      </w:r>
      <w:r w:rsidRPr="004F6DAA">
        <w:rPr>
          <w:noProof/>
        </w:rPr>
        <w:t>rowolnym partnerstwie, nie przyniósł oczekiwanych rezultatów. Jednym</w:t>
      </w:r>
      <w:r w:rsidR="00062BFA" w:rsidRPr="004F6DAA">
        <w:rPr>
          <w:noProof/>
        </w:rPr>
        <w:t xml:space="preserve"> z</w:t>
      </w:r>
      <w:r w:rsidR="00062BFA">
        <w:rPr>
          <w:noProof/>
        </w:rPr>
        <w:t> </w:t>
      </w:r>
      <w:r w:rsidR="00062BFA" w:rsidRPr="004F6DAA">
        <w:rPr>
          <w:noProof/>
        </w:rPr>
        <w:t>pod</w:t>
      </w:r>
      <w:r w:rsidRPr="004F6DAA">
        <w:rPr>
          <w:noProof/>
        </w:rPr>
        <w:t>stawowych problemów związanych</w:t>
      </w:r>
      <w:r w:rsidR="00062BFA" w:rsidRPr="004F6DAA">
        <w:rPr>
          <w:noProof/>
        </w:rPr>
        <w:t xml:space="preserve"> z</w:t>
      </w:r>
      <w:r w:rsidR="00062BFA">
        <w:rPr>
          <w:noProof/>
        </w:rPr>
        <w:t> </w:t>
      </w:r>
      <w:r w:rsidR="00062BFA" w:rsidRPr="004F6DAA">
        <w:rPr>
          <w:noProof/>
        </w:rPr>
        <w:t>roz</w:t>
      </w:r>
      <w:r w:rsidRPr="004F6DAA">
        <w:rPr>
          <w:noProof/>
        </w:rPr>
        <w:t>porządzeniem FLEGT jest fakt, że główni partnerzy handlowi UE nie wykazali zainteresowania udziałem</w:t>
      </w:r>
      <w:r w:rsidR="00062BFA" w:rsidRPr="004F6DAA">
        <w:rPr>
          <w:noProof/>
        </w:rPr>
        <w:t xml:space="preserve"> w</w:t>
      </w:r>
      <w:r w:rsidR="00062BFA">
        <w:rPr>
          <w:noProof/>
        </w:rPr>
        <w:t> </w:t>
      </w:r>
      <w:r w:rsidR="00062BFA" w:rsidRPr="004F6DAA">
        <w:rPr>
          <w:noProof/>
        </w:rPr>
        <w:t>pro</w:t>
      </w:r>
      <w:r w:rsidRPr="004F6DAA">
        <w:rPr>
          <w:noProof/>
        </w:rPr>
        <w:t>cesach umów</w:t>
      </w:r>
      <w:r w:rsidR="00062BFA" w:rsidRPr="004F6DAA">
        <w:rPr>
          <w:noProof/>
        </w:rPr>
        <w:t xml:space="preserve"> o</w:t>
      </w:r>
      <w:r w:rsidR="00062BFA">
        <w:rPr>
          <w:noProof/>
        </w:rPr>
        <w:t> </w:t>
      </w:r>
      <w:r w:rsidR="00062BFA" w:rsidRPr="004F6DAA">
        <w:rPr>
          <w:noProof/>
        </w:rPr>
        <w:t>dob</w:t>
      </w:r>
      <w:r w:rsidRPr="004F6DAA">
        <w:rPr>
          <w:noProof/>
        </w:rPr>
        <w:t>rowolnym partnerstwie,</w:t>
      </w:r>
      <w:r w:rsidR="00062BFA" w:rsidRPr="004F6DAA">
        <w:rPr>
          <w:noProof/>
        </w:rPr>
        <w:t xml:space="preserve"> w</w:t>
      </w:r>
      <w:r w:rsidR="00062BFA">
        <w:rPr>
          <w:noProof/>
        </w:rPr>
        <w:t> </w:t>
      </w:r>
      <w:r w:rsidR="00062BFA" w:rsidRPr="004F6DAA">
        <w:rPr>
          <w:noProof/>
        </w:rPr>
        <w:t>wyn</w:t>
      </w:r>
      <w:r w:rsidRPr="004F6DAA">
        <w:rPr>
          <w:noProof/>
        </w:rPr>
        <w:t xml:space="preserve">iku czego jedynie </w:t>
      </w:r>
      <w:r w:rsidRPr="00062BFA">
        <w:rPr>
          <w:noProof/>
        </w:rPr>
        <w:t>3</w:t>
      </w:r>
      <w:r w:rsidR="00062BFA" w:rsidRPr="00062BFA">
        <w:rPr>
          <w:noProof/>
        </w:rPr>
        <w:t> </w:t>
      </w:r>
      <w:r w:rsidRPr="00062BFA">
        <w:rPr>
          <w:noProof/>
        </w:rPr>
        <w:t>%</w:t>
      </w:r>
      <w:r w:rsidRPr="004F6DAA">
        <w:rPr>
          <w:noProof/>
        </w:rPr>
        <w:t xml:space="preserve"> przywozu drewna do UE jest objęte operacyjnym systemem umów</w:t>
      </w:r>
      <w:r w:rsidR="00062BFA" w:rsidRPr="004F6DAA">
        <w:rPr>
          <w:noProof/>
        </w:rPr>
        <w:t xml:space="preserve"> o</w:t>
      </w:r>
      <w:r w:rsidR="00062BFA">
        <w:rPr>
          <w:noProof/>
        </w:rPr>
        <w:t> </w:t>
      </w:r>
      <w:r w:rsidR="00062BFA" w:rsidRPr="004F6DAA">
        <w:rPr>
          <w:noProof/>
        </w:rPr>
        <w:t>dob</w:t>
      </w:r>
      <w:r w:rsidRPr="004F6DAA">
        <w:rPr>
          <w:noProof/>
        </w:rPr>
        <w:t>rowolnym partnerstwie. Ponad 15 lat po tym, jak</w:t>
      </w:r>
      <w:r w:rsidR="00062BFA" w:rsidRPr="004F6DAA">
        <w:rPr>
          <w:noProof/>
        </w:rPr>
        <w:t xml:space="preserve"> w</w:t>
      </w:r>
      <w:r w:rsidR="00062BFA">
        <w:rPr>
          <w:noProof/>
        </w:rPr>
        <w:t> </w:t>
      </w:r>
      <w:r w:rsidR="00062BFA" w:rsidRPr="004F6DAA">
        <w:rPr>
          <w:noProof/>
        </w:rPr>
        <w:t>2</w:t>
      </w:r>
      <w:r w:rsidRPr="004F6DAA">
        <w:rPr>
          <w:noProof/>
        </w:rPr>
        <w:t>0</w:t>
      </w:r>
      <w:r w:rsidRPr="00062BFA">
        <w:rPr>
          <w:noProof/>
        </w:rPr>
        <w:t>03</w:t>
      </w:r>
      <w:r w:rsidR="00062BFA" w:rsidRPr="00062BFA">
        <w:rPr>
          <w:noProof/>
        </w:rPr>
        <w:t> </w:t>
      </w:r>
      <w:r w:rsidRPr="00062BFA">
        <w:rPr>
          <w:noProof/>
        </w:rPr>
        <w:t>r.</w:t>
      </w:r>
      <w:r w:rsidR="00062BFA" w:rsidRPr="004F6DAA">
        <w:rPr>
          <w:noProof/>
        </w:rPr>
        <w:t xml:space="preserve"> w</w:t>
      </w:r>
      <w:r w:rsidR="00062BFA">
        <w:rPr>
          <w:noProof/>
        </w:rPr>
        <w:t> </w:t>
      </w:r>
      <w:r w:rsidR="00062BFA" w:rsidRPr="004F6DAA">
        <w:rPr>
          <w:noProof/>
        </w:rPr>
        <w:t>pla</w:t>
      </w:r>
      <w:r w:rsidRPr="004F6DAA">
        <w:rPr>
          <w:noProof/>
        </w:rPr>
        <w:t>nie działań UE na rzecz egzekwowania prawa, zarządzania</w:t>
      </w:r>
      <w:r w:rsidR="00062BFA" w:rsidRPr="004F6DAA">
        <w:rPr>
          <w:noProof/>
        </w:rPr>
        <w:t xml:space="preserve"> i</w:t>
      </w:r>
      <w:r w:rsidR="00062BFA">
        <w:rPr>
          <w:noProof/>
        </w:rPr>
        <w:t> </w:t>
      </w:r>
      <w:r w:rsidR="00062BFA" w:rsidRPr="004F6DAA">
        <w:rPr>
          <w:noProof/>
        </w:rPr>
        <w:t>han</w:t>
      </w:r>
      <w:r w:rsidRPr="004F6DAA">
        <w:rPr>
          <w:noProof/>
        </w:rPr>
        <w:t>dlu</w:t>
      </w:r>
      <w:r w:rsidR="00062BFA" w:rsidRPr="004F6DAA">
        <w:rPr>
          <w:noProof/>
        </w:rPr>
        <w:t xml:space="preserve"> w</w:t>
      </w:r>
      <w:r w:rsidR="00062BFA">
        <w:rPr>
          <w:noProof/>
        </w:rPr>
        <w:t> </w:t>
      </w:r>
      <w:r w:rsidR="00062BFA" w:rsidRPr="004F6DAA">
        <w:rPr>
          <w:noProof/>
        </w:rPr>
        <w:t>dzi</w:t>
      </w:r>
      <w:r w:rsidRPr="004F6DAA">
        <w:rPr>
          <w:noProof/>
        </w:rPr>
        <w:t>edzinie leśnictwa ustanowiono podstawę tych procesów, tylko jedno</w:t>
      </w:r>
      <w:r w:rsidR="00062BFA" w:rsidRPr="004F6DAA">
        <w:rPr>
          <w:noProof/>
        </w:rPr>
        <w:t xml:space="preserve"> z</w:t>
      </w:r>
      <w:r w:rsidR="00062BFA">
        <w:rPr>
          <w:noProof/>
        </w:rPr>
        <w:t> </w:t>
      </w:r>
      <w:r w:rsidR="00062BFA" w:rsidRPr="004F6DAA">
        <w:rPr>
          <w:noProof/>
        </w:rPr>
        <w:t>1</w:t>
      </w:r>
      <w:r w:rsidRPr="004F6DAA">
        <w:rPr>
          <w:noProof/>
        </w:rPr>
        <w:t>5 państw,</w:t>
      </w:r>
      <w:r w:rsidR="00062BFA" w:rsidRPr="004F6DAA">
        <w:rPr>
          <w:noProof/>
        </w:rPr>
        <w:t xml:space="preserve"> z</w:t>
      </w:r>
      <w:r w:rsidR="00062BFA">
        <w:rPr>
          <w:noProof/>
        </w:rPr>
        <w:t> </w:t>
      </w:r>
      <w:r w:rsidR="00062BFA" w:rsidRPr="004F6DAA">
        <w:rPr>
          <w:noProof/>
        </w:rPr>
        <w:t>któ</w:t>
      </w:r>
      <w:r w:rsidRPr="004F6DAA">
        <w:rPr>
          <w:noProof/>
        </w:rPr>
        <w:t>rymi UE zaangażowała się</w:t>
      </w:r>
      <w:r w:rsidR="00062BFA" w:rsidRPr="004F6DAA">
        <w:rPr>
          <w:noProof/>
        </w:rPr>
        <w:t xml:space="preserve"> w</w:t>
      </w:r>
      <w:r w:rsidR="00062BFA">
        <w:rPr>
          <w:noProof/>
        </w:rPr>
        <w:t> </w:t>
      </w:r>
      <w:r w:rsidR="00062BFA" w:rsidRPr="004F6DAA">
        <w:rPr>
          <w:noProof/>
        </w:rPr>
        <w:t>pro</w:t>
      </w:r>
      <w:r w:rsidRPr="004F6DAA">
        <w:rPr>
          <w:noProof/>
        </w:rPr>
        <w:t>ces umów</w:t>
      </w:r>
      <w:r w:rsidR="00062BFA" w:rsidRPr="004F6DAA">
        <w:rPr>
          <w:noProof/>
        </w:rPr>
        <w:t xml:space="preserve"> o</w:t>
      </w:r>
      <w:r w:rsidR="00062BFA">
        <w:rPr>
          <w:noProof/>
        </w:rPr>
        <w:t> </w:t>
      </w:r>
      <w:r w:rsidR="00062BFA" w:rsidRPr="004F6DAA">
        <w:rPr>
          <w:noProof/>
        </w:rPr>
        <w:t>dob</w:t>
      </w:r>
      <w:r w:rsidRPr="004F6DAA">
        <w:rPr>
          <w:noProof/>
        </w:rPr>
        <w:t>rowolnym partnerstwie, posiada operacyjny system zezwoleń FLEGT</w:t>
      </w:r>
      <w:r w:rsidR="00062BFA" w:rsidRPr="004F6DAA">
        <w:rPr>
          <w:noProof/>
        </w:rPr>
        <w:t xml:space="preserve"> i</w:t>
      </w:r>
      <w:r w:rsidR="00062BFA">
        <w:rPr>
          <w:noProof/>
        </w:rPr>
        <w:t> </w:t>
      </w:r>
      <w:r w:rsidR="00062BFA" w:rsidRPr="004F6DAA">
        <w:rPr>
          <w:noProof/>
        </w:rPr>
        <w:t>tyl</w:t>
      </w:r>
      <w:r w:rsidRPr="004F6DAA">
        <w:rPr>
          <w:noProof/>
        </w:rPr>
        <w:t>ko jedno państwo</w:t>
      </w:r>
      <w:r w:rsidR="00062BFA" w:rsidRPr="004F6DAA">
        <w:rPr>
          <w:noProof/>
        </w:rPr>
        <w:t xml:space="preserve"> z</w:t>
      </w:r>
      <w:r w:rsidR="00062BFA">
        <w:rPr>
          <w:noProof/>
        </w:rPr>
        <w:t> </w:t>
      </w:r>
      <w:r w:rsidR="00062BFA" w:rsidRPr="004F6DAA">
        <w:rPr>
          <w:noProof/>
        </w:rPr>
        <w:t>1</w:t>
      </w:r>
      <w:r w:rsidRPr="004F6DAA">
        <w:rPr>
          <w:noProof/>
        </w:rPr>
        <w:t>0 największych partnerów UE</w:t>
      </w:r>
      <w:r w:rsidR="00062BFA" w:rsidRPr="004F6DAA">
        <w:rPr>
          <w:noProof/>
        </w:rPr>
        <w:t xml:space="preserve"> w</w:t>
      </w:r>
      <w:r w:rsidR="00062BFA">
        <w:rPr>
          <w:noProof/>
        </w:rPr>
        <w:t> </w:t>
      </w:r>
      <w:r w:rsidR="00062BFA" w:rsidRPr="004F6DAA">
        <w:rPr>
          <w:noProof/>
        </w:rPr>
        <w:t>han</w:t>
      </w:r>
      <w:r w:rsidRPr="004F6DAA">
        <w:rPr>
          <w:noProof/>
        </w:rPr>
        <w:t>dlu drewnem jest zaangażowane</w:t>
      </w:r>
      <w:r w:rsidR="00062BFA" w:rsidRPr="004F6DAA">
        <w:rPr>
          <w:noProof/>
        </w:rPr>
        <w:t xml:space="preserve"> w</w:t>
      </w:r>
      <w:r w:rsidR="00062BFA">
        <w:rPr>
          <w:noProof/>
        </w:rPr>
        <w:t> </w:t>
      </w:r>
      <w:r w:rsidR="00062BFA" w:rsidRPr="004F6DAA">
        <w:rPr>
          <w:noProof/>
        </w:rPr>
        <w:t>pro</w:t>
      </w:r>
      <w:r w:rsidRPr="004F6DAA">
        <w:rPr>
          <w:noProof/>
        </w:rPr>
        <w:t>ces umów</w:t>
      </w:r>
      <w:r w:rsidR="00062BFA" w:rsidRPr="004F6DAA">
        <w:rPr>
          <w:noProof/>
        </w:rPr>
        <w:t xml:space="preserve"> o</w:t>
      </w:r>
      <w:r w:rsidR="00062BFA">
        <w:rPr>
          <w:noProof/>
        </w:rPr>
        <w:t> </w:t>
      </w:r>
      <w:r w:rsidR="00062BFA" w:rsidRPr="004F6DAA">
        <w:rPr>
          <w:noProof/>
        </w:rPr>
        <w:t>dob</w:t>
      </w:r>
      <w:r w:rsidRPr="004F6DAA">
        <w:rPr>
          <w:noProof/>
        </w:rPr>
        <w:t>rowolnym partnerstwie.</w:t>
      </w:r>
    </w:p>
    <w:p w14:paraId="650422D3" w14:textId="77777777" w:rsidR="00266872" w:rsidRPr="004F6DAA" w:rsidRDefault="00266872" w:rsidP="00266872">
      <w:pPr>
        <w:spacing w:before="0" w:after="240"/>
        <w:rPr>
          <w:rFonts w:eastAsia="Times New Roman"/>
          <w:noProof/>
          <w:szCs w:val="24"/>
        </w:rPr>
      </w:pPr>
      <w:r w:rsidRPr="004F6DAA">
        <w:rPr>
          <w:noProof/>
          <w:color w:val="000000"/>
          <w:szCs w:val="24"/>
        </w:rPr>
        <w:t>W celu poszanowania zobowiązań dwustronnych podjętych przez Unię Europejską</w:t>
      </w:r>
      <w:r w:rsidR="00062BFA" w:rsidRPr="004F6DAA">
        <w:rPr>
          <w:noProof/>
          <w:color w:val="000000"/>
          <w:szCs w:val="24"/>
        </w:rPr>
        <w:t xml:space="preserve"> i</w:t>
      </w:r>
      <w:r w:rsidR="00062BFA">
        <w:rPr>
          <w:noProof/>
          <w:color w:val="000000"/>
          <w:szCs w:val="24"/>
        </w:rPr>
        <w:t> </w:t>
      </w:r>
      <w:r w:rsidR="00062BFA" w:rsidRPr="004F6DAA">
        <w:rPr>
          <w:noProof/>
          <w:color w:val="000000"/>
          <w:szCs w:val="24"/>
        </w:rPr>
        <w:t>utr</w:t>
      </w:r>
      <w:r w:rsidRPr="004F6DAA">
        <w:rPr>
          <w:noProof/>
          <w:color w:val="000000"/>
          <w:szCs w:val="24"/>
        </w:rPr>
        <w:t>zymania postępu osiągniętego</w:t>
      </w:r>
      <w:r w:rsidR="00062BFA" w:rsidRPr="004F6DAA">
        <w:rPr>
          <w:noProof/>
          <w:color w:val="000000"/>
          <w:szCs w:val="24"/>
        </w:rPr>
        <w:t xml:space="preserve"> z</w:t>
      </w:r>
      <w:r w:rsidR="00062BFA">
        <w:rPr>
          <w:noProof/>
          <w:color w:val="000000"/>
          <w:szCs w:val="24"/>
        </w:rPr>
        <w:t> </w:t>
      </w:r>
      <w:r w:rsidR="00062BFA" w:rsidRPr="004F6DAA">
        <w:rPr>
          <w:noProof/>
          <w:color w:val="000000"/>
          <w:szCs w:val="24"/>
        </w:rPr>
        <w:t>kra</w:t>
      </w:r>
      <w:r w:rsidRPr="004F6DAA">
        <w:rPr>
          <w:noProof/>
          <w:color w:val="000000"/>
          <w:szCs w:val="24"/>
        </w:rPr>
        <w:t>jami partnerskimi, które posiadają system operacyjny (etap wydawania zezwoleń FLEGT),</w:t>
      </w:r>
      <w:r w:rsidR="00062BFA" w:rsidRPr="004F6DAA">
        <w:rPr>
          <w:noProof/>
          <w:color w:val="000000"/>
          <w:szCs w:val="24"/>
        </w:rPr>
        <w:t xml:space="preserve"> w</w:t>
      </w:r>
      <w:r w:rsidR="00062BFA">
        <w:rPr>
          <w:noProof/>
          <w:color w:val="000000"/>
          <w:szCs w:val="24"/>
        </w:rPr>
        <w:t> </w:t>
      </w:r>
      <w:r w:rsidR="00062BFA" w:rsidRPr="004F6DAA">
        <w:rPr>
          <w:noProof/>
          <w:color w:val="000000"/>
          <w:szCs w:val="24"/>
        </w:rPr>
        <w:t>nin</w:t>
      </w:r>
      <w:r w:rsidRPr="004F6DAA">
        <w:rPr>
          <w:noProof/>
          <w:color w:val="000000"/>
          <w:szCs w:val="24"/>
        </w:rPr>
        <w:t>iejszym rozporządzeniu zawarto przepis,</w:t>
      </w:r>
      <w:r w:rsidR="00062BFA" w:rsidRPr="004F6DAA">
        <w:rPr>
          <w:noProof/>
          <w:color w:val="000000"/>
          <w:szCs w:val="24"/>
        </w:rPr>
        <w:t xml:space="preserve"> w</w:t>
      </w:r>
      <w:r w:rsidR="00062BFA">
        <w:rPr>
          <w:noProof/>
          <w:color w:val="000000"/>
          <w:szCs w:val="24"/>
        </w:rPr>
        <w:t> </w:t>
      </w:r>
      <w:r w:rsidR="00062BFA" w:rsidRPr="004F6DAA">
        <w:rPr>
          <w:noProof/>
          <w:color w:val="000000"/>
          <w:szCs w:val="24"/>
        </w:rPr>
        <w:t>któ</w:t>
      </w:r>
      <w:r w:rsidRPr="004F6DAA">
        <w:rPr>
          <w:noProof/>
          <w:color w:val="000000"/>
          <w:szCs w:val="24"/>
        </w:rPr>
        <w:t>rym uznano drewno objęte zezwoleniem FLEGT za spełniające wymóg legalności. Niektóre elementy umowy</w:t>
      </w:r>
      <w:r w:rsidR="00062BFA" w:rsidRPr="004F6DAA">
        <w:rPr>
          <w:noProof/>
          <w:color w:val="000000"/>
          <w:szCs w:val="24"/>
        </w:rPr>
        <w:t xml:space="preserve"> o</w:t>
      </w:r>
      <w:r w:rsidR="00062BFA">
        <w:rPr>
          <w:noProof/>
          <w:color w:val="000000"/>
          <w:szCs w:val="24"/>
        </w:rPr>
        <w:t> </w:t>
      </w:r>
      <w:r w:rsidR="00062BFA" w:rsidRPr="004F6DAA">
        <w:rPr>
          <w:noProof/>
          <w:color w:val="000000"/>
          <w:szCs w:val="24"/>
        </w:rPr>
        <w:t>dob</w:t>
      </w:r>
      <w:r w:rsidRPr="004F6DAA">
        <w:rPr>
          <w:noProof/>
          <w:color w:val="000000"/>
          <w:szCs w:val="24"/>
        </w:rPr>
        <w:t>rowolnym partnerstwie można włączyć,</w:t>
      </w:r>
      <w:r w:rsidR="00062BFA" w:rsidRPr="004F6DAA">
        <w:rPr>
          <w:noProof/>
          <w:color w:val="000000"/>
          <w:szCs w:val="24"/>
        </w:rPr>
        <w:t xml:space="preserve"> o</w:t>
      </w:r>
      <w:r w:rsidR="00062BFA">
        <w:rPr>
          <w:noProof/>
          <w:color w:val="000000"/>
          <w:szCs w:val="24"/>
        </w:rPr>
        <w:t> </w:t>
      </w:r>
      <w:r w:rsidR="00062BFA" w:rsidRPr="004F6DAA">
        <w:rPr>
          <w:noProof/>
          <w:color w:val="000000"/>
          <w:szCs w:val="24"/>
        </w:rPr>
        <w:t>ile</w:t>
      </w:r>
      <w:r w:rsidRPr="004F6DAA">
        <w:rPr>
          <w:noProof/>
          <w:color w:val="000000"/>
          <w:szCs w:val="24"/>
        </w:rPr>
        <w:t xml:space="preserve"> jest to wykonalne</w:t>
      </w:r>
      <w:r w:rsidR="00062BFA" w:rsidRPr="004F6DAA">
        <w:rPr>
          <w:noProof/>
          <w:color w:val="000000"/>
          <w:szCs w:val="24"/>
        </w:rPr>
        <w:t xml:space="preserve"> i</w:t>
      </w:r>
      <w:r w:rsidR="00062BFA">
        <w:rPr>
          <w:noProof/>
          <w:color w:val="000000"/>
          <w:szCs w:val="24"/>
        </w:rPr>
        <w:t> </w:t>
      </w:r>
      <w:r w:rsidR="00062BFA" w:rsidRPr="004F6DAA">
        <w:rPr>
          <w:noProof/>
          <w:color w:val="000000"/>
          <w:szCs w:val="24"/>
        </w:rPr>
        <w:t>uzg</w:t>
      </w:r>
      <w:r w:rsidRPr="004F6DAA">
        <w:rPr>
          <w:noProof/>
          <w:color w:val="000000"/>
          <w:szCs w:val="24"/>
        </w:rPr>
        <w:t>odnione przez partnerów, do konkretnych programów współpracy, takich jak partnerstwa na rzecz lasów lub inne,</w:t>
      </w:r>
      <w:r w:rsidR="00062BFA" w:rsidRPr="004F6DAA">
        <w:rPr>
          <w:noProof/>
          <w:color w:val="000000"/>
          <w:szCs w:val="24"/>
        </w:rPr>
        <w:t xml:space="preserve"> w</w:t>
      </w:r>
      <w:r w:rsidR="00062BFA">
        <w:rPr>
          <w:noProof/>
          <w:color w:val="000000"/>
          <w:szCs w:val="24"/>
        </w:rPr>
        <w:t> </w:t>
      </w:r>
      <w:r w:rsidR="00062BFA" w:rsidRPr="004F6DAA">
        <w:rPr>
          <w:noProof/>
          <w:color w:val="000000"/>
          <w:szCs w:val="24"/>
        </w:rPr>
        <w:t>cel</w:t>
      </w:r>
      <w:r w:rsidRPr="004F6DAA">
        <w:rPr>
          <w:noProof/>
          <w:color w:val="000000"/>
          <w:szCs w:val="24"/>
        </w:rPr>
        <w:t>u dalszego wspierania gospodarki leśnej</w:t>
      </w:r>
      <w:r w:rsidRPr="004F6DAA">
        <w:rPr>
          <w:i/>
          <w:noProof/>
          <w:color w:val="000000"/>
          <w:szCs w:val="24"/>
        </w:rPr>
        <w:t>.</w:t>
      </w:r>
    </w:p>
    <w:p w14:paraId="6AB8DFD4" w14:textId="77777777" w:rsidR="001C3FCC" w:rsidRPr="004F6DAA" w:rsidRDefault="001C3FCC" w:rsidP="009A3168">
      <w:pPr>
        <w:pStyle w:val="ManualHeading2"/>
        <w:rPr>
          <w:rFonts w:eastAsia="Arial Unicode MS"/>
          <w:noProof/>
          <w:u w:color="000000"/>
          <w:bdr w:val="nil"/>
        </w:rPr>
      </w:pPr>
      <w:r w:rsidRPr="004F6DAA">
        <w:rPr>
          <w:noProof/>
          <w:u w:color="000000"/>
          <w:bdr w:val="nil"/>
        </w:rPr>
        <w:t>•</w:t>
      </w:r>
      <w:r w:rsidRPr="004F6DAA">
        <w:rPr>
          <w:noProof/>
        </w:rPr>
        <w:tab/>
      </w:r>
      <w:r w:rsidRPr="004F6DAA">
        <w:rPr>
          <w:noProof/>
          <w:u w:color="000000"/>
          <w:bdr w:val="nil"/>
        </w:rPr>
        <w:t>Konsultacje</w:t>
      </w:r>
      <w:r w:rsidR="00062BFA" w:rsidRPr="004F6DAA">
        <w:rPr>
          <w:noProof/>
          <w:u w:color="000000"/>
          <w:bdr w:val="nil"/>
        </w:rPr>
        <w:t xml:space="preserve"> z</w:t>
      </w:r>
      <w:r w:rsidR="00062BFA">
        <w:rPr>
          <w:noProof/>
          <w:u w:color="000000"/>
          <w:bdr w:val="nil"/>
        </w:rPr>
        <w:t> </w:t>
      </w:r>
      <w:r w:rsidR="00062BFA" w:rsidRPr="004F6DAA">
        <w:rPr>
          <w:noProof/>
          <w:u w:color="000000"/>
          <w:bdr w:val="nil"/>
        </w:rPr>
        <w:t>zai</w:t>
      </w:r>
      <w:r w:rsidRPr="004F6DAA">
        <w:rPr>
          <w:noProof/>
          <w:u w:color="000000"/>
          <w:bdr w:val="nil"/>
        </w:rPr>
        <w:t>nteresowanymi stronami</w:t>
      </w:r>
    </w:p>
    <w:p w14:paraId="516FA66D" w14:textId="77777777" w:rsidR="008E2BE6" w:rsidRPr="004F6DAA" w:rsidRDefault="008E2BE6" w:rsidP="008E2BE6">
      <w:pPr>
        <w:spacing w:before="0" w:after="240"/>
        <w:rPr>
          <w:rFonts w:eastAsia="Times New Roman"/>
          <w:noProof/>
          <w:szCs w:val="20"/>
        </w:rPr>
      </w:pPr>
      <w:r w:rsidRPr="004F6DAA">
        <w:rPr>
          <w:noProof/>
        </w:rPr>
        <w:t>W ramach otwartych konsultacji publicznych przeprowadzonych przez Komisję</w:t>
      </w:r>
      <w:r w:rsidR="00062BFA" w:rsidRPr="004F6DAA">
        <w:rPr>
          <w:noProof/>
        </w:rPr>
        <w:t xml:space="preserve"> w</w:t>
      </w:r>
      <w:r w:rsidR="00062BFA">
        <w:rPr>
          <w:noProof/>
        </w:rPr>
        <w:t> </w:t>
      </w:r>
      <w:r w:rsidR="00062BFA" w:rsidRPr="004F6DAA">
        <w:rPr>
          <w:noProof/>
        </w:rPr>
        <w:t>2</w:t>
      </w:r>
      <w:r w:rsidRPr="004F6DAA">
        <w:rPr>
          <w:noProof/>
        </w:rPr>
        <w:t>0</w:t>
      </w:r>
      <w:r w:rsidRPr="00062BFA">
        <w:rPr>
          <w:noProof/>
        </w:rPr>
        <w:t>20</w:t>
      </w:r>
      <w:r w:rsidR="00062BFA" w:rsidRPr="00062BFA">
        <w:rPr>
          <w:noProof/>
        </w:rPr>
        <w:t> </w:t>
      </w:r>
      <w:r w:rsidRPr="00062BFA">
        <w:rPr>
          <w:noProof/>
        </w:rPr>
        <w:t>r.</w:t>
      </w:r>
      <w:r w:rsidRPr="004F6DAA">
        <w:rPr>
          <w:noProof/>
        </w:rPr>
        <w:t xml:space="preserve"> uzyskano blisko 1,2 mln odpowiedzi. Większość zainteresowanych stron zgodziła się co do konieczności podjęcia interwencji na szczeblu UE, aby zmniejszyć wpływ UE na wylesianie</w:t>
      </w:r>
      <w:r w:rsidR="00062BFA" w:rsidRPr="004F6DAA">
        <w:rPr>
          <w:noProof/>
        </w:rPr>
        <w:t xml:space="preserve"> i</w:t>
      </w:r>
      <w:r w:rsidR="00062BFA">
        <w:rPr>
          <w:noProof/>
        </w:rPr>
        <w:t> </w:t>
      </w:r>
      <w:r w:rsidR="00062BFA" w:rsidRPr="004F6DAA">
        <w:rPr>
          <w:noProof/>
        </w:rPr>
        <w:t>deg</w:t>
      </w:r>
      <w:r w:rsidRPr="004F6DAA">
        <w:rPr>
          <w:noProof/>
        </w:rPr>
        <w:t xml:space="preserve">radację lasów na świecie. Większość zainteresowanych stron zgodziła się również na opracowanie unijnej definicji pojęcia „niepowodujący wylesiania” jako wymogu dla interwencji </w:t>
      </w:r>
      <w:commentRangeStart w:id="8"/>
      <w:r w:rsidRPr="004F6DAA">
        <w:rPr>
          <w:noProof/>
        </w:rPr>
        <w:t>politycznej</w:t>
      </w:r>
      <w:commentRangeEnd w:id="8"/>
      <w:r w:rsidR="00FF7AB1">
        <w:rPr>
          <w:rStyle w:val="Odwoaniedokomentarza"/>
          <w:rFonts w:eastAsia="Times New Roman"/>
          <w:lang w:eastAsia="en-GB"/>
        </w:rPr>
        <w:commentReference w:id="8"/>
      </w:r>
      <w:r w:rsidRPr="004F6DAA">
        <w:rPr>
          <w:noProof/>
        </w:rPr>
        <w:t xml:space="preserve">. </w:t>
      </w:r>
    </w:p>
    <w:p w14:paraId="43507857" w14:textId="77777777" w:rsidR="008E2BE6" w:rsidRPr="004F6DAA" w:rsidRDefault="008E2BE6" w:rsidP="008E2BE6">
      <w:pPr>
        <w:pBdr>
          <w:top w:val="nil"/>
          <w:left w:val="nil"/>
          <w:bottom w:val="nil"/>
          <w:right w:val="nil"/>
          <w:between w:val="nil"/>
          <w:bar w:val="nil"/>
        </w:pBdr>
        <w:spacing w:before="0" w:after="240"/>
        <w:rPr>
          <w:rFonts w:eastAsia="Times New Roman"/>
          <w:noProof/>
          <w:szCs w:val="20"/>
        </w:rPr>
      </w:pPr>
      <w:r w:rsidRPr="004F6DAA">
        <w:rPr>
          <w:noProof/>
        </w:rPr>
        <w:t>Jeśli chodzi</w:t>
      </w:r>
      <w:r w:rsidR="00062BFA" w:rsidRPr="004F6DAA">
        <w:rPr>
          <w:noProof/>
        </w:rPr>
        <w:t xml:space="preserve"> o</w:t>
      </w:r>
      <w:r w:rsidR="00062BFA">
        <w:rPr>
          <w:noProof/>
        </w:rPr>
        <w:t> </w:t>
      </w:r>
      <w:r w:rsidR="00062BFA" w:rsidRPr="004F6DAA">
        <w:rPr>
          <w:noProof/>
        </w:rPr>
        <w:t>śro</w:t>
      </w:r>
      <w:r w:rsidRPr="004F6DAA">
        <w:rPr>
          <w:noProof/>
        </w:rPr>
        <w:t>dki</w:t>
      </w:r>
      <w:r w:rsidR="00062BFA" w:rsidRPr="004F6DAA">
        <w:rPr>
          <w:noProof/>
        </w:rPr>
        <w:t xml:space="preserve"> z</w:t>
      </w:r>
      <w:r w:rsidR="00062BFA">
        <w:rPr>
          <w:noProof/>
        </w:rPr>
        <w:t> </w:t>
      </w:r>
      <w:r w:rsidR="00062BFA" w:rsidRPr="004F6DAA">
        <w:rPr>
          <w:noProof/>
        </w:rPr>
        <w:t>zak</w:t>
      </w:r>
      <w:r w:rsidRPr="004F6DAA">
        <w:rPr>
          <w:noProof/>
        </w:rPr>
        <w:t>resu polityki,</w:t>
      </w:r>
      <w:r w:rsidR="00062BFA" w:rsidRPr="004F6DAA">
        <w:rPr>
          <w:noProof/>
        </w:rPr>
        <w:t xml:space="preserve"> w</w:t>
      </w:r>
      <w:r w:rsidR="00062BFA">
        <w:rPr>
          <w:noProof/>
        </w:rPr>
        <w:t> </w:t>
      </w:r>
      <w:r w:rsidR="00062BFA" w:rsidRPr="004F6DAA">
        <w:rPr>
          <w:noProof/>
        </w:rPr>
        <w:t>ram</w:t>
      </w:r>
      <w:r w:rsidRPr="004F6DAA">
        <w:rPr>
          <w:noProof/>
        </w:rPr>
        <w:t>ach otwartych konsultacji publicznych wykazano silne poparcie dla wariantów prawnie wiążących (wymóg niepowodowania wylesiania, obowiązek zachowania należytej staranności, obowiązkowa certyfikacja publiczna itp.), podczas gdy łagodne, dobrowolne środki, takie jak dobrowolne zachowanie należytej staranności, dobrowolne oznakowanie lub dobrowolna prywatna certyfikacja, uznano za mało skuteczne. Przeważająca większość zainteresowanych stron – stowarzyszeń przedsiębiorców</w:t>
      </w:r>
      <w:r w:rsidR="00062BFA" w:rsidRPr="004F6DAA">
        <w:rPr>
          <w:noProof/>
        </w:rPr>
        <w:t xml:space="preserve"> i</w:t>
      </w:r>
      <w:r w:rsidR="00062BFA">
        <w:rPr>
          <w:noProof/>
        </w:rPr>
        <w:t> </w:t>
      </w:r>
      <w:r w:rsidR="00062BFA" w:rsidRPr="004F6DAA">
        <w:rPr>
          <w:noProof/>
        </w:rPr>
        <w:t>org</w:t>
      </w:r>
      <w:r w:rsidRPr="004F6DAA">
        <w:rPr>
          <w:noProof/>
        </w:rPr>
        <w:t>anizacji pozarządowych – poparła obowiązkowy system należytej staranności, chociaż preferowane szczegóły tego systemu różnią się</w:t>
      </w:r>
      <w:r w:rsidR="00062BFA" w:rsidRPr="004F6DAA">
        <w:rPr>
          <w:noProof/>
        </w:rPr>
        <w:t xml:space="preserve"> w</w:t>
      </w:r>
      <w:r w:rsidR="00062BFA">
        <w:rPr>
          <w:noProof/>
        </w:rPr>
        <w:t> </w:t>
      </w:r>
      <w:r w:rsidR="00062BFA" w:rsidRPr="004F6DAA">
        <w:rPr>
          <w:noProof/>
        </w:rPr>
        <w:t>zal</w:t>
      </w:r>
      <w:r w:rsidRPr="004F6DAA">
        <w:rPr>
          <w:noProof/>
        </w:rPr>
        <w:t>eżności od respondenta</w:t>
      </w:r>
      <w:r w:rsidR="00062BFA" w:rsidRPr="004F6DAA">
        <w:rPr>
          <w:noProof/>
        </w:rPr>
        <w:t>. W</w:t>
      </w:r>
      <w:r w:rsidR="00062BFA">
        <w:rPr>
          <w:noProof/>
        </w:rPr>
        <w:t> </w:t>
      </w:r>
      <w:r w:rsidR="00062BFA" w:rsidRPr="004F6DAA">
        <w:rPr>
          <w:noProof/>
        </w:rPr>
        <w:t>zał</w:t>
      </w:r>
      <w:r w:rsidRPr="004F6DAA">
        <w:rPr>
          <w:noProof/>
        </w:rPr>
        <w:t>ączniku 2 do oceny skutków zawarto szczegółowe wnioski</w:t>
      </w:r>
      <w:r w:rsidR="00062BFA" w:rsidRPr="004F6DAA">
        <w:rPr>
          <w:noProof/>
        </w:rPr>
        <w:t xml:space="preserve"> z</w:t>
      </w:r>
      <w:r w:rsidR="00062BFA">
        <w:rPr>
          <w:noProof/>
        </w:rPr>
        <w:t> </w:t>
      </w:r>
      <w:r w:rsidR="00062BFA" w:rsidRPr="004F6DAA">
        <w:rPr>
          <w:noProof/>
        </w:rPr>
        <w:t>kon</w:t>
      </w:r>
      <w:r w:rsidRPr="004F6DAA">
        <w:rPr>
          <w:noProof/>
        </w:rPr>
        <w:t>sultacji</w:t>
      </w:r>
      <w:r w:rsidR="00062BFA" w:rsidRPr="004F6DAA">
        <w:rPr>
          <w:noProof/>
        </w:rPr>
        <w:t xml:space="preserve"> z</w:t>
      </w:r>
      <w:r w:rsidR="00062BFA">
        <w:rPr>
          <w:noProof/>
        </w:rPr>
        <w:t> </w:t>
      </w:r>
      <w:r w:rsidR="00062BFA" w:rsidRPr="004F6DAA">
        <w:rPr>
          <w:noProof/>
        </w:rPr>
        <w:t>zai</w:t>
      </w:r>
      <w:r w:rsidRPr="004F6DAA">
        <w:rPr>
          <w:noProof/>
        </w:rPr>
        <w:t>nteresowanymi stronami,</w:t>
      </w:r>
      <w:r w:rsidR="00062BFA" w:rsidRPr="004F6DAA">
        <w:rPr>
          <w:noProof/>
        </w:rPr>
        <w:t xml:space="preserve"> w</w:t>
      </w:r>
      <w:r w:rsidR="00062BFA">
        <w:rPr>
          <w:noProof/>
        </w:rPr>
        <w:t> </w:t>
      </w:r>
      <w:r w:rsidR="00062BFA" w:rsidRPr="004F6DAA">
        <w:rPr>
          <w:noProof/>
        </w:rPr>
        <w:t>tym</w:t>
      </w:r>
      <w:r w:rsidRPr="004F6DAA">
        <w:rPr>
          <w:noProof/>
        </w:rPr>
        <w:t xml:space="preserve"> informacje zwrotne na temat wstępnej oceny skutków, ustalenia sformułowane</w:t>
      </w:r>
      <w:r w:rsidR="00062BFA" w:rsidRPr="004F6DAA">
        <w:rPr>
          <w:noProof/>
        </w:rPr>
        <w:t xml:space="preserve"> w</w:t>
      </w:r>
      <w:r w:rsidR="00062BFA">
        <w:rPr>
          <w:noProof/>
        </w:rPr>
        <w:t> </w:t>
      </w:r>
      <w:r w:rsidR="00062BFA" w:rsidRPr="004F6DAA">
        <w:rPr>
          <w:noProof/>
        </w:rPr>
        <w:t>ram</w:t>
      </w:r>
      <w:r w:rsidRPr="004F6DAA">
        <w:rPr>
          <w:noProof/>
        </w:rPr>
        <w:t>ach otwartych konsultacji publicznych oraz wyniki ukierunkowanych konsultacji</w:t>
      </w:r>
      <w:r w:rsidR="00062BFA" w:rsidRPr="004F6DAA">
        <w:rPr>
          <w:noProof/>
        </w:rPr>
        <w:t xml:space="preserve"> z</w:t>
      </w:r>
      <w:r w:rsidR="00062BFA">
        <w:rPr>
          <w:noProof/>
        </w:rPr>
        <w:t> </w:t>
      </w:r>
      <w:r w:rsidR="00062BFA" w:rsidRPr="004F6DAA">
        <w:rPr>
          <w:noProof/>
        </w:rPr>
        <w:t>zai</w:t>
      </w:r>
      <w:r w:rsidRPr="004F6DAA">
        <w:rPr>
          <w:noProof/>
        </w:rPr>
        <w:t>nteresowanymi stronami.</w:t>
      </w:r>
    </w:p>
    <w:p w14:paraId="01258C28" w14:textId="77777777" w:rsidR="008E2BE6" w:rsidRPr="004F6DAA" w:rsidRDefault="008E2BE6" w:rsidP="008E2BE6">
      <w:pPr>
        <w:pBdr>
          <w:top w:val="nil"/>
          <w:left w:val="nil"/>
          <w:bottom w:val="nil"/>
          <w:right w:val="nil"/>
          <w:between w:val="nil"/>
          <w:bar w:val="nil"/>
        </w:pBdr>
        <w:spacing w:before="0" w:after="240"/>
        <w:rPr>
          <w:rFonts w:eastAsia="Times New Roman"/>
          <w:noProof/>
          <w:szCs w:val="20"/>
        </w:rPr>
      </w:pPr>
      <w:r w:rsidRPr="004F6DAA">
        <w:rPr>
          <w:noProof/>
        </w:rPr>
        <w:t>Zgodnie</w:t>
      </w:r>
      <w:r w:rsidR="00062BFA" w:rsidRPr="004F6DAA">
        <w:rPr>
          <w:noProof/>
        </w:rPr>
        <w:t xml:space="preserve"> z</w:t>
      </w:r>
      <w:r w:rsidR="00062BFA">
        <w:rPr>
          <w:noProof/>
        </w:rPr>
        <w:t> </w:t>
      </w:r>
      <w:r w:rsidR="00062BFA" w:rsidRPr="004F6DAA">
        <w:rPr>
          <w:noProof/>
        </w:rPr>
        <w:t>zap</w:t>
      </w:r>
      <w:r w:rsidRPr="004F6DAA">
        <w:rPr>
          <w:noProof/>
        </w:rPr>
        <w:t>owiedzią zawartą</w:t>
      </w:r>
      <w:r w:rsidR="00062BFA" w:rsidRPr="004F6DAA">
        <w:rPr>
          <w:noProof/>
        </w:rPr>
        <w:t xml:space="preserve"> w</w:t>
      </w:r>
      <w:r w:rsidR="00062BFA">
        <w:rPr>
          <w:noProof/>
        </w:rPr>
        <w:t> </w:t>
      </w:r>
      <w:r w:rsidR="00062BFA" w:rsidRPr="004F6DAA">
        <w:rPr>
          <w:noProof/>
        </w:rPr>
        <w:t>kom</w:t>
      </w:r>
      <w:r w:rsidRPr="004F6DAA">
        <w:rPr>
          <w:noProof/>
        </w:rPr>
        <w:t>unikacie</w:t>
      </w:r>
      <w:r w:rsidR="00062BFA" w:rsidRPr="004F6DAA">
        <w:rPr>
          <w:noProof/>
        </w:rPr>
        <w:t xml:space="preserve"> z</w:t>
      </w:r>
      <w:r w:rsidR="00062BFA">
        <w:rPr>
          <w:noProof/>
        </w:rPr>
        <w:t> </w:t>
      </w:r>
      <w:r w:rsidR="00062BFA" w:rsidRPr="004F6DAA">
        <w:rPr>
          <w:noProof/>
        </w:rPr>
        <w:t>2</w:t>
      </w:r>
      <w:r w:rsidRPr="004F6DAA">
        <w:rPr>
          <w:noProof/>
        </w:rPr>
        <w:t>0</w:t>
      </w:r>
      <w:r w:rsidRPr="00062BFA">
        <w:rPr>
          <w:noProof/>
        </w:rPr>
        <w:t>19</w:t>
      </w:r>
      <w:r w:rsidR="00062BFA" w:rsidRPr="00062BFA">
        <w:rPr>
          <w:noProof/>
        </w:rPr>
        <w:t> </w:t>
      </w:r>
      <w:r w:rsidRPr="00062BFA">
        <w:rPr>
          <w:noProof/>
        </w:rPr>
        <w:t>r.</w:t>
      </w:r>
      <w:r w:rsidRPr="004F6DAA">
        <w:rPr>
          <w:noProof/>
        </w:rPr>
        <w:t>,</w:t>
      </w:r>
      <w:r w:rsidR="00062BFA" w:rsidRPr="004F6DAA">
        <w:rPr>
          <w:noProof/>
        </w:rPr>
        <w:t xml:space="preserve"> w</w:t>
      </w:r>
      <w:r w:rsidR="00062BFA">
        <w:rPr>
          <w:noProof/>
        </w:rPr>
        <w:t> </w:t>
      </w:r>
      <w:r w:rsidR="00062BFA" w:rsidRPr="004F6DAA">
        <w:rPr>
          <w:noProof/>
        </w:rPr>
        <w:t>Eur</w:t>
      </w:r>
      <w:r w:rsidRPr="004F6DAA">
        <w:rPr>
          <w:noProof/>
        </w:rPr>
        <w:t>opejskim Zielonym Ładzie, unijnej strategii na rzecz bioróżn</w:t>
      </w:r>
      <w:r w:rsidR="004F6DAA">
        <w:rPr>
          <w:noProof/>
        </w:rPr>
        <w:t>orodności 2030 oraz strategii „O</w:t>
      </w:r>
      <w:r w:rsidRPr="004F6DAA">
        <w:rPr>
          <w:noProof/>
        </w:rPr>
        <w:t>d pola do stołu” niniejsza inicjatywa koncentruje się na lasach. Parlament Europejski</w:t>
      </w:r>
      <w:r w:rsidR="00062BFA" w:rsidRPr="004F6DAA">
        <w:rPr>
          <w:noProof/>
        </w:rPr>
        <w:t xml:space="preserve"> i</w:t>
      </w:r>
      <w:r w:rsidR="00062BFA">
        <w:rPr>
          <w:noProof/>
        </w:rPr>
        <w:t> </w:t>
      </w:r>
      <w:r w:rsidR="00062BFA" w:rsidRPr="004F6DAA">
        <w:rPr>
          <w:noProof/>
        </w:rPr>
        <w:t>org</w:t>
      </w:r>
      <w:r w:rsidRPr="004F6DAA">
        <w:rPr>
          <w:noProof/>
        </w:rPr>
        <w:t>anizacje pozarządowe opowiedziały się za włączeniem innych ekosystemów. Na podstawie doświadczeń związanych</w:t>
      </w:r>
      <w:r w:rsidR="00062BFA" w:rsidRPr="004F6DAA">
        <w:rPr>
          <w:noProof/>
        </w:rPr>
        <w:t xml:space="preserve"> z</w:t>
      </w:r>
      <w:r w:rsidR="00062BFA">
        <w:rPr>
          <w:noProof/>
        </w:rPr>
        <w:t> </w:t>
      </w:r>
      <w:r w:rsidR="00062BFA" w:rsidRPr="004F6DAA">
        <w:rPr>
          <w:noProof/>
        </w:rPr>
        <w:t>obo</w:t>
      </w:r>
      <w:r w:rsidRPr="004F6DAA">
        <w:rPr>
          <w:noProof/>
        </w:rPr>
        <w:t>wiązującym prawodawstwem takie rozszerzenie zakresu uznano za przedwczesne, ponieważ brak praktycznych doświadczeń wywarłby negatywny wpływ na skuteczność</w:t>
      </w:r>
      <w:r w:rsidR="00062BFA" w:rsidRPr="004F6DAA">
        <w:rPr>
          <w:noProof/>
        </w:rPr>
        <w:t xml:space="preserve"> i</w:t>
      </w:r>
      <w:r w:rsidR="00062BFA">
        <w:rPr>
          <w:noProof/>
        </w:rPr>
        <w:t> </w:t>
      </w:r>
      <w:r w:rsidR="00062BFA" w:rsidRPr="004F6DAA">
        <w:rPr>
          <w:noProof/>
        </w:rPr>
        <w:t>wyk</w:t>
      </w:r>
      <w:r w:rsidRPr="004F6DAA">
        <w:rPr>
          <w:noProof/>
        </w:rPr>
        <w:t>onalność środków</w:t>
      </w:r>
      <w:r w:rsidR="00062BFA" w:rsidRPr="004F6DAA">
        <w:rPr>
          <w:noProof/>
        </w:rPr>
        <w:t xml:space="preserve"> z</w:t>
      </w:r>
      <w:r w:rsidR="00062BFA">
        <w:rPr>
          <w:noProof/>
        </w:rPr>
        <w:t> </w:t>
      </w:r>
      <w:r w:rsidR="00062BFA" w:rsidRPr="004F6DAA">
        <w:rPr>
          <w:noProof/>
        </w:rPr>
        <w:t>zak</w:t>
      </w:r>
      <w:r w:rsidRPr="004F6DAA">
        <w:rPr>
          <w:noProof/>
        </w:rPr>
        <w:t>resu polityki poddanych niniejszej ocenie. Potrzeba</w:t>
      </w:r>
      <w:r w:rsidR="00062BFA" w:rsidRPr="004F6DAA">
        <w:rPr>
          <w:noProof/>
        </w:rPr>
        <w:t xml:space="preserve"> i</w:t>
      </w:r>
      <w:r w:rsidR="00062BFA">
        <w:rPr>
          <w:noProof/>
        </w:rPr>
        <w:t> </w:t>
      </w:r>
      <w:r w:rsidR="00062BFA" w:rsidRPr="004F6DAA">
        <w:rPr>
          <w:noProof/>
        </w:rPr>
        <w:t>wyk</w:t>
      </w:r>
      <w:r w:rsidRPr="004F6DAA">
        <w:rPr>
          <w:noProof/>
        </w:rPr>
        <w:t>onalność rozszerzenia jego zakresu</w:t>
      </w:r>
      <w:r w:rsidR="00062BFA" w:rsidRPr="004F6DAA">
        <w:rPr>
          <w:noProof/>
        </w:rPr>
        <w:t xml:space="preserve"> w</w:t>
      </w:r>
      <w:r w:rsidR="00062BFA">
        <w:rPr>
          <w:noProof/>
        </w:rPr>
        <w:t> </w:t>
      </w:r>
      <w:r w:rsidR="00062BFA" w:rsidRPr="004F6DAA">
        <w:rPr>
          <w:noProof/>
        </w:rPr>
        <w:t>cel</w:t>
      </w:r>
      <w:r w:rsidRPr="004F6DAA">
        <w:rPr>
          <w:noProof/>
        </w:rPr>
        <w:t>u objęcia również innych ekosystemów zostanie jednak oceniona</w:t>
      </w:r>
      <w:r w:rsidR="00062BFA" w:rsidRPr="004F6DAA">
        <w:rPr>
          <w:noProof/>
        </w:rPr>
        <w:t xml:space="preserve"> w</w:t>
      </w:r>
      <w:r w:rsidR="00062BFA">
        <w:rPr>
          <w:noProof/>
        </w:rPr>
        <w:t> </w:t>
      </w:r>
      <w:r w:rsidR="00062BFA" w:rsidRPr="004F6DAA">
        <w:rPr>
          <w:noProof/>
        </w:rPr>
        <w:t>ram</w:t>
      </w:r>
      <w:r w:rsidRPr="004F6DAA">
        <w:rPr>
          <w:noProof/>
        </w:rPr>
        <w:t xml:space="preserve">ach wczesnego przeglądu. </w:t>
      </w:r>
    </w:p>
    <w:p w14:paraId="187E9940" w14:textId="77777777" w:rsidR="001C3FCC" w:rsidRPr="004F6DAA" w:rsidRDefault="001C3FCC" w:rsidP="009A3168">
      <w:pPr>
        <w:pStyle w:val="ManualHeading2"/>
        <w:rPr>
          <w:rFonts w:eastAsia="Arial Unicode MS"/>
          <w:noProof/>
          <w:u w:color="000000"/>
          <w:bdr w:val="nil"/>
        </w:rPr>
      </w:pPr>
      <w:r w:rsidRPr="004F6DAA">
        <w:rPr>
          <w:noProof/>
          <w:u w:color="000000"/>
          <w:bdr w:val="nil"/>
        </w:rPr>
        <w:t>•</w:t>
      </w:r>
      <w:r w:rsidRPr="004F6DAA">
        <w:rPr>
          <w:noProof/>
        </w:rPr>
        <w:tab/>
      </w:r>
      <w:r w:rsidRPr="004F6DAA">
        <w:rPr>
          <w:noProof/>
          <w:u w:color="000000"/>
          <w:bdr w:val="nil"/>
        </w:rPr>
        <w:t>Gromadzenie</w:t>
      </w:r>
      <w:r w:rsidR="00062BFA" w:rsidRPr="004F6DAA">
        <w:rPr>
          <w:noProof/>
          <w:u w:color="000000"/>
          <w:bdr w:val="nil"/>
        </w:rPr>
        <w:t xml:space="preserve"> i</w:t>
      </w:r>
      <w:r w:rsidR="00062BFA">
        <w:rPr>
          <w:noProof/>
          <w:u w:color="000000"/>
          <w:bdr w:val="nil"/>
        </w:rPr>
        <w:t> </w:t>
      </w:r>
      <w:r w:rsidR="00062BFA" w:rsidRPr="004F6DAA">
        <w:rPr>
          <w:noProof/>
          <w:u w:color="000000"/>
          <w:bdr w:val="nil"/>
        </w:rPr>
        <w:t>wyk</w:t>
      </w:r>
      <w:r w:rsidRPr="004F6DAA">
        <w:rPr>
          <w:noProof/>
          <w:u w:color="000000"/>
          <w:bdr w:val="nil"/>
        </w:rPr>
        <w:t>orzystanie wiedzy eksperckiej</w:t>
      </w:r>
    </w:p>
    <w:p w14:paraId="4BC9E100" w14:textId="77777777" w:rsidR="00D56697" w:rsidRPr="004F6DAA" w:rsidRDefault="00D56697" w:rsidP="00D56697">
      <w:pPr>
        <w:spacing w:before="0" w:after="240"/>
        <w:rPr>
          <w:noProof/>
          <w:szCs w:val="24"/>
        </w:rPr>
      </w:pPr>
      <w:r w:rsidRPr="004F6DAA">
        <w:rPr>
          <w:noProof/>
        </w:rPr>
        <w:t>Aby uzasadnić analizę poszczególnych wariantów, Komisja zawarła</w:t>
      </w:r>
      <w:r w:rsidR="00062BFA" w:rsidRPr="004F6DAA">
        <w:rPr>
          <w:noProof/>
        </w:rPr>
        <w:t xml:space="preserve"> z</w:t>
      </w:r>
      <w:r w:rsidR="00062BFA">
        <w:rPr>
          <w:noProof/>
        </w:rPr>
        <w:t> </w:t>
      </w:r>
      <w:r w:rsidR="00062BFA" w:rsidRPr="004F6DAA">
        <w:rPr>
          <w:noProof/>
        </w:rPr>
        <w:t>eks</w:t>
      </w:r>
      <w:r w:rsidRPr="004F6DAA">
        <w:rPr>
          <w:noProof/>
        </w:rPr>
        <w:t xml:space="preserve">pertami zewnętrznymi </w:t>
      </w:r>
      <w:r w:rsidRPr="004F6DAA">
        <w:rPr>
          <w:b/>
          <w:noProof/>
          <w:szCs w:val="24"/>
        </w:rPr>
        <w:t>umowę</w:t>
      </w:r>
      <w:r w:rsidR="00062BFA" w:rsidRPr="004F6DAA">
        <w:rPr>
          <w:b/>
          <w:noProof/>
          <w:szCs w:val="24"/>
        </w:rPr>
        <w:t xml:space="preserve"> o</w:t>
      </w:r>
      <w:r w:rsidR="00062BFA">
        <w:rPr>
          <w:b/>
          <w:noProof/>
          <w:szCs w:val="24"/>
        </w:rPr>
        <w:t> </w:t>
      </w:r>
      <w:r w:rsidR="00062BFA" w:rsidRPr="004F6DAA">
        <w:rPr>
          <w:b/>
          <w:noProof/>
          <w:szCs w:val="24"/>
        </w:rPr>
        <w:t>udz</w:t>
      </w:r>
      <w:r w:rsidRPr="004F6DAA">
        <w:rPr>
          <w:b/>
          <w:noProof/>
          <w:szCs w:val="24"/>
        </w:rPr>
        <w:t>ielenie wsparcia</w:t>
      </w:r>
      <w:r w:rsidR="00062BFA" w:rsidRPr="004F6DAA">
        <w:rPr>
          <w:b/>
          <w:noProof/>
          <w:szCs w:val="24"/>
        </w:rPr>
        <w:t xml:space="preserve"> </w:t>
      </w:r>
      <w:r w:rsidR="00062BFA" w:rsidRPr="004F6DAA">
        <w:rPr>
          <w:noProof/>
        </w:rPr>
        <w:t>w</w:t>
      </w:r>
      <w:r w:rsidR="00062BFA">
        <w:rPr>
          <w:b/>
          <w:noProof/>
          <w:szCs w:val="24"/>
        </w:rPr>
        <w:t> </w:t>
      </w:r>
      <w:r w:rsidR="00062BFA" w:rsidRPr="004F6DAA">
        <w:rPr>
          <w:noProof/>
        </w:rPr>
        <w:t>cel</w:t>
      </w:r>
      <w:r w:rsidRPr="004F6DAA">
        <w:rPr>
          <w:noProof/>
        </w:rPr>
        <w:t>u przeprowadzenia dwóch badań: „oceny skutków środków po stronie popytu mających na celu przeciwdziałanie wylesianiu” oraz „</w:t>
      </w:r>
      <w:r w:rsidRPr="004F6DAA">
        <w:rPr>
          <w:noProof/>
          <w:color w:val="000000"/>
          <w:szCs w:val="24"/>
        </w:rPr>
        <w:t>badania uzupełniającego ocenę adekwatności rozporządzenia</w:t>
      </w:r>
      <w:r w:rsidR="00062BFA" w:rsidRPr="004F6DAA">
        <w:rPr>
          <w:noProof/>
          <w:color w:val="000000"/>
          <w:szCs w:val="24"/>
        </w:rPr>
        <w:t xml:space="preserve"> w</w:t>
      </w:r>
      <w:r w:rsidR="00062BFA">
        <w:rPr>
          <w:noProof/>
          <w:color w:val="000000"/>
          <w:szCs w:val="24"/>
        </w:rPr>
        <w:t> </w:t>
      </w:r>
      <w:r w:rsidR="00062BFA" w:rsidRPr="004F6DAA">
        <w:rPr>
          <w:noProof/>
          <w:color w:val="000000"/>
          <w:szCs w:val="24"/>
        </w:rPr>
        <w:t>spr</w:t>
      </w:r>
      <w:r w:rsidRPr="004F6DAA">
        <w:rPr>
          <w:noProof/>
          <w:color w:val="000000"/>
          <w:szCs w:val="24"/>
        </w:rPr>
        <w:t>awie drewna</w:t>
      </w:r>
      <w:r w:rsidR="00062BFA" w:rsidRPr="004F6DAA">
        <w:rPr>
          <w:noProof/>
          <w:color w:val="000000"/>
          <w:szCs w:val="24"/>
        </w:rPr>
        <w:t xml:space="preserve"> i</w:t>
      </w:r>
      <w:r w:rsidR="00062BFA">
        <w:rPr>
          <w:noProof/>
          <w:color w:val="000000"/>
          <w:szCs w:val="24"/>
        </w:rPr>
        <w:t> </w:t>
      </w:r>
      <w:r w:rsidR="00062BFA" w:rsidRPr="004F6DAA">
        <w:rPr>
          <w:noProof/>
          <w:color w:val="000000"/>
          <w:szCs w:val="24"/>
        </w:rPr>
        <w:t>roz</w:t>
      </w:r>
      <w:r w:rsidRPr="004F6DAA">
        <w:rPr>
          <w:noProof/>
          <w:color w:val="000000"/>
          <w:szCs w:val="24"/>
        </w:rPr>
        <w:t>porządzenia FLEGT”</w:t>
      </w:r>
      <w:r w:rsidRPr="004F6DAA">
        <w:rPr>
          <w:noProof/>
        </w:rPr>
        <w:t>. Badania te stanowiły część analizy</w:t>
      </w:r>
      <w:r w:rsidR="00062BFA" w:rsidRPr="004F6DAA">
        <w:rPr>
          <w:noProof/>
        </w:rPr>
        <w:t xml:space="preserve"> i</w:t>
      </w:r>
      <w:r w:rsidR="00062BFA">
        <w:rPr>
          <w:noProof/>
        </w:rPr>
        <w:t> </w:t>
      </w:r>
      <w:r w:rsidR="00062BFA" w:rsidRPr="004F6DAA">
        <w:rPr>
          <w:noProof/>
        </w:rPr>
        <w:t>dan</w:t>
      </w:r>
      <w:r w:rsidRPr="004F6DAA">
        <w:rPr>
          <w:noProof/>
        </w:rPr>
        <w:t>ych leżących</w:t>
      </w:r>
      <w:r w:rsidR="00062BFA" w:rsidRPr="004F6DAA">
        <w:rPr>
          <w:noProof/>
        </w:rPr>
        <w:t xml:space="preserve"> u</w:t>
      </w:r>
      <w:r w:rsidR="00062BFA">
        <w:rPr>
          <w:noProof/>
        </w:rPr>
        <w:t> </w:t>
      </w:r>
      <w:r w:rsidR="00062BFA" w:rsidRPr="004F6DAA">
        <w:rPr>
          <w:noProof/>
        </w:rPr>
        <w:t>pod</w:t>
      </w:r>
      <w:r w:rsidRPr="004F6DAA">
        <w:rPr>
          <w:noProof/>
        </w:rPr>
        <w:t>staw wariantów strategicznych przedstawionych</w:t>
      </w:r>
      <w:r w:rsidR="00062BFA" w:rsidRPr="004F6DAA">
        <w:rPr>
          <w:noProof/>
        </w:rPr>
        <w:t xml:space="preserve"> w</w:t>
      </w:r>
      <w:r w:rsidR="00062BFA">
        <w:rPr>
          <w:noProof/>
        </w:rPr>
        <w:t> </w:t>
      </w:r>
      <w:r w:rsidR="00062BFA" w:rsidRPr="004F6DAA">
        <w:rPr>
          <w:noProof/>
        </w:rPr>
        <w:t>oce</w:t>
      </w:r>
      <w:r w:rsidRPr="004F6DAA">
        <w:rPr>
          <w:noProof/>
        </w:rPr>
        <w:t>nie skutków,</w:t>
      </w:r>
      <w:r w:rsidR="00062BFA" w:rsidRPr="004F6DAA">
        <w:rPr>
          <w:noProof/>
        </w:rPr>
        <w:t xml:space="preserve"> a</w:t>
      </w:r>
      <w:r w:rsidR="00062BFA">
        <w:rPr>
          <w:noProof/>
        </w:rPr>
        <w:t> </w:t>
      </w:r>
      <w:r w:rsidR="00062BFA" w:rsidRPr="004F6DAA">
        <w:rPr>
          <w:noProof/>
        </w:rPr>
        <w:t>nas</w:t>
      </w:r>
      <w:r w:rsidRPr="004F6DAA">
        <w:rPr>
          <w:noProof/>
        </w:rPr>
        <w:t>tępnie</w:t>
      </w:r>
      <w:r w:rsidR="00062BFA" w:rsidRPr="004F6DAA">
        <w:rPr>
          <w:noProof/>
        </w:rPr>
        <w:t xml:space="preserve"> w</w:t>
      </w:r>
      <w:r w:rsidR="00062BFA">
        <w:rPr>
          <w:noProof/>
        </w:rPr>
        <w:t> </w:t>
      </w:r>
      <w:r w:rsidR="00062BFA" w:rsidRPr="004F6DAA">
        <w:rPr>
          <w:noProof/>
        </w:rPr>
        <w:t>nin</w:t>
      </w:r>
      <w:r w:rsidRPr="004F6DAA">
        <w:rPr>
          <w:noProof/>
        </w:rPr>
        <w:t>iejszym rozporządzeniu. Niniejsza inicjatywa opiera się również na wynikach trzeciego badania dotyczącego „Systemów certyfikacji</w:t>
      </w:r>
      <w:r w:rsidR="00062BFA" w:rsidRPr="004F6DAA">
        <w:rPr>
          <w:noProof/>
        </w:rPr>
        <w:t xml:space="preserve"> i</w:t>
      </w:r>
      <w:r w:rsidR="00062BFA">
        <w:rPr>
          <w:noProof/>
        </w:rPr>
        <w:t> </w:t>
      </w:r>
      <w:r w:rsidR="00062BFA" w:rsidRPr="004F6DAA">
        <w:rPr>
          <w:noProof/>
        </w:rPr>
        <w:t>wer</w:t>
      </w:r>
      <w:r w:rsidRPr="004F6DAA">
        <w:rPr>
          <w:noProof/>
        </w:rPr>
        <w:t>yfikacji</w:t>
      </w:r>
      <w:r w:rsidR="00062BFA" w:rsidRPr="004F6DAA">
        <w:rPr>
          <w:noProof/>
        </w:rPr>
        <w:t xml:space="preserve"> w</w:t>
      </w:r>
      <w:r w:rsidR="00062BFA">
        <w:rPr>
          <w:noProof/>
        </w:rPr>
        <w:t> </w:t>
      </w:r>
      <w:r w:rsidR="00062BFA" w:rsidRPr="004F6DAA">
        <w:rPr>
          <w:noProof/>
        </w:rPr>
        <w:t>sek</w:t>
      </w:r>
      <w:r w:rsidRPr="004F6DAA">
        <w:rPr>
          <w:noProof/>
        </w:rPr>
        <w:t>torze leśnym</w:t>
      </w:r>
      <w:r w:rsidR="00062BFA" w:rsidRPr="004F6DAA">
        <w:rPr>
          <w:noProof/>
        </w:rPr>
        <w:t xml:space="preserve"> i</w:t>
      </w:r>
      <w:r w:rsidR="00062BFA">
        <w:rPr>
          <w:noProof/>
        </w:rPr>
        <w:t> </w:t>
      </w:r>
      <w:r w:rsidR="00062BFA" w:rsidRPr="004F6DAA">
        <w:rPr>
          <w:noProof/>
        </w:rPr>
        <w:t>w</w:t>
      </w:r>
      <w:r w:rsidR="00062BFA">
        <w:rPr>
          <w:noProof/>
        </w:rPr>
        <w:t> </w:t>
      </w:r>
      <w:r w:rsidR="00062BFA" w:rsidRPr="004F6DAA">
        <w:rPr>
          <w:noProof/>
        </w:rPr>
        <w:t>odn</w:t>
      </w:r>
      <w:r w:rsidRPr="004F6DAA">
        <w:rPr>
          <w:noProof/>
        </w:rPr>
        <w:t xml:space="preserve">iesieniu do produktów drewnopochodnych”, które przeprowadzono równolegle do oceny skutków. </w:t>
      </w:r>
    </w:p>
    <w:p w14:paraId="1AC99D8C" w14:textId="77777777" w:rsidR="00D56697" w:rsidRPr="004F6DAA" w:rsidRDefault="00D56697" w:rsidP="00D56697">
      <w:pPr>
        <w:pBdr>
          <w:top w:val="nil"/>
          <w:left w:val="nil"/>
          <w:bottom w:val="nil"/>
          <w:right w:val="nil"/>
          <w:between w:val="nil"/>
          <w:bar w:val="nil"/>
        </w:pBdr>
        <w:spacing w:before="0" w:after="240"/>
        <w:rPr>
          <w:rFonts w:eastAsia="Arial Unicode MS"/>
          <w:noProof/>
          <w:color w:val="008000"/>
        </w:rPr>
      </w:pPr>
      <w:r w:rsidRPr="004F6DAA">
        <w:rPr>
          <w:noProof/>
        </w:rPr>
        <w:t>Komisja wykorzystała również wkład wniesiony podczas posiedzeń grupy ekspertów Komisji/platformy</w:t>
      </w:r>
      <w:r w:rsidR="00062BFA" w:rsidRPr="004F6DAA">
        <w:rPr>
          <w:noProof/>
        </w:rPr>
        <w:t xml:space="preserve"> z</w:t>
      </w:r>
      <w:r w:rsidR="00062BFA">
        <w:rPr>
          <w:noProof/>
        </w:rPr>
        <w:t> </w:t>
      </w:r>
      <w:r w:rsidR="00062BFA" w:rsidRPr="004F6DAA">
        <w:rPr>
          <w:noProof/>
        </w:rPr>
        <w:t>udz</w:t>
      </w:r>
      <w:r w:rsidRPr="004F6DAA">
        <w:rPr>
          <w:noProof/>
        </w:rPr>
        <w:t>iałem wielu zainteresowanych stron na rzecz ochrony</w:t>
      </w:r>
      <w:r w:rsidR="00062BFA" w:rsidRPr="004F6DAA">
        <w:rPr>
          <w:noProof/>
        </w:rPr>
        <w:t xml:space="preserve"> i</w:t>
      </w:r>
      <w:r w:rsidR="00062BFA">
        <w:rPr>
          <w:noProof/>
        </w:rPr>
        <w:t> </w:t>
      </w:r>
      <w:r w:rsidR="00062BFA" w:rsidRPr="004F6DAA">
        <w:rPr>
          <w:noProof/>
        </w:rPr>
        <w:t>odt</w:t>
      </w:r>
      <w:r w:rsidRPr="004F6DAA">
        <w:rPr>
          <w:noProof/>
        </w:rPr>
        <w:t>warzania światowych lasów,</w:t>
      </w:r>
      <w:r w:rsidR="00062BFA" w:rsidRPr="004F6DAA">
        <w:rPr>
          <w:noProof/>
        </w:rPr>
        <w:t xml:space="preserve"> w</w:t>
      </w:r>
      <w:r w:rsidR="00062BFA">
        <w:rPr>
          <w:noProof/>
        </w:rPr>
        <w:t> </w:t>
      </w:r>
      <w:r w:rsidR="00062BFA" w:rsidRPr="004F6DAA">
        <w:rPr>
          <w:noProof/>
        </w:rPr>
        <w:t>tym w</w:t>
      </w:r>
      <w:r w:rsidR="00062BFA">
        <w:rPr>
          <w:noProof/>
        </w:rPr>
        <w:t> </w:t>
      </w:r>
      <w:r w:rsidR="00062BFA" w:rsidRPr="004F6DAA">
        <w:rPr>
          <w:noProof/>
        </w:rPr>
        <w:t>zak</w:t>
      </w:r>
      <w:r w:rsidRPr="004F6DAA">
        <w:rPr>
          <w:noProof/>
        </w:rPr>
        <w:t>resie rozporządzenia</w:t>
      </w:r>
      <w:r w:rsidR="00062BFA" w:rsidRPr="004F6DAA">
        <w:rPr>
          <w:noProof/>
        </w:rPr>
        <w:t xml:space="preserve"> w</w:t>
      </w:r>
      <w:r w:rsidR="00062BFA">
        <w:rPr>
          <w:noProof/>
        </w:rPr>
        <w:t> </w:t>
      </w:r>
      <w:r w:rsidR="00062BFA" w:rsidRPr="004F6DAA">
        <w:rPr>
          <w:noProof/>
        </w:rPr>
        <w:t>spr</w:t>
      </w:r>
      <w:r w:rsidRPr="004F6DAA">
        <w:rPr>
          <w:noProof/>
        </w:rPr>
        <w:t>awie drewna</w:t>
      </w:r>
      <w:r w:rsidR="00062BFA" w:rsidRPr="004F6DAA">
        <w:rPr>
          <w:noProof/>
        </w:rPr>
        <w:t xml:space="preserve"> i</w:t>
      </w:r>
      <w:r w:rsidR="00062BFA">
        <w:rPr>
          <w:noProof/>
        </w:rPr>
        <w:t> </w:t>
      </w:r>
      <w:r w:rsidR="00062BFA" w:rsidRPr="004F6DAA">
        <w:rPr>
          <w:noProof/>
        </w:rPr>
        <w:t>roz</w:t>
      </w:r>
      <w:r w:rsidRPr="004F6DAA">
        <w:rPr>
          <w:noProof/>
        </w:rPr>
        <w:t>porządzenia FLEGT. Od chwili uruchomienia planu działania dotyczącego niniejszej inicjatywy ustawodawczej</w:t>
      </w:r>
      <w:r w:rsidR="00062BFA" w:rsidRPr="004F6DAA">
        <w:rPr>
          <w:noProof/>
        </w:rPr>
        <w:t xml:space="preserve"> w</w:t>
      </w:r>
      <w:r w:rsidR="00062BFA">
        <w:rPr>
          <w:noProof/>
        </w:rPr>
        <w:t> </w:t>
      </w:r>
      <w:r w:rsidR="00062BFA" w:rsidRPr="004F6DAA">
        <w:rPr>
          <w:noProof/>
        </w:rPr>
        <w:t>lut</w:t>
      </w:r>
      <w:r w:rsidRPr="004F6DAA">
        <w:rPr>
          <w:noProof/>
        </w:rPr>
        <w:t>ym 20</w:t>
      </w:r>
      <w:r w:rsidRPr="00062BFA">
        <w:rPr>
          <w:noProof/>
        </w:rPr>
        <w:t>20</w:t>
      </w:r>
      <w:r w:rsidR="00062BFA" w:rsidRPr="00062BFA">
        <w:rPr>
          <w:noProof/>
        </w:rPr>
        <w:t> </w:t>
      </w:r>
      <w:r w:rsidRPr="00062BFA">
        <w:rPr>
          <w:noProof/>
        </w:rPr>
        <w:t>r.</w:t>
      </w:r>
      <w:r w:rsidRPr="004F6DAA">
        <w:rPr>
          <w:noProof/>
        </w:rPr>
        <w:t xml:space="preserve"> grupa zebrała się dziewięciokrotnie</w:t>
      </w:r>
      <w:r w:rsidR="00062BFA" w:rsidRPr="004F6DAA">
        <w:rPr>
          <w:noProof/>
        </w:rPr>
        <w:t xml:space="preserve"> w</w:t>
      </w:r>
      <w:r w:rsidR="00062BFA">
        <w:rPr>
          <w:noProof/>
        </w:rPr>
        <w:t> </w:t>
      </w:r>
      <w:r w:rsidR="00062BFA" w:rsidRPr="004F6DAA">
        <w:rPr>
          <w:noProof/>
        </w:rPr>
        <w:t>róż</w:t>
      </w:r>
      <w:r w:rsidRPr="004F6DAA">
        <w:rPr>
          <w:noProof/>
        </w:rPr>
        <w:t>nych konfiguracjach,</w:t>
      </w:r>
      <w:r w:rsidR="00062BFA" w:rsidRPr="004F6DAA">
        <w:rPr>
          <w:noProof/>
        </w:rPr>
        <w:t xml:space="preserve"> w</w:t>
      </w:r>
      <w:r w:rsidR="00062BFA">
        <w:rPr>
          <w:noProof/>
        </w:rPr>
        <w:t> </w:t>
      </w:r>
      <w:r w:rsidR="00062BFA" w:rsidRPr="004F6DAA">
        <w:rPr>
          <w:noProof/>
        </w:rPr>
        <w:t>tym</w:t>
      </w:r>
      <w:r w:rsidRPr="004F6DAA">
        <w:rPr>
          <w:noProof/>
        </w:rPr>
        <w:t xml:space="preserve"> na czterech szczególnych warsztatach, aby zgromadzić informacje na temat wariantów strategicznych analizowanych</w:t>
      </w:r>
      <w:r w:rsidR="00062BFA" w:rsidRPr="004F6DAA">
        <w:rPr>
          <w:noProof/>
        </w:rPr>
        <w:t xml:space="preserve"> w</w:t>
      </w:r>
      <w:r w:rsidR="00062BFA">
        <w:rPr>
          <w:noProof/>
        </w:rPr>
        <w:t> </w:t>
      </w:r>
      <w:r w:rsidR="00062BFA" w:rsidRPr="004F6DAA">
        <w:rPr>
          <w:noProof/>
        </w:rPr>
        <w:t>ram</w:t>
      </w:r>
      <w:r w:rsidRPr="004F6DAA">
        <w:rPr>
          <w:noProof/>
        </w:rPr>
        <w:t>ach oceny skutków.</w:t>
      </w:r>
    </w:p>
    <w:p w14:paraId="43ADCC3D" w14:textId="77777777" w:rsidR="00D56697" w:rsidRPr="004F6DAA" w:rsidRDefault="00D56697" w:rsidP="00D56697">
      <w:pPr>
        <w:spacing w:before="0" w:after="240"/>
        <w:rPr>
          <w:noProof/>
        </w:rPr>
      </w:pPr>
      <w:r w:rsidRPr="004F6DAA">
        <w:rPr>
          <w:noProof/>
        </w:rPr>
        <w:t>Oprócz wspomnianych powyżej badań uzupełniających, posiedzeń grupy ekspertów</w:t>
      </w:r>
      <w:r w:rsidR="00062BFA" w:rsidRPr="004F6DAA">
        <w:rPr>
          <w:noProof/>
        </w:rPr>
        <w:t xml:space="preserve"> i</w:t>
      </w:r>
      <w:r w:rsidR="00062BFA">
        <w:rPr>
          <w:noProof/>
        </w:rPr>
        <w:t> </w:t>
      </w:r>
      <w:r w:rsidR="00062BFA" w:rsidRPr="004F6DAA">
        <w:rPr>
          <w:noProof/>
        </w:rPr>
        <w:t>kon</w:t>
      </w:r>
      <w:r w:rsidRPr="004F6DAA">
        <w:rPr>
          <w:noProof/>
        </w:rPr>
        <w:t>sultacji</w:t>
      </w:r>
      <w:r w:rsidR="00062BFA" w:rsidRPr="004F6DAA">
        <w:rPr>
          <w:noProof/>
        </w:rPr>
        <w:t xml:space="preserve"> z</w:t>
      </w:r>
      <w:r w:rsidR="00062BFA">
        <w:rPr>
          <w:noProof/>
        </w:rPr>
        <w:t> </w:t>
      </w:r>
      <w:r w:rsidR="00062BFA" w:rsidRPr="004F6DAA">
        <w:rPr>
          <w:noProof/>
        </w:rPr>
        <w:t>zai</w:t>
      </w:r>
      <w:r w:rsidRPr="004F6DAA">
        <w:rPr>
          <w:noProof/>
        </w:rPr>
        <w:t>nteresowanymi stronami Komisja zwróciła również szczególną uwagę na rezolucję Parlamentu Europejskiego</w:t>
      </w:r>
      <w:r w:rsidR="00062BFA" w:rsidRPr="004F6DAA">
        <w:rPr>
          <w:noProof/>
        </w:rPr>
        <w:t xml:space="preserve"> z</w:t>
      </w:r>
      <w:r w:rsidR="00062BFA">
        <w:rPr>
          <w:noProof/>
        </w:rPr>
        <w:t> </w:t>
      </w:r>
      <w:r w:rsidR="00062BFA" w:rsidRPr="004F6DAA">
        <w:rPr>
          <w:noProof/>
        </w:rPr>
        <w:t>dni</w:t>
      </w:r>
      <w:r w:rsidRPr="004F6DAA">
        <w:rPr>
          <w:noProof/>
        </w:rPr>
        <w:t>a 22 października 20</w:t>
      </w:r>
      <w:r w:rsidRPr="00062BFA">
        <w:rPr>
          <w:noProof/>
        </w:rPr>
        <w:t>20</w:t>
      </w:r>
      <w:r w:rsidR="00062BFA" w:rsidRPr="00062BFA">
        <w:rPr>
          <w:noProof/>
        </w:rPr>
        <w:t> </w:t>
      </w:r>
      <w:r w:rsidRPr="00062BFA">
        <w:rPr>
          <w:noProof/>
        </w:rPr>
        <w:t>r.</w:t>
      </w:r>
      <w:r w:rsidRPr="004F6DAA">
        <w:rPr>
          <w:noProof/>
        </w:rPr>
        <w:t xml:space="preserve"> zawierającą zalecenia dla Komisji</w:t>
      </w:r>
      <w:r w:rsidR="00062BFA" w:rsidRPr="004F6DAA">
        <w:rPr>
          <w:noProof/>
        </w:rPr>
        <w:t xml:space="preserve"> w</w:t>
      </w:r>
      <w:r w:rsidR="00062BFA">
        <w:rPr>
          <w:noProof/>
        </w:rPr>
        <w:t> </w:t>
      </w:r>
      <w:r w:rsidR="00062BFA" w:rsidRPr="004F6DAA">
        <w:rPr>
          <w:noProof/>
        </w:rPr>
        <w:t>spr</w:t>
      </w:r>
      <w:r w:rsidRPr="004F6DAA">
        <w:rPr>
          <w:noProof/>
        </w:rPr>
        <w:t>awie unijnych ram prawnych mających na celu zatrzymanie</w:t>
      </w:r>
      <w:r w:rsidR="00062BFA" w:rsidRPr="004F6DAA">
        <w:rPr>
          <w:noProof/>
        </w:rPr>
        <w:t xml:space="preserve"> i</w:t>
      </w:r>
      <w:r w:rsidR="00062BFA">
        <w:rPr>
          <w:noProof/>
        </w:rPr>
        <w:t> </w:t>
      </w:r>
      <w:r w:rsidR="00062BFA" w:rsidRPr="004F6DAA">
        <w:rPr>
          <w:noProof/>
        </w:rPr>
        <w:t>odw</w:t>
      </w:r>
      <w:r w:rsidRPr="004F6DAA">
        <w:rPr>
          <w:noProof/>
        </w:rPr>
        <w:t>rócenie globalnego wylesiania spowodowanego przez UE (2020/2006 (INL)),</w:t>
      </w:r>
      <w:r w:rsidR="00062BFA" w:rsidRPr="004F6DAA">
        <w:rPr>
          <w:noProof/>
        </w:rPr>
        <w:t xml:space="preserve"> a</w:t>
      </w:r>
      <w:r w:rsidR="00062BFA">
        <w:rPr>
          <w:noProof/>
        </w:rPr>
        <w:t> </w:t>
      </w:r>
      <w:r w:rsidR="00062BFA" w:rsidRPr="004F6DAA">
        <w:rPr>
          <w:noProof/>
        </w:rPr>
        <w:t>tak</w:t>
      </w:r>
      <w:r w:rsidRPr="004F6DAA">
        <w:rPr>
          <w:noProof/>
        </w:rPr>
        <w:t>że na stanowiska wyrażone przez Radę Unii Europejskiej,</w:t>
      </w:r>
      <w:r w:rsidR="00062BFA" w:rsidRPr="004F6DAA">
        <w:rPr>
          <w:noProof/>
        </w:rPr>
        <w:t xml:space="preserve"> w</w:t>
      </w:r>
      <w:r w:rsidR="00062BFA">
        <w:rPr>
          <w:noProof/>
        </w:rPr>
        <w:t> </w:t>
      </w:r>
      <w:r w:rsidR="00062BFA" w:rsidRPr="004F6DAA">
        <w:rPr>
          <w:noProof/>
        </w:rPr>
        <w:t>szc</w:t>
      </w:r>
      <w:r w:rsidRPr="004F6DAA">
        <w:rPr>
          <w:noProof/>
        </w:rPr>
        <w:t>zególności konkluzje Rady</w:t>
      </w:r>
      <w:r w:rsidR="00062BFA" w:rsidRPr="004F6DAA">
        <w:rPr>
          <w:noProof/>
        </w:rPr>
        <w:t xml:space="preserve"> w</w:t>
      </w:r>
      <w:r w:rsidR="00062BFA">
        <w:rPr>
          <w:noProof/>
        </w:rPr>
        <w:t> </w:t>
      </w:r>
      <w:r w:rsidR="00062BFA" w:rsidRPr="004F6DAA">
        <w:rPr>
          <w:noProof/>
        </w:rPr>
        <w:t>spr</w:t>
      </w:r>
      <w:r w:rsidRPr="004F6DAA">
        <w:rPr>
          <w:noProof/>
        </w:rPr>
        <w:t>awie komunikatu</w:t>
      </w:r>
      <w:r w:rsidR="00062BFA" w:rsidRPr="004F6DAA">
        <w:rPr>
          <w:noProof/>
        </w:rPr>
        <w:t xml:space="preserve"> z</w:t>
      </w:r>
      <w:r w:rsidR="00062BFA">
        <w:rPr>
          <w:noProof/>
        </w:rPr>
        <w:t> </w:t>
      </w:r>
      <w:r w:rsidR="00062BFA" w:rsidRPr="004F6DAA">
        <w:rPr>
          <w:noProof/>
        </w:rPr>
        <w:t>2</w:t>
      </w:r>
      <w:r w:rsidRPr="004F6DAA">
        <w:rPr>
          <w:noProof/>
        </w:rPr>
        <w:t>0</w:t>
      </w:r>
      <w:r w:rsidRPr="00062BFA">
        <w:rPr>
          <w:noProof/>
        </w:rPr>
        <w:t>19</w:t>
      </w:r>
      <w:r w:rsidR="00062BFA" w:rsidRPr="00062BFA">
        <w:rPr>
          <w:noProof/>
        </w:rPr>
        <w:t> </w:t>
      </w:r>
      <w:r w:rsidRPr="00062BFA">
        <w:rPr>
          <w:noProof/>
        </w:rPr>
        <w:t>r.</w:t>
      </w:r>
      <w:r w:rsidRPr="004F6DAA">
        <w:rPr>
          <w:rStyle w:val="Odwoanieprzypisudolnego"/>
          <w:noProof/>
        </w:rPr>
        <w:footnoteReference w:id="11"/>
      </w:r>
      <w:r w:rsidRPr="004F6DAA">
        <w:rPr>
          <w:noProof/>
        </w:rPr>
        <w:t xml:space="preserve"> </w:t>
      </w:r>
    </w:p>
    <w:p w14:paraId="7D812BD4" w14:textId="77777777" w:rsidR="001C3FCC" w:rsidRPr="004F6DAA" w:rsidRDefault="001C3FCC" w:rsidP="009A3168">
      <w:pPr>
        <w:pStyle w:val="ManualHeading2"/>
        <w:rPr>
          <w:rFonts w:eastAsia="Arial Unicode MS"/>
          <w:noProof/>
          <w:u w:color="000000"/>
          <w:bdr w:val="nil"/>
        </w:rPr>
      </w:pPr>
      <w:r w:rsidRPr="004F6DAA">
        <w:rPr>
          <w:noProof/>
          <w:u w:color="000000"/>
          <w:bdr w:val="nil"/>
        </w:rPr>
        <w:t>•</w:t>
      </w:r>
      <w:r w:rsidRPr="004F6DAA">
        <w:rPr>
          <w:noProof/>
        </w:rPr>
        <w:tab/>
      </w:r>
      <w:r w:rsidRPr="004F6DAA">
        <w:rPr>
          <w:noProof/>
          <w:u w:color="000000"/>
          <w:bdr w:val="nil"/>
        </w:rPr>
        <w:t>Ocena skutków</w:t>
      </w:r>
    </w:p>
    <w:p w14:paraId="5F7B64E4" w14:textId="77777777" w:rsidR="00EF1DFE" w:rsidRPr="004F6DAA" w:rsidRDefault="00EF1DFE" w:rsidP="00EF1DFE">
      <w:pPr>
        <w:rPr>
          <w:noProof/>
        </w:rPr>
      </w:pPr>
      <w:r w:rsidRPr="004F6DAA">
        <w:rPr>
          <w:noProof/>
        </w:rPr>
        <w:t>Podczas wstępnej analizy efektywności przeprowadzonej</w:t>
      </w:r>
      <w:r w:rsidR="00062BFA" w:rsidRPr="004F6DAA">
        <w:rPr>
          <w:noProof/>
        </w:rPr>
        <w:t xml:space="preserve"> w</w:t>
      </w:r>
      <w:r w:rsidR="00062BFA">
        <w:rPr>
          <w:noProof/>
        </w:rPr>
        <w:t> </w:t>
      </w:r>
      <w:r w:rsidR="00062BFA" w:rsidRPr="004F6DAA">
        <w:rPr>
          <w:noProof/>
        </w:rPr>
        <w:t>ram</w:t>
      </w:r>
      <w:r w:rsidRPr="004F6DAA">
        <w:rPr>
          <w:noProof/>
        </w:rPr>
        <w:t>ach wstępnej oceny skutków rozważono łącznie 17 środków</w:t>
      </w:r>
      <w:r w:rsidR="00062BFA" w:rsidRPr="004F6DAA">
        <w:rPr>
          <w:noProof/>
        </w:rPr>
        <w:t xml:space="preserve"> z</w:t>
      </w:r>
      <w:r w:rsidR="00062BFA">
        <w:rPr>
          <w:noProof/>
        </w:rPr>
        <w:t> </w:t>
      </w:r>
      <w:r w:rsidR="00062BFA" w:rsidRPr="004F6DAA">
        <w:rPr>
          <w:noProof/>
        </w:rPr>
        <w:t>zak</w:t>
      </w:r>
      <w:r w:rsidRPr="004F6DAA">
        <w:rPr>
          <w:noProof/>
        </w:rPr>
        <w:t>resu polityki. Ta wstępna lista potencjalnych środków obejmowała wiele możliwych interwencji,</w:t>
      </w:r>
      <w:r w:rsidR="00062BFA" w:rsidRPr="004F6DAA">
        <w:rPr>
          <w:noProof/>
        </w:rPr>
        <w:t xml:space="preserve"> w</w:t>
      </w:r>
      <w:r w:rsidR="00062BFA">
        <w:rPr>
          <w:noProof/>
        </w:rPr>
        <w:t> </w:t>
      </w:r>
      <w:r w:rsidR="00062BFA" w:rsidRPr="004F6DAA">
        <w:rPr>
          <w:noProof/>
        </w:rPr>
        <w:t>tym</w:t>
      </w:r>
      <w:r w:rsidRPr="004F6DAA">
        <w:rPr>
          <w:noProof/>
        </w:rPr>
        <w:t xml:space="preserve"> zarówno instrumenty regulacyjne, jak</w:t>
      </w:r>
      <w:r w:rsidR="00062BFA" w:rsidRPr="004F6DAA">
        <w:rPr>
          <w:noProof/>
        </w:rPr>
        <w:t xml:space="preserve"> i</w:t>
      </w:r>
      <w:r w:rsidR="00062BFA">
        <w:rPr>
          <w:noProof/>
        </w:rPr>
        <w:t> </w:t>
      </w:r>
      <w:r w:rsidR="00062BFA" w:rsidRPr="004F6DAA">
        <w:rPr>
          <w:noProof/>
        </w:rPr>
        <w:t>nie</w:t>
      </w:r>
      <w:r w:rsidRPr="004F6DAA">
        <w:rPr>
          <w:noProof/>
        </w:rPr>
        <w:t>regulacyjne</w:t>
      </w:r>
      <w:r w:rsidR="00062BFA" w:rsidRPr="004F6DAA">
        <w:rPr>
          <w:noProof/>
        </w:rPr>
        <w:t>. W</w:t>
      </w:r>
      <w:r w:rsidR="00062BFA">
        <w:rPr>
          <w:noProof/>
        </w:rPr>
        <w:t> </w:t>
      </w:r>
      <w:r w:rsidR="00062BFA" w:rsidRPr="004F6DAA">
        <w:rPr>
          <w:noProof/>
        </w:rPr>
        <w:t>ram</w:t>
      </w:r>
      <w:r w:rsidRPr="004F6DAA">
        <w:rPr>
          <w:noProof/>
        </w:rPr>
        <w:t>ach analizy efektywności oceniono każdy środek</w:t>
      </w:r>
      <w:r w:rsidR="00062BFA" w:rsidRPr="004F6DAA">
        <w:rPr>
          <w:noProof/>
        </w:rPr>
        <w:t xml:space="preserve"> z</w:t>
      </w:r>
      <w:r w:rsidR="00062BFA">
        <w:rPr>
          <w:noProof/>
        </w:rPr>
        <w:t> </w:t>
      </w:r>
      <w:r w:rsidR="00062BFA" w:rsidRPr="004F6DAA">
        <w:rPr>
          <w:noProof/>
        </w:rPr>
        <w:t>zak</w:t>
      </w:r>
      <w:r w:rsidRPr="004F6DAA">
        <w:rPr>
          <w:noProof/>
        </w:rPr>
        <w:t>resu polityki pod kątem szeregu kryteriów, takich jak wykonalność prawna, techniczna, polityczna oraz proporcjonalność, potencjalna skuteczność</w:t>
      </w:r>
      <w:r w:rsidR="00062BFA" w:rsidRPr="004F6DAA">
        <w:rPr>
          <w:noProof/>
        </w:rPr>
        <w:t xml:space="preserve"> i</w:t>
      </w:r>
      <w:r w:rsidR="00062BFA">
        <w:rPr>
          <w:noProof/>
        </w:rPr>
        <w:t> </w:t>
      </w:r>
      <w:r w:rsidR="00062BFA" w:rsidRPr="004F6DAA">
        <w:rPr>
          <w:noProof/>
        </w:rPr>
        <w:t>wyd</w:t>
      </w:r>
      <w:r w:rsidRPr="004F6DAA">
        <w:rPr>
          <w:noProof/>
        </w:rPr>
        <w:t>ajność,</w:t>
      </w:r>
      <w:r w:rsidR="00062BFA" w:rsidRPr="004F6DAA">
        <w:rPr>
          <w:noProof/>
        </w:rPr>
        <w:t xml:space="preserve"> a</w:t>
      </w:r>
      <w:r w:rsidR="00062BFA">
        <w:rPr>
          <w:noProof/>
        </w:rPr>
        <w:t> </w:t>
      </w:r>
      <w:r w:rsidR="00062BFA" w:rsidRPr="004F6DAA">
        <w:rPr>
          <w:noProof/>
        </w:rPr>
        <w:t>tak</w:t>
      </w:r>
      <w:r w:rsidRPr="004F6DAA">
        <w:rPr>
          <w:noProof/>
        </w:rPr>
        <w:t>że informacje zwrotne otrzymane od zainteresowanych stron, państw członkowskich UE</w:t>
      </w:r>
      <w:r w:rsidR="00062BFA" w:rsidRPr="004F6DAA">
        <w:rPr>
          <w:noProof/>
        </w:rPr>
        <w:t xml:space="preserve"> i</w:t>
      </w:r>
      <w:r w:rsidR="00062BFA">
        <w:rPr>
          <w:noProof/>
        </w:rPr>
        <w:t> </w:t>
      </w:r>
      <w:r w:rsidR="00062BFA" w:rsidRPr="004F6DAA">
        <w:rPr>
          <w:noProof/>
        </w:rPr>
        <w:t>pań</w:t>
      </w:r>
      <w:r w:rsidRPr="004F6DAA">
        <w:rPr>
          <w:noProof/>
        </w:rPr>
        <w:t>stw trzecich.</w:t>
      </w:r>
    </w:p>
    <w:p w14:paraId="1BDA68DB" w14:textId="77777777" w:rsidR="00EF1DFE" w:rsidRPr="004F6DAA" w:rsidRDefault="00EF1DFE" w:rsidP="00EF1DFE">
      <w:pPr>
        <w:spacing w:before="0" w:after="240"/>
        <w:rPr>
          <w:rFonts w:eastAsia="Times New Roman"/>
          <w:noProof/>
          <w:szCs w:val="20"/>
        </w:rPr>
      </w:pPr>
      <w:r w:rsidRPr="004F6DAA">
        <w:rPr>
          <w:noProof/>
        </w:rPr>
        <w:t>Na podstawie analizy efektywności wybrano pięć następujących wariantów strategicznych, które następnie poddano dalszej szczegółowej ocenie: 1) udoskonalona obowiązkowa procedura należytej staranności; 2) system wskaźników</w:t>
      </w:r>
      <w:r w:rsidR="00062BFA" w:rsidRPr="004F6DAA">
        <w:rPr>
          <w:noProof/>
        </w:rPr>
        <w:t xml:space="preserve"> i</w:t>
      </w:r>
      <w:r w:rsidR="00062BFA">
        <w:rPr>
          <w:noProof/>
        </w:rPr>
        <w:t> </w:t>
      </w:r>
      <w:r w:rsidR="00062BFA" w:rsidRPr="004F6DAA">
        <w:rPr>
          <w:noProof/>
        </w:rPr>
        <w:t>wyk</w:t>
      </w:r>
      <w:r w:rsidRPr="004F6DAA">
        <w:rPr>
          <w:noProof/>
        </w:rPr>
        <w:t>az podmiotów naruszających przepisy</w:t>
      </w:r>
      <w:r w:rsidR="00062BFA" w:rsidRPr="004F6DAA">
        <w:rPr>
          <w:noProof/>
        </w:rPr>
        <w:t xml:space="preserve"> w</w:t>
      </w:r>
      <w:r w:rsidR="00062BFA">
        <w:rPr>
          <w:noProof/>
        </w:rPr>
        <w:t> </w:t>
      </w:r>
      <w:r w:rsidR="00062BFA" w:rsidRPr="004F6DAA">
        <w:rPr>
          <w:noProof/>
        </w:rPr>
        <w:t>poł</w:t>
      </w:r>
      <w:r w:rsidRPr="004F6DAA">
        <w:rPr>
          <w:noProof/>
        </w:rPr>
        <w:t>ączeniu</w:t>
      </w:r>
      <w:r w:rsidR="00062BFA" w:rsidRPr="004F6DAA">
        <w:rPr>
          <w:noProof/>
        </w:rPr>
        <w:t xml:space="preserve"> z</w:t>
      </w:r>
      <w:r w:rsidR="00062BFA">
        <w:rPr>
          <w:noProof/>
        </w:rPr>
        <w:t> </w:t>
      </w:r>
      <w:r w:rsidR="00062BFA" w:rsidRPr="004F6DAA">
        <w:rPr>
          <w:noProof/>
        </w:rPr>
        <w:t>wie</w:t>
      </w:r>
      <w:r w:rsidRPr="004F6DAA">
        <w:rPr>
          <w:noProof/>
        </w:rPr>
        <w:t>lopoziomowym, udoskonalonym obowiązkowym systemem zasad należytej staranności; 3) obowiązkowa certyfikacja publiczna połączona</w:t>
      </w:r>
      <w:r w:rsidR="00062BFA" w:rsidRPr="004F6DAA">
        <w:rPr>
          <w:noProof/>
        </w:rPr>
        <w:t xml:space="preserve"> z</w:t>
      </w:r>
      <w:r w:rsidR="00062BFA">
        <w:rPr>
          <w:noProof/>
        </w:rPr>
        <w:t> </w:t>
      </w:r>
      <w:r w:rsidR="00062BFA" w:rsidRPr="004F6DAA">
        <w:rPr>
          <w:noProof/>
        </w:rPr>
        <w:t>udo</w:t>
      </w:r>
      <w:r w:rsidRPr="004F6DAA">
        <w:rPr>
          <w:noProof/>
        </w:rPr>
        <w:t>skonalonym wymogiem zachowania należytej staranności; 4) obowiązkowe oznakowanie połączone</w:t>
      </w:r>
      <w:r w:rsidR="00062BFA" w:rsidRPr="004F6DAA">
        <w:rPr>
          <w:noProof/>
        </w:rPr>
        <w:t xml:space="preserve"> z</w:t>
      </w:r>
      <w:r w:rsidR="00062BFA">
        <w:rPr>
          <w:noProof/>
        </w:rPr>
        <w:t> </w:t>
      </w:r>
      <w:r w:rsidR="00062BFA" w:rsidRPr="004F6DAA">
        <w:rPr>
          <w:noProof/>
        </w:rPr>
        <w:t>udo</w:t>
      </w:r>
      <w:r w:rsidRPr="004F6DAA">
        <w:rPr>
          <w:noProof/>
        </w:rPr>
        <w:t>skonalonym wymogiem zachowania należytej staranności; 5) wymóg wprowadzania do obrotu w UE produktów niepowodujących wylesiania, poparty systemem wskaźników</w:t>
      </w:r>
      <w:r w:rsidR="00062BFA" w:rsidRPr="004F6DAA">
        <w:rPr>
          <w:noProof/>
        </w:rPr>
        <w:t xml:space="preserve"> i</w:t>
      </w:r>
      <w:r w:rsidR="00062BFA">
        <w:rPr>
          <w:noProof/>
        </w:rPr>
        <w:t> </w:t>
      </w:r>
      <w:r w:rsidR="00062BFA" w:rsidRPr="004F6DAA">
        <w:rPr>
          <w:noProof/>
        </w:rPr>
        <w:t>sys</w:t>
      </w:r>
      <w:r w:rsidRPr="004F6DAA">
        <w:rPr>
          <w:noProof/>
        </w:rPr>
        <w:t>temem upomnień</w:t>
      </w:r>
      <w:r w:rsidR="00062BFA" w:rsidRPr="004F6DAA">
        <w:rPr>
          <w:noProof/>
        </w:rPr>
        <w:t xml:space="preserve"> i</w:t>
      </w:r>
      <w:r w:rsidR="00062BFA">
        <w:rPr>
          <w:noProof/>
        </w:rPr>
        <w:t> </w:t>
      </w:r>
      <w:r w:rsidR="00062BFA" w:rsidRPr="004F6DAA">
        <w:rPr>
          <w:noProof/>
        </w:rPr>
        <w:t>san</w:t>
      </w:r>
      <w:r w:rsidRPr="004F6DAA">
        <w:rPr>
          <w:noProof/>
        </w:rPr>
        <w:t>kcji dla krajów.</w:t>
      </w:r>
    </w:p>
    <w:p w14:paraId="24F54DDC" w14:textId="77777777" w:rsidR="00EF1DFE" w:rsidRPr="004F6DAA" w:rsidRDefault="00EF1DFE" w:rsidP="00EF1DFE">
      <w:pPr>
        <w:pBdr>
          <w:top w:val="nil"/>
          <w:left w:val="nil"/>
          <w:bottom w:val="nil"/>
          <w:right w:val="nil"/>
          <w:between w:val="nil"/>
          <w:bar w:val="nil"/>
        </w:pBdr>
        <w:spacing w:before="0" w:after="240"/>
        <w:rPr>
          <w:rFonts w:eastAsia="Times New Roman"/>
          <w:noProof/>
          <w:szCs w:val="20"/>
        </w:rPr>
      </w:pPr>
      <w:r w:rsidRPr="004F6DAA">
        <w:rPr>
          <w:noProof/>
        </w:rPr>
        <w:t>Wszystkie rozważane warianty strategiczne opierają się na wspólnych elementach: 1) definicji terminu „niepowodujący wylesiania”, opartej na definicji FAO,</w:t>
      </w:r>
      <w:r w:rsidR="00062BFA" w:rsidRPr="004F6DAA">
        <w:rPr>
          <w:noProof/>
        </w:rPr>
        <w:t xml:space="preserve"> z</w:t>
      </w:r>
      <w:r w:rsidR="00062BFA">
        <w:rPr>
          <w:noProof/>
        </w:rPr>
        <w:t> </w:t>
      </w:r>
      <w:r w:rsidR="00062BFA" w:rsidRPr="004F6DAA">
        <w:rPr>
          <w:noProof/>
        </w:rPr>
        <w:t>któ</w:t>
      </w:r>
      <w:r w:rsidRPr="004F6DAA">
        <w:rPr>
          <w:noProof/>
        </w:rPr>
        <w:t>rą produkty muszą być zgodne; oraz dodatkowym wymogu, aby produkty były legalne zgodnie</w:t>
      </w:r>
      <w:r w:rsidR="00062BFA" w:rsidRPr="004F6DAA">
        <w:rPr>
          <w:noProof/>
        </w:rPr>
        <w:t xml:space="preserve"> z</w:t>
      </w:r>
      <w:r w:rsidR="00062BFA">
        <w:rPr>
          <w:noProof/>
        </w:rPr>
        <w:t> </w:t>
      </w:r>
      <w:r w:rsidR="00062BFA" w:rsidRPr="004F6DAA">
        <w:rPr>
          <w:noProof/>
        </w:rPr>
        <w:t>pra</w:t>
      </w:r>
      <w:r w:rsidRPr="004F6DAA">
        <w:rPr>
          <w:noProof/>
        </w:rPr>
        <w:t>wem kraju produkcji; 2) zakresie produktów, który jest regularnie weryfikowany</w:t>
      </w:r>
      <w:r w:rsidR="00062BFA" w:rsidRPr="004F6DAA">
        <w:rPr>
          <w:noProof/>
        </w:rPr>
        <w:t xml:space="preserve"> i</w:t>
      </w:r>
      <w:r w:rsidR="00062BFA">
        <w:rPr>
          <w:noProof/>
        </w:rPr>
        <w:t> </w:t>
      </w:r>
      <w:r w:rsidR="00062BFA" w:rsidRPr="004F6DAA">
        <w:rPr>
          <w:noProof/>
        </w:rPr>
        <w:t>akt</w:t>
      </w:r>
      <w:r w:rsidRPr="004F6DAA">
        <w:rPr>
          <w:noProof/>
        </w:rPr>
        <w:t>ualizowany, koncentrującym się na towarach konsumowanych w UE, które</w:t>
      </w:r>
      <w:r w:rsidR="00062BFA" w:rsidRPr="004F6DAA">
        <w:rPr>
          <w:noProof/>
        </w:rPr>
        <w:t xml:space="preserve"> w</w:t>
      </w:r>
      <w:r w:rsidR="00062BFA">
        <w:rPr>
          <w:noProof/>
        </w:rPr>
        <w:t> </w:t>
      </w:r>
      <w:r w:rsidR="00062BFA" w:rsidRPr="004F6DAA">
        <w:rPr>
          <w:noProof/>
        </w:rPr>
        <w:t>naj</w:t>
      </w:r>
      <w:r w:rsidRPr="004F6DAA">
        <w:rPr>
          <w:noProof/>
        </w:rPr>
        <w:t>większym stopniu przyczyniają się do wylesiania (wołowina, olej palmowy, soja, drewno, kakao</w:t>
      </w:r>
      <w:r w:rsidR="00062BFA" w:rsidRPr="004F6DAA">
        <w:rPr>
          <w:noProof/>
        </w:rPr>
        <w:t xml:space="preserve"> i</w:t>
      </w:r>
      <w:r w:rsidR="00062BFA">
        <w:rPr>
          <w:noProof/>
        </w:rPr>
        <w:t> </w:t>
      </w:r>
      <w:r w:rsidR="00062BFA" w:rsidRPr="004F6DAA">
        <w:rPr>
          <w:noProof/>
        </w:rPr>
        <w:t>kaw</w:t>
      </w:r>
      <w:r w:rsidRPr="004F6DAA">
        <w:rPr>
          <w:noProof/>
        </w:rPr>
        <w:t>a),</w:t>
      </w:r>
      <w:r w:rsidR="00062BFA" w:rsidRPr="004F6DAA">
        <w:rPr>
          <w:noProof/>
        </w:rPr>
        <w:t xml:space="preserve"> i</w:t>
      </w:r>
      <w:r w:rsidR="00062BFA">
        <w:rPr>
          <w:noProof/>
        </w:rPr>
        <w:t> </w:t>
      </w:r>
      <w:r w:rsidR="00062BFA" w:rsidRPr="004F6DAA">
        <w:rPr>
          <w:noProof/>
        </w:rPr>
        <w:t>pro</w:t>
      </w:r>
      <w:r w:rsidRPr="004F6DAA">
        <w:rPr>
          <w:noProof/>
        </w:rPr>
        <w:t>duktach powiązanych; 3) zakazie wprowadzania do obrotu w UE towarów</w:t>
      </w:r>
      <w:r w:rsidR="00062BFA" w:rsidRPr="004F6DAA">
        <w:rPr>
          <w:noProof/>
        </w:rPr>
        <w:t xml:space="preserve"> i</w:t>
      </w:r>
      <w:r w:rsidR="00062BFA">
        <w:rPr>
          <w:noProof/>
        </w:rPr>
        <w:t> </w:t>
      </w:r>
      <w:r w:rsidR="00062BFA" w:rsidRPr="004F6DAA">
        <w:rPr>
          <w:noProof/>
        </w:rPr>
        <w:t>pro</w:t>
      </w:r>
      <w:r w:rsidRPr="004F6DAA">
        <w:rPr>
          <w:noProof/>
        </w:rPr>
        <w:t>duktów powodujących wylesianie</w:t>
      </w:r>
      <w:r w:rsidR="00062BFA" w:rsidRPr="004F6DAA">
        <w:rPr>
          <w:noProof/>
        </w:rPr>
        <w:t xml:space="preserve"> i</w:t>
      </w:r>
      <w:r w:rsidR="00062BFA">
        <w:rPr>
          <w:noProof/>
        </w:rPr>
        <w:t> </w:t>
      </w:r>
      <w:r w:rsidR="00062BFA" w:rsidRPr="004F6DAA">
        <w:rPr>
          <w:noProof/>
        </w:rPr>
        <w:t>deg</w:t>
      </w:r>
      <w:r w:rsidRPr="004F6DAA">
        <w:rPr>
          <w:noProof/>
        </w:rPr>
        <w:t>radację lasów, których nie wyprodukowano zgodnie</w:t>
      </w:r>
      <w:r w:rsidR="00062BFA" w:rsidRPr="004F6DAA">
        <w:rPr>
          <w:noProof/>
        </w:rPr>
        <w:t xml:space="preserve"> z</w:t>
      </w:r>
      <w:r w:rsidR="00062BFA">
        <w:rPr>
          <w:noProof/>
        </w:rPr>
        <w:t> </w:t>
      </w:r>
      <w:r w:rsidR="00062BFA" w:rsidRPr="004F6DAA">
        <w:rPr>
          <w:noProof/>
        </w:rPr>
        <w:t>maj</w:t>
      </w:r>
      <w:r w:rsidRPr="004F6DAA">
        <w:rPr>
          <w:noProof/>
        </w:rPr>
        <w:t>ącym zastosowanie</w:t>
      </w:r>
      <w:r w:rsidR="00062BFA" w:rsidRPr="004F6DAA">
        <w:rPr>
          <w:noProof/>
        </w:rPr>
        <w:t xml:space="preserve"> i</w:t>
      </w:r>
      <w:r w:rsidR="00062BFA">
        <w:rPr>
          <w:noProof/>
        </w:rPr>
        <w:t> </w:t>
      </w:r>
      <w:r w:rsidR="00062BFA" w:rsidRPr="004F6DAA">
        <w:rPr>
          <w:noProof/>
        </w:rPr>
        <w:t>odp</w:t>
      </w:r>
      <w:r w:rsidRPr="004F6DAA">
        <w:rPr>
          <w:noProof/>
        </w:rPr>
        <w:t>owiednim ustawodawstwem państw będących producentami. Warianty 2–4 są połączone</w:t>
      </w:r>
      <w:r w:rsidR="00062BFA" w:rsidRPr="004F6DAA">
        <w:rPr>
          <w:noProof/>
        </w:rPr>
        <w:t xml:space="preserve"> z</w:t>
      </w:r>
      <w:r w:rsidR="00062BFA">
        <w:rPr>
          <w:noProof/>
        </w:rPr>
        <w:t> </w:t>
      </w:r>
      <w:r w:rsidR="00062BFA" w:rsidRPr="004F6DAA">
        <w:rPr>
          <w:noProof/>
        </w:rPr>
        <w:t>obo</w:t>
      </w:r>
      <w:r w:rsidRPr="004F6DAA">
        <w:rPr>
          <w:noProof/>
        </w:rPr>
        <w:t>wiązkowym wymogiem zachowania należytej staranności, jak zaproponowano</w:t>
      </w:r>
      <w:r w:rsidR="00062BFA" w:rsidRPr="004F6DAA">
        <w:rPr>
          <w:noProof/>
        </w:rPr>
        <w:t xml:space="preserve"> w</w:t>
      </w:r>
      <w:r w:rsidR="00062BFA">
        <w:rPr>
          <w:noProof/>
        </w:rPr>
        <w:t> </w:t>
      </w:r>
      <w:r w:rsidR="00062BFA" w:rsidRPr="004F6DAA">
        <w:rPr>
          <w:noProof/>
        </w:rPr>
        <w:t>ram</w:t>
      </w:r>
      <w:r w:rsidRPr="004F6DAA">
        <w:rPr>
          <w:noProof/>
        </w:rPr>
        <w:t>ach wariantu 1.</w:t>
      </w:r>
    </w:p>
    <w:p w14:paraId="71B8C284" w14:textId="77777777" w:rsidR="00EF1DFE" w:rsidRPr="004F6DAA" w:rsidRDefault="00EF1DFE" w:rsidP="00EF1DFE">
      <w:pPr>
        <w:spacing w:before="0" w:after="240"/>
        <w:rPr>
          <w:rFonts w:eastAsia="Times New Roman"/>
          <w:noProof/>
          <w:szCs w:val="20"/>
        </w:rPr>
      </w:pPr>
      <w:r w:rsidRPr="004F6DAA">
        <w:rPr>
          <w:noProof/>
        </w:rPr>
        <w:t>Wariant 2 był wariantem preferowanym. Łączy on wymóg zachowania należytej staranności</w:t>
      </w:r>
      <w:r w:rsidR="00062BFA" w:rsidRPr="004F6DAA">
        <w:rPr>
          <w:noProof/>
        </w:rPr>
        <w:t xml:space="preserve"> z</w:t>
      </w:r>
      <w:r w:rsidR="00062BFA">
        <w:rPr>
          <w:noProof/>
        </w:rPr>
        <w:t> </w:t>
      </w:r>
      <w:r w:rsidR="00062BFA" w:rsidRPr="004F6DAA">
        <w:rPr>
          <w:noProof/>
        </w:rPr>
        <w:t>sys</w:t>
      </w:r>
      <w:r w:rsidRPr="004F6DAA">
        <w:rPr>
          <w:noProof/>
        </w:rPr>
        <w:t>temem wskaźników dla poszczególnych krajów,</w:t>
      </w:r>
      <w:r w:rsidR="00062BFA" w:rsidRPr="004F6DAA">
        <w:rPr>
          <w:noProof/>
        </w:rPr>
        <w:t xml:space="preserve"> w</w:t>
      </w:r>
      <w:r w:rsidR="00062BFA">
        <w:rPr>
          <w:noProof/>
        </w:rPr>
        <w:t> </w:t>
      </w:r>
      <w:r w:rsidR="00062BFA" w:rsidRPr="004F6DAA">
        <w:rPr>
          <w:noProof/>
        </w:rPr>
        <w:t>ram</w:t>
      </w:r>
      <w:r w:rsidRPr="004F6DAA">
        <w:rPr>
          <w:noProof/>
        </w:rPr>
        <w:t>ach którego państwa zostaną sklasyfikowane</w:t>
      </w:r>
      <w:r w:rsidR="00062BFA" w:rsidRPr="004F6DAA">
        <w:rPr>
          <w:noProof/>
        </w:rPr>
        <w:t xml:space="preserve"> z</w:t>
      </w:r>
      <w:r w:rsidR="00062BFA">
        <w:rPr>
          <w:noProof/>
        </w:rPr>
        <w:t> </w:t>
      </w:r>
      <w:r w:rsidR="00062BFA" w:rsidRPr="004F6DAA">
        <w:rPr>
          <w:noProof/>
        </w:rPr>
        <w:t>uwz</w:t>
      </w:r>
      <w:r w:rsidRPr="004F6DAA">
        <w:rPr>
          <w:noProof/>
        </w:rPr>
        <w:t>ględnieniem wylesiania</w:t>
      </w:r>
      <w:r w:rsidR="00062BFA" w:rsidRPr="004F6DAA">
        <w:rPr>
          <w:noProof/>
        </w:rPr>
        <w:t xml:space="preserve"> i</w:t>
      </w:r>
      <w:r w:rsidR="00062BFA">
        <w:rPr>
          <w:noProof/>
        </w:rPr>
        <w:t> </w:t>
      </w:r>
      <w:r w:rsidR="00062BFA" w:rsidRPr="004F6DAA">
        <w:rPr>
          <w:noProof/>
        </w:rPr>
        <w:t>deg</w:t>
      </w:r>
      <w:r w:rsidRPr="004F6DAA">
        <w:rPr>
          <w:noProof/>
        </w:rPr>
        <w:t>radacji lasów powodowanych przez odnośne towary oraz kryteriów związanych</w:t>
      </w:r>
      <w:r w:rsidR="00062BFA" w:rsidRPr="004F6DAA">
        <w:rPr>
          <w:noProof/>
        </w:rPr>
        <w:t xml:space="preserve"> z</w:t>
      </w:r>
      <w:r w:rsidR="00062BFA">
        <w:rPr>
          <w:noProof/>
        </w:rPr>
        <w:t> </w:t>
      </w:r>
      <w:r w:rsidR="00062BFA" w:rsidRPr="004F6DAA">
        <w:rPr>
          <w:noProof/>
        </w:rPr>
        <w:t>zaa</w:t>
      </w:r>
      <w:r w:rsidRPr="004F6DAA">
        <w:rPr>
          <w:noProof/>
        </w:rPr>
        <w:t>ngażowaniem tych państw</w:t>
      </w:r>
      <w:r w:rsidR="00062BFA" w:rsidRPr="004F6DAA">
        <w:rPr>
          <w:noProof/>
        </w:rPr>
        <w:t xml:space="preserve"> w</w:t>
      </w:r>
      <w:r w:rsidR="00062BFA">
        <w:rPr>
          <w:noProof/>
        </w:rPr>
        <w:t> </w:t>
      </w:r>
      <w:r w:rsidR="00062BFA" w:rsidRPr="004F6DAA">
        <w:rPr>
          <w:noProof/>
        </w:rPr>
        <w:t>prz</w:t>
      </w:r>
      <w:r w:rsidRPr="004F6DAA">
        <w:rPr>
          <w:noProof/>
        </w:rPr>
        <w:t>eciwdziałanie wylesianiu</w:t>
      </w:r>
      <w:r w:rsidR="00062BFA" w:rsidRPr="004F6DAA">
        <w:rPr>
          <w:noProof/>
        </w:rPr>
        <w:t xml:space="preserve"> i</w:t>
      </w:r>
      <w:r w:rsidR="00062BFA">
        <w:rPr>
          <w:noProof/>
        </w:rPr>
        <w:t> </w:t>
      </w:r>
      <w:r w:rsidR="00062BFA" w:rsidRPr="004F6DAA">
        <w:rPr>
          <w:noProof/>
        </w:rPr>
        <w:t>deg</w:t>
      </w:r>
      <w:r w:rsidRPr="004F6DAA">
        <w:rPr>
          <w:noProof/>
        </w:rPr>
        <w:t>radacji lasów. Będą istniały trzy kategorie państw – obarczone niskim, standardowym</w:t>
      </w:r>
      <w:r w:rsidR="00062BFA" w:rsidRPr="004F6DAA">
        <w:rPr>
          <w:noProof/>
        </w:rPr>
        <w:t xml:space="preserve"> i</w:t>
      </w:r>
      <w:r w:rsidR="00062BFA">
        <w:rPr>
          <w:noProof/>
        </w:rPr>
        <w:t> </w:t>
      </w:r>
      <w:r w:rsidR="00062BFA" w:rsidRPr="004F6DAA">
        <w:rPr>
          <w:noProof/>
        </w:rPr>
        <w:t>wys</w:t>
      </w:r>
      <w:r w:rsidRPr="004F6DAA">
        <w:rPr>
          <w:noProof/>
        </w:rPr>
        <w:t>okim ryzykiem. Obowiązki podmiotów</w:t>
      </w:r>
      <w:r w:rsidR="00062BFA" w:rsidRPr="004F6DAA">
        <w:rPr>
          <w:noProof/>
        </w:rPr>
        <w:t xml:space="preserve"> i</w:t>
      </w:r>
      <w:r w:rsidR="00062BFA">
        <w:rPr>
          <w:noProof/>
        </w:rPr>
        <w:t> </w:t>
      </w:r>
      <w:r w:rsidR="00062BFA" w:rsidRPr="004F6DAA">
        <w:rPr>
          <w:noProof/>
        </w:rPr>
        <w:t>org</w:t>
      </w:r>
      <w:r w:rsidRPr="004F6DAA">
        <w:rPr>
          <w:noProof/>
        </w:rPr>
        <w:t>anów państw członkowskich zostaną zróżnicowane</w:t>
      </w:r>
      <w:r w:rsidR="00062BFA" w:rsidRPr="004F6DAA">
        <w:rPr>
          <w:noProof/>
        </w:rPr>
        <w:t xml:space="preserve"> w</w:t>
      </w:r>
      <w:r w:rsidR="00062BFA">
        <w:rPr>
          <w:noProof/>
        </w:rPr>
        <w:t> </w:t>
      </w:r>
      <w:r w:rsidR="00062BFA" w:rsidRPr="004F6DAA">
        <w:rPr>
          <w:noProof/>
        </w:rPr>
        <w:t>zal</w:t>
      </w:r>
      <w:r w:rsidRPr="004F6DAA">
        <w:rPr>
          <w:noProof/>
        </w:rPr>
        <w:t>eżności od poziomu ryzyka, jakie stwarza kraj produkcji, przy czym</w:t>
      </w:r>
      <w:r w:rsidR="00062BFA" w:rsidRPr="004F6DAA">
        <w:rPr>
          <w:noProof/>
        </w:rPr>
        <w:t xml:space="preserve"> w</w:t>
      </w:r>
      <w:r w:rsidR="00062BFA">
        <w:rPr>
          <w:noProof/>
        </w:rPr>
        <w:t> </w:t>
      </w:r>
      <w:r w:rsidR="00062BFA" w:rsidRPr="004F6DAA">
        <w:rPr>
          <w:noProof/>
        </w:rPr>
        <w:t>prz</w:t>
      </w:r>
      <w:r w:rsidRPr="004F6DAA">
        <w:rPr>
          <w:noProof/>
        </w:rPr>
        <w:t>ypadku państw niskiego ryzyka nałożone zostaną obowiązki</w:t>
      </w:r>
      <w:r w:rsidR="00062BFA" w:rsidRPr="004F6DAA">
        <w:rPr>
          <w:noProof/>
        </w:rPr>
        <w:t xml:space="preserve"> w</w:t>
      </w:r>
      <w:r w:rsidR="00062BFA">
        <w:rPr>
          <w:noProof/>
        </w:rPr>
        <w:t> </w:t>
      </w:r>
      <w:r w:rsidR="00062BFA" w:rsidRPr="004F6DAA">
        <w:rPr>
          <w:noProof/>
        </w:rPr>
        <w:t>zak</w:t>
      </w:r>
      <w:r w:rsidRPr="004F6DAA">
        <w:rPr>
          <w:noProof/>
        </w:rPr>
        <w:t>resie uproszczonej należytej staranności,</w:t>
      </w:r>
      <w:r w:rsidR="00062BFA" w:rsidRPr="004F6DAA">
        <w:rPr>
          <w:noProof/>
        </w:rPr>
        <w:t xml:space="preserve"> a</w:t>
      </w:r>
      <w:r w:rsidR="00062BFA">
        <w:rPr>
          <w:noProof/>
        </w:rPr>
        <w:t> </w:t>
      </w:r>
      <w:r w:rsidR="00062BFA" w:rsidRPr="004F6DAA">
        <w:rPr>
          <w:noProof/>
        </w:rPr>
        <w:t>w</w:t>
      </w:r>
      <w:r w:rsidR="00062BFA">
        <w:rPr>
          <w:noProof/>
        </w:rPr>
        <w:t> </w:t>
      </w:r>
      <w:r w:rsidR="00062BFA" w:rsidRPr="004F6DAA">
        <w:rPr>
          <w:noProof/>
        </w:rPr>
        <w:t>prz</w:t>
      </w:r>
      <w:r w:rsidRPr="004F6DAA">
        <w:rPr>
          <w:noProof/>
        </w:rPr>
        <w:t xml:space="preserve">ypadku państw wysokiego ryzyka wprowadzona zostanie wzmocniona kontrola. </w:t>
      </w:r>
    </w:p>
    <w:p w14:paraId="580B3ABD" w14:textId="77777777" w:rsidR="00EF1DFE" w:rsidRPr="004F6DAA" w:rsidRDefault="00EF1DFE" w:rsidP="00EF1DFE">
      <w:pPr>
        <w:spacing w:before="0" w:after="240"/>
        <w:rPr>
          <w:rFonts w:eastAsia="Times New Roman"/>
          <w:noProof/>
          <w:szCs w:val="20"/>
        </w:rPr>
      </w:pPr>
      <w:r w:rsidRPr="004F6DAA">
        <w:rPr>
          <w:noProof/>
        </w:rPr>
        <w:t>Oczekuje się, że preferowany wariant zapobiegłby wylesianiu powodowanemu przez konsumpcję</w:t>
      </w:r>
      <w:r w:rsidR="00062BFA" w:rsidRPr="004F6DAA">
        <w:rPr>
          <w:noProof/>
        </w:rPr>
        <w:t xml:space="preserve"> i</w:t>
      </w:r>
      <w:r w:rsidR="00062BFA">
        <w:rPr>
          <w:noProof/>
        </w:rPr>
        <w:t> </w:t>
      </w:r>
      <w:r w:rsidR="00062BFA" w:rsidRPr="004F6DAA">
        <w:rPr>
          <w:noProof/>
        </w:rPr>
        <w:t>pro</w:t>
      </w:r>
      <w:r w:rsidRPr="004F6DAA">
        <w:rPr>
          <w:noProof/>
        </w:rPr>
        <w:t>dukcję w UE sześciu towarów objętych zakresem jego stosowania, co przyniosłoby przewidywane korzyści</w:t>
      </w:r>
      <w:r w:rsidR="00062BFA" w:rsidRPr="004F6DAA">
        <w:rPr>
          <w:noProof/>
        </w:rPr>
        <w:t xml:space="preserve"> w</w:t>
      </w:r>
      <w:r w:rsidR="00062BFA">
        <w:rPr>
          <w:noProof/>
        </w:rPr>
        <w:t> </w:t>
      </w:r>
      <w:r w:rsidR="00062BFA" w:rsidRPr="004F6DAA">
        <w:rPr>
          <w:noProof/>
        </w:rPr>
        <w:t>pos</w:t>
      </w:r>
      <w:r w:rsidRPr="004F6DAA">
        <w:rPr>
          <w:noProof/>
        </w:rPr>
        <w:t>taci mniejszego narażenia na procesy wylesiania</w:t>
      </w:r>
      <w:r w:rsidR="00062BFA" w:rsidRPr="004F6DAA">
        <w:rPr>
          <w:noProof/>
        </w:rPr>
        <w:t xml:space="preserve"> i</w:t>
      </w:r>
      <w:r w:rsidR="00062BFA">
        <w:rPr>
          <w:noProof/>
        </w:rPr>
        <w:t> </w:t>
      </w:r>
      <w:r w:rsidR="00062BFA" w:rsidRPr="004F6DAA">
        <w:rPr>
          <w:noProof/>
        </w:rPr>
        <w:t>deg</w:t>
      </w:r>
      <w:r w:rsidRPr="004F6DAA">
        <w:rPr>
          <w:noProof/>
        </w:rPr>
        <w:t xml:space="preserve">radacji lasów powodowane przez UE obszaru znacznie przekraczającego – rocznie, </w:t>
      </w:r>
      <w:r w:rsidRPr="00062BFA">
        <w:rPr>
          <w:noProof/>
        </w:rPr>
        <w:t>do</w:t>
      </w:r>
      <w:r w:rsidR="00062BFA" w:rsidRPr="00062BFA">
        <w:rPr>
          <w:noProof/>
        </w:rPr>
        <w:t> </w:t>
      </w:r>
      <w:r w:rsidRPr="00062BFA">
        <w:rPr>
          <w:noProof/>
        </w:rPr>
        <w:t>2</w:t>
      </w:r>
      <w:r w:rsidRPr="004F6DAA">
        <w:rPr>
          <w:noProof/>
        </w:rPr>
        <w:t>0</w:t>
      </w:r>
      <w:r w:rsidRPr="00062BFA">
        <w:rPr>
          <w:noProof/>
        </w:rPr>
        <w:t>30</w:t>
      </w:r>
      <w:r w:rsidR="00062BFA" w:rsidRPr="00062BFA">
        <w:rPr>
          <w:noProof/>
        </w:rPr>
        <w:t> </w:t>
      </w:r>
      <w:r w:rsidRPr="00062BFA">
        <w:rPr>
          <w:noProof/>
        </w:rPr>
        <w:t>r.</w:t>
      </w:r>
      <w:r w:rsidRPr="004F6DAA">
        <w:rPr>
          <w:noProof/>
        </w:rPr>
        <w:t xml:space="preserve"> – 71 920 hektarów lasów. Oznaczałoby to również ograniczenie o co najmniej 31,9 mln ton metrycznych emisji dwutlenku węgla do atmosfery każdego roku</w:t>
      </w:r>
      <w:r w:rsidR="00062BFA" w:rsidRPr="004F6DAA">
        <w:rPr>
          <w:noProof/>
        </w:rPr>
        <w:t xml:space="preserve">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kon</w:t>
      </w:r>
      <w:r w:rsidRPr="004F6DAA">
        <w:rPr>
          <w:noProof/>
        </w:rPr>
        <w:t>sumpcją</w:t>
      </w:r>
      <w:r w:rsidR="00062BFA" w:rsidRPr="004F6DAA">
        <w:rPr>
          <w:noProof/>
        </w:rPr>
        <w:t xml:space="preserve"> i</w:t>
      </w:r>
      <w:r w:rsidR="00062BFA">
        <w:rPr>
          <w:noProof/>
        </w:rPr>
        <w:t> </w:t>
      </w:r>
      <w:r w:rsidR="00062BFA" w:rsidRPr="004F6DAA">
        <w:rPr>
          <w:noProof/>
        </w:rPr>
        <w:t>pro</w:t>
      </w:r>
      <w:r w:rsidRPr="004F6DAA">
        <w:rPr>
          <w:noProof/>
        </w:rPr>
        <w:t>dukcją odnośnych towarów w UE, co przekłada się na potencjalne oszczędności gospodarcze</w:t>
      </w:r>
      <w:r w:rsidR="00062BFA" w:rsidRPr="004F6DAA">
        <w:rPr>
          <w:noProof/>
        </w:rPr>
        <w:t xml:space="preserve"> w</w:t>
      </w:r>
      <w:r w:rsidR="00062BFA">
        <w:rPr>
          <w:noProof/>
        </w:rPr>
        <w:t> </w:t>
      </w:r>
      <w:r w:rsidR="00062BFA" w:rsidRPr="004F6DAA">
        <w:rPr>
          <w:noProof/>
        </w:rPr>
        <w:t>wys</w:t>
      </w:r>
      <w:r w:rsidRPr="004F6DAA">
        <w:rPr>
          <w:noProof/>
        </w:rPr>
        <w:t>okości co najmniej 3,2 mld EUR rocznie. Ponadto oczekuje się, że wariant ten zdecydowanie przyczyni się do ochrony bioróżnorodności, która</w:t>
      </w:r>
      <w:r w:rsidR="00062BFA" w:rsidRPr="004F6DAA">
        <w:rPr>
          <w:noProof/>
        </w:rPr>
        <w:t xml:space="preserve"> z</w:t>
      </w:r>
      <w:r w:rsidR="00062BFA">
        <w:rPr>
          <w:noProof/>
        </w:rPr>
        <w:t> </w:t>
      </w:r>
      <w:r w:rsidR="00062BFA" w:rsidRPr="004F6DAA">
        <w:rPr>
          <w:noProof/>
        </w:rPr>
        <w:t>kol</w:t>
      </w:r>
      <w:r w:rsidRPr="004F6DAA">
        <w:rPr>
          <w:noProof/>
        </w:rPr>
        <w:t>ei jest również silnie związana</w:t>
      </w:r>
      <w:r w:rsidR="00062BFA" w:rsidRPr="004F6DAA">
        <w:rPr>
          <w:noProof/>
        </w:rPr>
        <w:t xml:space="preserve"> z</w:t>
      </w:r>
      <w:r w:rsidR="00062BFA">
        <w:rPr>
          <w:noProof/>
        </w:rPr>
        <w:t> </w:t>
      </w:r>
      <w:r w:rsidR="00062BFA" w:rsidRPr="004F6DAA">
        <w:rPr>
          <w:noProof/>
        </w:rPr>
        <w:t>zap</w:t>
      </w:r>
      <w:r w:rsidRPr="004F6DAA">
        <w:rPr>
          <w:noProof/>
        </w:rPr>
        <w:t>obieganiem zmianie klimatu.</w:t>
      </w:r>
    </w:p>
    <w:p w14:paraId="41D93702" w14:textId="77777777" w:rsidR="00EF1DFE" w:rsidRPr="004F6DAA" w:rsidRDefault="00EF1DFE" w:rsidP="00EF1DFE">
      <w:pPr>
        <w:pBdr>
          <w:top w:val="nil"/>
          <w:left w:val="nil"/>
          <w:bottom w:val="nil"/>
          <w:right w:val="nil"/>
          <w:between w:val="nil"/>
          <w:bar w:val="nil"/>
        </w:pBdr>
        <w:spacing w:before="0" w:after="240"/>
        <w:rPr>
          <w:rFonts w:eastAsia="Times New Roman"/>
          <w:noProof/>
          <w:szCs w:val="20"/>
        </w:rPr>
      </w:pPr>
      <w:r w:rsidRPr="004F6DAA">
        <w:rPr>
          <w:noProof/>
        </w:rPr>
        <w:t>Wariant ten powinien również przyczynić się do osiągnięcia szczegółowych celów interwencji UE,</w:t>
      </w:r>
      <w:r w:rsidR="00062BFA" w:rsidRPr="004F6DAA">
        <w:rPr>
          <w:noProof/>
        </w:rPr>
        <w:t xml:space="preserve"> a</w:t>
      </w:r>
      <w:r w:rsidR="00062BFA">
        <w:rPr>
          <w:noProof/>
        </w:rPr>
        <w:t> </w:t>
      </w:r>
      <w:r w:rsidR="00062BFA" w:rsidRPr="004F6DAA">
        <w:rPr>
          <w:noProof/>
        </w:rPr>
        <w:t>mia</w:t>
      </w:r>
      <w:r w:rsidRPr="004F6DAA">
        <w:rPr>
          <w:noProof/>
        </w:rPr>
        <w:t>nowicie stworzenia równych szans dla przedsiębiorstw działających na rynku UE; zmniejszenia do minimum konsumpcji produktów</w:t>
      </w:r>
      <w:r w:rsidR="00062BFA" w:rsidRPr="004F6DAA">
        <w:rPr>
          <w:noProof/>
        </w:rPr>
        <w:t xml:space="preserve"> z</w:t>
      </w:r>
      <w:r w:rsidR="00062BFA">
        <w:rPr>
          <w:noProof/>
        </w:rPr>
        <w:t> </w:t>
      </w:r>
      <w:r w:rsidR="00062BFA" w:rsidRPr="004F6DAA">
        <w:rPr>
          <w:noProof/>
        </w:rPr>
        <w:t>łań</w:t>
      </w:r>
      <w:r w:rsidRPr="004F6DAA">
        <w:rPr>
          <w:noProof/>
        </w:rPr>
        <w:t>cuchów dostaw,</w:t>
      </w:r>
      <w:r w:rsidR="00062BFA" w:rsidRPr="004F6DAA">
        <w:rPr>
          <w:noProof/>
        </w:rPr>
        <w:t xml:space="preserve"> z</w:t>
      </w:r>
      <w:r w:rsidR="00062BFA">
        <w:rPr>
          <w:noProof/>
        </w:rPr>
        <w:t> </w:t>
      </w:r>
      <w:r w:rsidR="00062BFA" w:rsidRPr="004F6DAA">
        <w:rPr>
          <w:noProof/>
        </w:rPr>
        <w:t>któ</w:t>
      </w:r>
      <w:r w:rsidRPr="004F6DAA">
        <w:rPr>
          <w:noProof/>
        </w:rPr>
        <w:t>rymi wiążą się wylesianie lub degradacja lasów; oraz do zwiększenia popytu w UE na legalne i „niepowodujące wylesiania” towary</w:t>
      </w:r>
      <w:r w:rsidR="00062BFA" w:rsidRPr="004F6DAA">
        <w:rPr>
          <w:noProof/>
        </w:rPr>
        <w:t xml:space="preserve"> i</w:t>
      </w:r>
      <w:r w:rsidR="00062BFA">
        <w:rPr>
          <w:noProof/>
        </w:rPr>
        <w:t> </w:t>
      </w:r>
      <w:r w:rsidR="00062BFA" w:rsidRPr="004F6DAA">
        <w:rPr>
          <w:noProof/>
        </w:rPr>
        <w:t>pro</w:t>
      </w:r>
      <w:r w:rsidRPr="004F6DAA">
        <w:rPr>
          <w:noProof/>
        </w:rPr>
        <w:t>dukty,</w:t>
      </w:r>
      <w:r w:rsidR="00062BFA" w:rsidRPr="004F6DAA">
        <w:rPr>
          <w:noProof/>
        </w:rPr>
        <w:t xml:space="preserve"> a</w:t>
      </w:r>
      <w:r w:rsidR="00062BFA">
        <w:rPr>
          <w:noProof/>
        </w:rPr>
        <w:t> </w:t>
      </w:r>
      <w:r w:rsidR="00062BFA" w:rsidRPr="004F6DAA">
        <w:rPr>
          <w:noProof/>
        </w:rPr>
        <w:t>tak</w:t>
      </w:r>
      <w:r w:rsidRPr="004F6DAA">
        <w:rPr>
          <w:noProof/>
        </w:rPr>
        <w:t>że do rozwoju handlu nimi. Drobni producenci rolni wytwarzający odnośne towary mogą stanąć</w:t>
      </w:r>
      <w:r w:rsidR="00062BFA" w:rsidRPr="004F6DAA">
        <w:rPr>
          <w:noProof/>
        </w:rPr>
        <w:t xml:space="preserve"> w</w:t>
      </w:r>
      <w:r w:rsidR="00062BFA">
        <w:rPr>
          <w:noProof/>
        </w:rPr>
        <w:t> </w:t>
      </w:r>
      <w:r w:rsidR="00062BFA" w:rsidRPr="004F6DAA">
        <w:rPr>
          <w:noProof/>
        </w:rPr>
        <w:t>obl</w:t>
      </w:r>
      <w:r w:rsidRPr="004F6DAA">
        <w:rPr>
          <w:noProof/>
        </w:rPr>
        <w:t>iczu wyzwań związanych</w:t>
      </w:r>
      <w:r w:rsidR="00062BFA" w:rsidRPr="004F6DAA">
        <w:rPr>
          <w:noProof/>
        </w:rPr>
        <w:t xml:space="preserve"> z</w:t>
      </w:r>
      <w:r w:rsidR="00062BFA">
        <w:rPr>
          <w:noProof/>
        </w:rPr>
        <w:t> </w:t>
      </w:r>
      <w:r w:rsidR="00062BFA" w:rsidRPr="004F6DAA">
        <w:rPr>
          <w:noProof/>
        </w:rPr>
        <w:t>dos</w:t>
      </w:r>
      <w:r w:rsidRPr="004F6DAA">
        <w:rPr>
          <w:noProof/>
        </w:rPr>
        <w:t>tosowaniem. Oczekuje się, że dzięki zaproponowanej dacie granicznej, za którą przyjęto 20</w:t>
      </w:r>
      <w:r w:rsidRPr="00062BFA">
        <w:rPr>
          <w:noProof/>
        </w:rPr>
        <w:t>20</w:t>
      </w:r>
      <w:r w:rsidR="00062BFA" w:rsidRPr="00062BFA">
        <w:rPr>
          <w:noProof/>
        </w:rPr>
        <w:t> </w:t>
      </w:r>
      <w:r w:rsidRPr="00062BFA">
        <w:rPr>
          <w:noProof/>
        </w:rPr>
        <w:t>r.</w:t>
      </w:r>
      <w:r w:rsidRPr="004F6DAA">
        <w:rPr>
          <w:noProof/>
        </w:rPr>
        <w:t>, wszystkie te czynniki zostaną złagodzone, ponieważ większość produktów będących obecnie</w:t>
      </w:r>
      <w:r w:rsidR="00062BFA" w:rsidRPr="004F6DAA">
        <w:rPr>
          <w:noProof/>
        </w:rPr>
        <w:t xml:space="preserve"> w</w:t>
      </w:r>
      <w:r w:rsidR="00062BFA">
        <w:rPr>
          <w:noProof/>
        </w:rPr>
        <w:t> </w:t>
      </w:r>
      <w:r w:rsidR="00062BFA" w:rsidRPr="004F6DAA">
        <w:rPr>
          <w:noProof/>
        </w:rPr>
        <w:t>obr</w:t>
      </w:r>
      <w:r w:rsidRPr="004F6DAA">
        <w:rPr>
          <w:noProof/>
        </w:rPr>
        <w:t>ocie handlowym będzie pochodzić</w:t>
      </w:r>
      <w:r w:rsidR="00062BFA" w:rsidRPr="004F6DAA">
        <w:rPr>
          <w:noProof/>
        </w:rPr>
        <w:t xml:space="preserve"> z</w:t>
      </w:r>
      <w:r w:rsidR="00062BFA">
        <w:rPr>
          <w:noProof/>
        </w:rPr>
        <w:t> </w:t>
      </w:r>
      <w:r w:rsidR="00062BFA" w:rsidRPr="004F6DAA">
        <w:rPr>
          <w:noProof/>
        </w:rPr>
        <w:t>gru</w:t>
      </w:r>
      <w:r w:rsidRPr="004F6DAA">
        <w:rPr>
          <w:noProof/>
        </w:rPr>
        <w:t>ntów, na których produkcję rozpoczęto przed 20</w:t>
      </w:r>
      <w:r w:rsidRPr="00062BFA">
        <w:rPr>
          <w:noProof/>
        </w:rPr>
        <w:t>20</w:t>
      </w:r>
      <w:r w:rsidR="00062BFA" w:rsidRPr="00062BFA">
        <w:rPr>
          <w:noProof/>
        </w:rPr>
        <w:t> </w:t>
      </w:r>
      <w:r w:rsidRPr="00062BFA">
        <w:rPr>
          <w:noProof/>
        </w:rPr>
        <w:t>r.</w:t>
      </w:r>
    </w:p>
    <w:p w14:paraId="4520131B" w14:textId="77777777" w:rsidR="001C3FCC" w:rsidRPr="004F6DAA" w:rsidRDefault="001C3FCC" w:rsidP="009A3168">
      <w:pPr>
        <w:pStyle w:val="ManualHeading2"/>
        <w:rPr>
          <w:rFonts w:eastAsia="Arial Unicode MS"/>
          <w:noProof/>
          <w:u w:color="000000"/>
          <w:bdr w:val="nil"/>
        </w:rPr>
      </w:pPr>
      <w:r w:rsidRPr="004F6DAA">
        <w:rPr>
          <w:noProof/>
          <w:u w:color="000000"/>
          <w:bdr w:val="nil"/>
        </w:rPr>
        <w:t>•</w:t>
      </w:r>
      <w:r w:rsidRPr="004F6DAA">
        <w:rPr>
          <w:noProof/>
        </w:rPr>
        <w:tab/>
      </w:r>
      <w:r w:rsidRPr="004F6DAA">
        <w:rPr>
          <w:noProof/>
          <w:u w:color="000000"/>
          <w:bdr w:val="nil"/>
        </w:rPr>
        <w:t>Sprawność regulacyjna</w:t>
      </w:r>
      <w:r w:rsidR="00062BFA" w:rsidRPr="004F6DAA">
        <w:rPr>
          <w:noProof/>
          <w:u w:color="000000"/>
          <w:bdr w:val="nil"/>
        </w:rPr>
        <w:t xml:space="preserve"> i</w:t>
      </w:r>
      <w:r w:rsidR="00062BFA">
        <w:rPr>
          <w:noProof/>
          <w:u w:color="000000"/>
          <w:bdr w:val="nil"/>
        </w:rPr>
        <w:t> </w:t>
      </w:r>
      <w:r w:rsidR="00062BFA" w:rsidRPr="004F6DAA">
        <w:rPr>
          <w:noProof/>
          <w:u w:color="000000"/>
          <w:bdr w:val="nil"/>
        </w:rPr>
        <w:t>upr</w:t>
      </w:r>
      <w:r w:rsidRPr="004F6DAA">
        <w:rPr>
          <w:noProof/>
          <w:u w:color="000000"/>
          <w:bdr w:val="nil"/>
        </w:rPr>
        <w:t>oszczenie</w:t>
      </w:r>
    </w:p>
    <w:p w14:paraId="7A89C24E" w14:textId="77777777" w:rsidR="00943B9A" w:rsidRPr="004F6DAA" w:rsidRDefault="00943B9A" w:rsidP="00943B9A">
      <w:pPr>
        <w:pBdr>
          <w:top w:val="nil"/>
          <w:left w:val="nil"/>
          <w:bottom w:val="nil"/>
          <w:right w:val="nil"/>
          <w:between w:val="nil"/>
          <w:bar w:val="nil"/>
        </w:pBdr>
        <w:spacing w:before="0" w:after="240"/>
        <w:rPr>
          <w:rFonts w:eastAsia="Arial Unicode MS"/>
          <w:noProof/>
        </w:rPr>
      </w:pPr>
      <w:r w:rsidRPr="004F6DAA">
        <w:rPr>
          <w:noProof/>
        </w:rPr>
        <w:t>Oczekuje się, że niniejsze rozporządzenie stworzy równe szanse dla przedsiębiorstw działających na rynku UE. Oczekuje się, że producenci wdrażający bardziej zrównoważoną produkcję</w:t>
      </w:r>
      <w:r w:rsidR="00062BFA" w:rsidRPr="004F6DAA">
        <w:rPr>
          <w:noProof/>
        </w:rPr>
        <w:t xml:space="preserve"> i</w:t>
      </w:r>
      <w:r w:rsidR="00062BFA">
        <w:rPr>
          <w:noProof/>
        </w:rPr>
        <w:t> </w:t>
      </w:r>
      <w:r w:rsidR="00062BFA" w:rsidRPr="004F6DAA">
        <w:rPr>
          <w:noProof/>
        </w:rPr>
        <w:t>prz</w:t>
      </w:r>
      <w:r w:rsidRPr="004F6DAA">
        <w:rPr>
          <w:noProof/>
        </w:rPr>
        <w:t>ejrzystsze łańcuchy dostaw zdobędą udział</w:t>
      </w:r>
      <w:r w:rsidR="00062BFA" w:rsidRPr="004F6DAA">
        <w:rPr>
          <w:noProof/>
        </w:rPr>
        <w:t xml:space="preserve"> w</w:t>
      </w:r>
      <w:r w:rsidR="00062BFA">
        <w:rPr>
          <w:noProof/>
        </w:rPr>
        <w:t> </w:t>
      </w:r>
      <w:r w:rsidR="00062BFA" w:rsidRPr="004F6DAA">
        <w:rPr>
          <w:noProof/>
        </w:rPr>
        <w:t>ryn</w:t>
      </w:r>
      <w:r w:rsidRPr="004F6DAA">
        <w:rPr>
          <w:noProof/>
        </w:rPr>
        <w:t>ku UE</w:t>
      </w:r>
      <w:r w:rsidR="00062BFA" w:rsidRPr="004F6DAA">
        <w:rPr>
          <w:noProof/>
        </w:rPr>
        <w:t xml:space="preserve"> i</w:t>
      </w:r>
      <w:r w:rsidR="00062BFA">
        <w:rPr>
          <w:noProof/>
        </w:rPr>
        <w:t> </w:t>
      </w:r>
      <w:r w:rsidR="00062BFA" w:rsidRPr="004F6DAA">
        <w:rPr>
          <w:noProof/>
        </w:rPr>
        <w:t>zwi</w:t>
      </w:r>
      <w:r w:rsidRPr="004F6DAA">
        <w:rPr>
          <w:noProof/>
        </w:rPr>
        <w:t>ększą swoją konkurencyjność</w:t>
      </w:r>
      <w:r w:rsidR="00062BFA" w:rsidRPr="004F6DAA">
        <w:rPr>
          <w:noProof/>
        </w:rPr>
        <w:t xml:space="preserve"> w</w:t>
      </w:r>
      <w:r w:rsidR="00062BFA">
        <w:rPr>
          <w:noProof/>
        </w:rPr>
        <w:t> </w:t>
      </w:r>
      <w:r w:rsidR="00062BFA" w:rsidRPr="004F6DAA">
        <w:rPr>
          <w:noProof/>
        </w:rPr>
        <w:t>por</w:t>
      </w:r>
      <w:r w:rsidRPr="004F6DAA">
        <w:rPr>
          <w:noProof/>
        </w:rPr>
        <w:t>ównaniu</w:t>
      </w:r>
      <w:r w:rsidR="00062BFA" w:rsidRPr="004F6DAA">
        <w:rPr>
          <w:noProof/>
        </w:rPr>
        <w:t xml:space="preserve"> z</w:t>
      </w:r>
      <w:r w:rsidR="00062BFA">
        <w:rPr>
          <w:noProof/>
        </w:rPr>
        <w:t> </w:t>
      </w:r>
      <w:r w:rsidR="00062BFA" w:rsidRPr="004F6DAA">
        <w:rPr>
          <w:noProof/>
        </w:rPr>
        <w:t>pro</w:t>
      </w:r>
      <w:r w:rsidRPr="004F6DAA">
        <w:rPr>
          <w:noProof/>
        </w:rPr>
        <w:t>ducentami powodującymi wylesianie, niezależnie od ich wielkości. Głównym czynnikiem wpływającym na koszty związane</w:t>
      </w:r>
      <w:r w:rsidR="00062BFA" w:rsidRPr="004F6DAA">
        <w:rPr>
          <w:noProof/>
        </w:rPr>
        <w:t xml:space="preserve"> z</w:t>
      </w:r>
      <w:r w:rsidR="00062BFA">
        <w:rPr>
          <w:noProof/>
        </w:rPr>
        <w:t> </w:t>
      </w:r>
      <w:r w:rsidR="00062BFA" w:rsidRPr="004F6DAA">
        <w:rPr>
          <w:noProof/>
        </w:rPr>
        <w:t>obo</w:t>
      </w:r>
      <w:r w:rsidRPr="004F6DAA">
        <w:rPr>
          <w:noProof/>
        </w:rPr>
        <w:t>wiązkiem należytej staranności jest złożoność łańcuchów dostaw</w:t>
      </w:r>
      <w:r w:rsidR="00062BFA" w:rsidRPr="004F6DAA">
        <w:rPr>
          <w:noProof/>
        </w:rPr>
        <w:t xml:space="preserve"> i</w:t>
      </w:r>
      <w:r w:rsidR="00062BFA">
        <w:rPr>
          <w:noProof/>
        </w:rPr>
        <w:t> </w:t>
      </w:r>
      <w:r w:rsidR="00062BFA" w:rsidRPr="004F6DAA">
        <w:rPr>
          <w:noProof/>
        </w:rPr>
        <w:t>ryz</w:t>
      </w:r>
      <w:r w:rsidRPr="004F6DAA">
        <w:rPr>
          <w:noProof/>
        </w:rPr>
        <w:t>yko związane</w:t>
      </w:r>
      <w:r w:rsidR="00062BFA" w:rsidRPr="004F6DAA">
        <w:rPr>
          <w:noProof/>
        </w:rPr>
        <w:t xml:space="preserve"> z</w:t>
      </w:r>
      <w:r w:rsidR="00062BFA">
        <w:rPr>
          <w:noProof/>
        </w:rPr>
        <w:t> </w:t>
      </w:r>
      <w:r w:rsidR="00062BFA" w:rsidRPr="004F6DAA">
        <w:rPr>
          <w:noProof/>
        </w:rPr>
        <w:t>kra</w:t>
      </w:r>
      <w:r w:rsidRPr="004F6DAA">
        <w:rPr>
          <w:noProof/>
        </w:rPr>
        <w:t>jem pozyskania,</w:t>
      </w:r>
      <w:r w:rsidR="00062BFA" w:rsidRPr="004F6DAA">
        <w:rPr>
          <w:noProof/>
        </w:rPr>
        <w:t xml:space="preserve"> a</w:t>
      </w:r>
      <w:r w:rsidR="00062BFA">
        <w:rPr>
          <w:noProof/>
        </w:rPr>
        <w:t> </w:t>
      </w:r>
      <w:r w:rsidR="00062BFA" w:rsidRPr="004F6DAA">
        <w:rPr>
          <w:noProof/>
        </w:rPr>
        <w:t>nie</w:t>
      </w:r>
      <w:r w:rsidRPr="004F6DAA">
        <w:rPr>
          <w:noProof/>
        </w:rPr>
        <w:t xml:space="preserve"> wielkość przedsiębiorstw. </w:t>
      </w:r>
    </w:p>
    <w:p w14:paraId="11F01FD4" w14:textId="77777777" w:rsidR="00943B9A" w:rsidRPr="004F6DAA" w:rsidRDefault="00943B9A" w:rsidP="00943B9A">
      <w:pPr>
        <w:pBdr>
          <w:top w:val="nil"/>
          <w:left w:val="nil"/>
          <w:bottom w:val="nil"/>
          <w:right w:val="nil"/>
          <w:between w:val="nil"/>
          <w:bar w:val="nil"/>
        </w:pBdr>
        <w:spacing w:before="0" w:after="240"/>
        <w:rPr>
          <w:rFonts w:eastAsia="Arial Unicode MS"/>
          <w:noProof/>
        </w:rPr>
      </w:pPr>
      <w:r w:rsidRPr="004F6DAA">
        <w:rPr>
          <w:noProof/>
        </w:rPr>
        <w:t>Chociaż wdrożenie procedur należytej staranności (oraz,</w:t>
      </w:r>
      <w:r w:rsidR="00062BFA" w:rsidRPr="004F6DAA">
        <w:rPr>
          <w:noProof/>
        </w:rPr>
        <w:t xml:space="preserve"> w</w:t>
      </w:r>
      <w:r w:rsidR="00062BFA">
        <w:rPr>
          <w:noProof/>
        </w:rPr>
        <w:t> </w:t>
      </w:r>
      <w:r w:rsidR="00062BFA" w:rsidRPr="004F6DAA">
        <w:rPr>
          <w:noProof/>
        </w:rPr>
        <w:t>raz</w:t>
      </w:r>
      <w:r w:rsidRPr="004F6DAA">
        <w:rPr>
          <w:noProof/>
        </w:rPr>
        <w:t>ie potrzeby, zmiana łańcuchów dostaw) może stanowić większe wyzwanie dla MŚP, wymóg zachowania należytej staranności</w:t>
      </w:r>
      <w:r w:rsidR="00062BFA" w:rsidRPr="004F6DAA">
        <w:rPr>
          <w:noProof/>
        </w:rPr>
        <w:t xml:space="preserve"> w</w:t>
      </w:r>
      <w:r w:rsidR="00062BFA">
        <w:rPr>
          <w:noProof/>
        </w:rPr>
        <w:t> </w:t>
      </w:r>
      <w:r w:rsidR="00062BFA" w:rsidRPr="004F6DAA">
        <w:rPr>
          <w:noProof/>
        </w:rPr>
        <w:t>poł</w:t>
      </w:r>
      <w:r w:rsidRPr="004F6DAA">
        <w:rPr>
          <w:noProof/>
        </w:rPr>
        <w:t>ączeniu</w:t>
      </w:r>
      <w:r w:rsidR="00062BFA" w:rsidRPr="004F6DAA">
        <w:rPr>
          <w:noProof/>
        </w:rPr>
        <w:t xml:space="preserve"> z</w:t>
      </w:r>
      <w:r w:rsidR="00062BFA">
        <w:rPr>
          <w:noProof/>
        </w:rPr>
        <w:t> </w:t>
      </w:r>
      <w:r w:rsidR="00062BFA" w:rsidRPr="004F6DAA">
        <w:rPr>
          <w:noProof/>
        </w:rPr>
        <w:t>sys</w:t>
      </w:r>
      <w:r w:rsidRPr="004F6DAA">
        <w:rPr>
          <w:noProof/>
        </w:rPr>
        <w:t>temem wskaźników umożliwiłby podmiotom</w:t>
      </w:r>
      <w:r w:rsidR="00062BFA" w:rsidRPr="004F6DAA">
        <w:rPr>
          <w:noProof/>
        </w:rPr>
        <w:t xml:space="preserve"> i</w:t>
      </w:r>
      <w:r w:rsidR="00062BFA">
        <w:rPr>
          <w:noProof/>
        </w:rPr>
        <w:t> </w:t>
      </w:r>
      <w:r w:rsidR="00062BFA" w:rsidRPr="004F6DAA">
        <w:rPr>
          <w:noProof/>
        </w:rPr>
        <w:t>pod</w:t>
      </w:r>
      <w:r w:rsidRPr="004F6DAA">
        <w:rPr>
          <w:noProof/>
        </w:rPr>
        <w:t>miotom handlowym</w:t>
      </w:r>
      <w:r w:rsidR="00062BFA" w:rsidRPr="004F6DAA">
        <w:rPr>
          <w:noProof/>
        </w:rPr>
        <w:t xml:space="preserve"> z</w:t>
      </w:r>
      <w:r w:rsidR="00062BFA">
        <w:rPr>
          <w:noProof/>
        </w:rPr>
        <w:t> </w:t>
      </w:r>
      <w:r w:rsidR="00062BFA" w:rsidRPr="004F6DAA">
        <w:rPr>
          <w:noProof/>
        </w:rPr>
        <w:t>sek</w:t>
      </w:r>
      <w:r w:rsidRPr="004F6DAA">
        <w:rPr>
          <w:noProof/>
        </w:rPr>
        <w:t>tora MŚP skorzystanie</w:t>
      </w:r>
      <w:r w:rsidR="00062BFA" w:rsidRPr="004F6DAA">
        <w:rPr>
          <w:noProof/>
        </w:rPr>
        <w:t xml:space="preserve"> z</w:t>
      </w:r>
      <w:r w:rsidR="00062BFA">
        <w:rPr>
          <w:noProof/>
        </w:rPr>
        <w:t> </w:t>
      </w:r>
      <w:r w:rsidR="00062BFA" w:rsidRPr="004F6DAA">
        <w:rPr>
          <w:noProof/>
        </w:rPr>
        <w:t>niż</w:t>
      </w:r>
      <w:r w:rsidRPr="004F6DAA">
        <w:rPr>
          <w:noProof/>
        </w:rPr>
        <w:t>szych kosztów związanych</w:t>
      </w:r>
      <w:r w:rsidR="00062BFA" w:rsidRPr="004F6DAA">
        <w:rPr>
          <w:noProof/>
        </w:rPr>
        <w:t xml:space="preserve"> z</w:t>
      </w:r>
      <w:r w:rsidR="00062BFA">
        <w:rPr>
          <w:noProof/>
        </w:rPr>
        <w:t> </w:t>
      </w:r>
      <w:r w:rsidR="00062BFA" w:rsidRPr="004F6DAA">
        <w:rPr>
          <w:noProof/>
        </w:rPr>
        <w:t>upr</w:t>
      </w:r>
      <w:r w:rsidRPr="004F6DAA">
        <w:rPr>
          <w:noProof/>
        </w:rPr>
        <w:t>oszczoną należytą starannością dzięki wyborowi produktów pochodzących</w:t>
      </w:r>
      <w:r w:rsidR="00062BFA" w:rsidRPr="004F6DAA">
        <w:rPr>
          <w:noProof/>
        </w:rPr>
        <w:t xml:space="preserve"> z</w:t>
      </w:r>
      <w:r w:rsidR="00062BFA">
        <w:rPr>
          <w:noProof/>
        </w:rPr>
        <w:t> </w:t>
      </w:r>
      <w:r w:rsidR="00062BFA" w:rsidRPr="004F6DAA">
        <w:rPr>
          <w:noProof/>
        </w:rPr>
        <w:t>łań</w:t>
      </w:r>
      <w:r w:rsidRPr="004F6DAA">
        <w:rPr>
          <w:noProof/>
        </w:rPr>
        <w:t>cuchów dostaw obarczonych niskim ryzykiem.</w:t>
      </w:r>
    </w:p>
    <w:p w14:paraId="4401B44C" w14:textId="77777777" w:rsidR="00943B9A" w:rsidRPr="00062BFA" w:rsidRDefault="00943B9A" w:rsidP="00943B9A">
      <w:pPr>
        <w:pBdr>
          <w:top w:val="nil"/>
          <w:left w:val="nil"/>
          <w:bottom w:val="nil"/>
          <w:right w:val="nil"/>
          <w:between w:val="nil"/>
          <w:bar w:val="nil"/>
        </w:pBdr>
        <w:spacing w:before="0" w:after="240"/>
        <w:rPr>
          <w:rFonts w:eastAsia="Arial Unicode MS"/>
          <w:noProof/>
        </w:rPr>
      </w:pPr>
      <w:r w:rsidRPr="004F6DAA">
        <w:rPr>
          <w:noProof/>
        </w:rPr>
        <w:t>Wniosek obejmuje „system informacyjny</w:t>
      </w:r>
      <w:r w:rsidR="00062BFA" w:rsidRPr="004F6DAA">
        <w:rPr>
          <w:noProof/>
        </w:rPr>
        <w:t xml:space="preserve"> i</w:t>
      </w:r>
      <w:r w:rsidR="00062BFA">
        <w:rPr>
          <w:noProof/>
        </w:rPr>
        <w:t> </w:t>
      </w:r>
      <w:r w:rsidR="00062BFA" w:rsidRPr="004F6DAA">
        <w:rPr>
          <w:noProof/>
        </w:rPr>
        <w:t>kom</w:t>
      </w:r>
      <w:r w:rsidRPr="004F6DAA">
        <w:rPr>
          <w:noProof/>
        </w:rPr>
        <w:t>unikacyjny” (</w:t>
      </w:r>
      <w:r w:rsidRPr="00062BFA">
        <w:rPr>
          <w:noProof/>
        </w:rPr>
        <w:t>art.</w:t>
      </w:r>
      <w:r w:rsidR="00062BFA" w:rsidRPr="00062BFA">
        <w:rPr>
          <w:noProof/>
        </w:rPr>
        <w:t> </w:t>
      </w:r>
      <w:r w:rsidRPr="00062BFA">
        <w:rPr>
          <w:noProof/>
        </w:rPr>
        <w:t>2</w:t>
      </w:r>
      <w:r w:rsidRPr="004F6DAA">
        <w:rPr>
          <w:noProof/>
        </w:rPr>
        <w:t>9), który umożliwiłby elektroniczne przetwarzanie informacji zarówno między właściwymi organami, jak</w:t>
      </w:r>
      <w:r w:rsidR="00062BFA" w:rsidRPr="004F6DAA">
        <w:rPr>
          <w:noProof/>
        </w:rPr>
        <w:t xml:space="preserve"> i</w:t>
      </w:r>
      <w:r w:rsidR="00062BFA">
        <w:rPr>
          <w:noProof/>
        </w:rPr>
        <w:t> </w:t>
      </w:r>
      <w:r w:rsidR="00062BFA" w:rsidRPr="004F6DAA">
        <w:rPr>
          <w:noProof/>
        </w:rPr>
        <w:t>mię</w:t>
      </w:r>
      <w:r w:rsidRPr="004F6DAA">
        <w:rPr>
          <w:noProof/>
        </w:rPr>
        <w:t>dzy tymi organami</w:t>
      </w:r>
      <w:r w:rsidR="00062BFA" w:rsidRPr="004F6DAA">
        <w:rPr>
          <w:noProof/>
        </w:rPr>
        <w:t xml:space="preserve"> a</w:t>
      </w:r>
      <w:r w:rsidR="00062BFA">
        <w:rPr>
          <w:noProof/>
        </w:rPr>
        <w:t> </w:t>
      </w:r>
      <w:r w:rsidR="00062BFA" w:rsidRPr="004F6DAA">
        <w:rPr>
          <w:noProof/>
        </w:rPr>
        <w:t>pod</w:t>
      </w:r>
      <w:r w:rsidRPr="004F6DAA">
        <w:rPr>
          <w:noProof/>
        </w:rPr>
        <w:t>miotami gospodarczymi. System ten ułatwi</w:t>
      </w:r>
      <w:r w:rsidR="00062BFA" w:rsidRPr="004F6DAA">
        <w:rPr>
          <w:noProof/>
        </w:rPr>
        <w:t xml:space="preserve"> i</w:t>
      </w:r>
      <w:r w:rsidR="00062BFA">
        <w:rPr>
          <w:noProof/>
        </w:rPr>
        <w:t> </w:t>
      </w:r>
      <w:r w:rsidR="00062BFA" w:rsidRPr="004F6DAA">
        <w:rPr>
          <w:noProof/>
        </w:rPr>
        <w:t>usp</w:t>
      </w:r>
      <w:r w:rsidRPr="004F6DAA">
        <w:rPr>
          <w:noProof/>
        </w:rPr>
        <w:t>rawni wypełnianie obowiązków przez podmioty oraz egzekwowanie przepisów przez właściwe organy</w:t>
      </w:r>
      <w:r w:rsidRPr="00062BFA">
        <w:rPr>
          <w:noProof/>
        </w:rPr>
        <w:t>.</w:t>
      </w:r>
      <w:r w:rsidR="00062BFA" w:rsidRPr="00062BFA">
        <w:rPr>
          <w:noProof/>
        </w:rPr>
        <w:t xml:space="preserve"> </w:t>
      </w:r>
    </w:p>
    <w:p w14:paraId="106EAEDD" w14:textId="77777777" w:rsidR="001C3FCC" w:rsidRPr="004F6DAA" w:rsidRDefault="001C3FCC" w:rsidP="009A3168">
      <w:pPr>
        <w:pStyle w:val="ManualHeading2"/>
        <w:rPr>
          <w:rFonts w:eastAsia="Arial Unicode MS"/>
          <w:noProof/>
          <w:u w:color="000000"/>
          <w:bdr w:val="nil"/>
        </w:rPr>
      </w:pPr>
      <w:r w:rsidRPr="004F6DAA">
        <w:rPr>
          <w:noProof/>
          <w:u w:color="000000"/>
          <w:bdr w:val="nil"/>
        </w:rPr>
        <w:t>•</w:t>
      </w:r>
      <w:r w:rsidRPr="004F6DAA">
        <w:rPr>
          <w:noProof/>
        </w:rPr>
        <w:tab/>
      </w:r>
      <w:r w:rsidRPr="004F6DAA">
        <w:rPr>
          <w:noProof/>
          <w:u w:color="000000"/>
          <w:bdr w:val="nil"/>
        </w:rPr>
        <w:t>Prawa podstawowe</w:t>
      </w:r>
    </w:p>
    <w:p w14:paraId="0137134E" w14:textId="77777777" w:rsidR="00B6068B" w:rsidRPr="004F6DAA" w:rsidRDefault="00B6068B" w:rsidP="00B6068B">
      <w:pPr>
        <w:pBdr>
          <w:top w:val="nil"/>
          <w:left w:val="nil"/>
          <w:bottom w:val="nil"/>
          <w:right w:val="nil"/>
          <w:between w:val="nil"/>
          <w:bar w:val="nil"/>
        </w:pBdr>
        <w:spacing w:before="0" w:after="240"/>
        <w:rPr>
          <w:noProof/>
          <w:szCs w:val="24"/>
        </w:rPr>
      </w:pPr>
      <w:r w:rsidRPr="004F6DAA">
        <w:rPr>
          <w:noProof/>
          <w:color w:val="000000"/>
          <w:szCs w:val="24"/>
        </w:rPr>
        <w:t>Proponowany wariant strategiczny będzie wiązał się</w:t>
      </w:r>
      <w:r w:rsidR="00062BFA" w:rsidRPr="004F6DAA">
        <w:rPr>
          <w:noProof/>
          <w:color w:val="000000"/>
          <w:szCs w:val="24"/>
        </w:rPr>
        <w:t xml:space="preserve"> z</w:t>
      </w:r>
      <w:r w:rsidR="00062BFA">
        <w:rPr>
          <w:noProof/>
          <w:color w:val="000000"/>
          <w:szCs w:val="24"/>
        </w:rPr>
        <w:t> </w:t>
      </w:r>
      <w:r w:rsidR="00062BFA" w:rsidRPr="004F6DAA">
        <w:rPr>
          <w:noProof/>
          <w:color w:val="000000"/>
          <w:szCs w:val="24"/>
        </w:rPr>
        <w:t>kon</w:t>
      </w:r>
      <w:r w:rsidRPr="004F6DAA">
        <w:rPr>
          <w:noProof/>
          <w:color w:val="000000"/>
          <w:szCs w:val="24"/>
        </w:rPr>
        <w:t>iecznością wytwarzania produktów zgodnie</w:t>
      </w:r>
      <w:r w:rsidR="00062BFA" w:rsidRPr="004F6DAA">
        <w:rPr>
          <w:noProof/>
          <w:color w:val="000000"/>
          <w:szCs w:val="24"/>
        </w:rPr>
        <w:t xml:space="preserve"> z</w:t>
      </w:r>
      <w:r w:rsidR="00062BFA">
        <w:rPr>
          <w:noProof/>
          <w:color w:val="000000"/>
          <w:szCs w:val="24"/>
        </w:rPr>
        <w:t> </w:t>
      </w:r>
      <w:r w:rsidR="00062BFA" w:rsidRPr="004F6DAA">
        <w:rPr>
          <w:noProof/>
          <w:color w:val="000000"/>
          <w:szCs w:val="24"/>
        </w:rPr>
        <w:t>def</w:t>
      </w:r>
      <w:r w:rsidRPr="004F6DAA">
        <w:rPr>
          <w:noProof/>
          <w:color w:val="000000"/>
          <w:szCs w:val="24"/>
        </w:rPr>
        <w:t>inicją terminu „niepowodujący wylesiania” oraz</w:t>
      </w:r>
      <w:r w:rsidR="00062BFA" w:rsidRPr="004F6DAA">
        <w:rPr>
          <w:noProof/>
          <w:color w:val="000000"/>
          <w:szCs w:val="24"/>
        </w:rPr>
        <w:t xml:space="preserve"> z</w:t>
      </w:r>
      <w:r w:rsidR="00062BFA">
        <w:rPr>
          <w:noProof/>
          <w:color w:val="000000"/>
          <w:szCs w:val="24"/>
        </w:rPr>
        <w:t> </w:t>
      </w:r>
      <w:r w:rsidR="00062BFA" w:rsidRPr="004F6DAA">
        <w:rPr>
          <w:noProof/>
          <w:color w:val="000000"/>
          <w:szCs w:val="24"/>
        </w:rPr>
        <w:t>pra</w:t>
      </w:r>
      <w:r w:rsidRPr="004F6DAA">
        <w:rPr>
          <w:noProof/>
          <w:color w:val="000000"/>
          <w:szCs w:val="24"/>
        </w:rPr>
        <w:t>wem kraju produkcji. Oznacza to, że podczas oceny zgodności produktów</w:t>
      </w:r>
      <w:r w:rsidR="00062BFA" w:rsidRPr="004F6DAA">
        <w:rPr>
          <w:noProof/>
          <w:color w:val="000000"/>
          <w:szCs w:val="24"/>
        </w:rPr>
        <w:t xml:space="preserve"> z</w:t>
      </w:r>
      <w:r w:rsidR="00062BFA">
        <w:rPr>
          <w:noProof/>
          <w:color w:val="000000"/>
          <w:szCs w:val="24"/>
        </w:rPr>
        <w:t> </w:t>
      </w:r>
      <w:r w:rsidR="00062BFA" w:rsidRPr="004F6DAA">
        <w:rPr>
          <w:noProof/>
          <w:color w:val="000000"/>
          <w:szCs w:val="24"/>
        </w:rPr>
        <w:t>nin</w:t>
      </w:r>
      <w:r w:rsidRPr="004F6DAA">
        <w:rPr>
          <w:noProof/>
          <w:color w:val="000000"/>
          <w:szCs w:val="24"/>
        </w:rPr>
        <w:t>iejszą inicjatywą konieczne będzie uwzględnienie przepisów prawa pracy oraz przepisów dotyczących ochrony środowiska</w:t>
      </w:r>
      <w:r w:rsidR="00062BFA" w:rsidRPr="004F6DAA">
        <w:rPr>
          <w:noProof/>
          <w:color w:val="000000"/>
          <w:szCs w:val="24"/>
        </w:rPr>
        <w:t xml:space="preserve"> i</w:t>
      </w:r>
      <w:r w:rsidR="00062BFA">
        <w:rPr>
          <w:noProof/>
          <w:color w:val="000000"/>
          <w:szCs w:val="24"/>
        </w:rPr>
        <w:t> </w:t>
      </w:r>
      <w:r w:rsidR="00062BFA" w:rsidRPr="004F6DAA">
        <w:rPr>
          <w:noProof/>
          <w:color w:val="000000"/>
          <w:szCs w:val="24"/>
        </w:rPr>
        <w:t>pra</w:t>
      </w:r>
      <w:r w:rsidRPr="004F6DAA">
        <w:rPr>
          <w:noProof/>
          <w:color w:val="000000"/>
          <w:szCs w:val="24"/>
        </w:rPr>
        <w:t>w człowieka obowiązujących</w:t>
      </w:r>
      <w:r w:rsidR="00062BFA" w:rsidRPr="004F6DAA">
        <w:rPr>
          <w:noProof/>
          <w:color w:val="000000"/>
          <w:szCs w:val="24"/>
        </w:rPr>
        <w:t xml:space="preserve"> w</w:t>
      </w:r>
      <w:r w:rsidR="00062BFA">
        <w:rPr>
          <w:noProof/>
          <w:color w:val="000000"/>
          <w:szCs w:val="24"/>
        </w:rPr>
        <w:t> </w:t>
      </w:r>
      <w:r w:rsidR="00062BFA" w:rsidRPr="004F6DAA">
        <w:rPr>
          <w:noProof/>
          <w:color w:val="000000"/>
          <w:szCs w:val="24"/>
        </w:rPr>
        <w:t>kra</w:t>
      </w:r>
      <w:r w:rsidRPr="004F6DAA">
        <w:rPr>
          <w:noProof/>
          <w:color w:val="000000"/>
          <w:szCs w:val="24"/>
        </w:rPr>
        <w:t>ju produkcji (zarówno krajowych, jak</w:t>
      </w:r>
      <w:r w:rsidR="00062BFA" w:rsidRPr="004F6DAA">
        <w:rPr>
          <w:noProof/>
          <w:color w:val="000000"/>
          <w:szCs w:val="24"/>
        </w:rPr>
        <w:t xml:space="preserve"> i</w:t>
      </w:r>
      <w:r w:rsidR="00062BFA">
        <w:rPr>
          <w:noProof/>
          <w:color w:val="000000"/>
          <w:szCs w:val="24"/>
        </w:rPr>
        <w:t> </w:t>
      </w:r>
      <w:r w:rsidR="00062BFA" w:rsidRPr="004F6DAA">
        <w:rPr>
          <w:noProof/>
          <w:color w:val="000000"/>
          <w:szCs w:val="24"/>
        </w:rPr>
        <w:t>mię</w:t>
      </w:r>
      <w:r w:rsidRPr="004F6DAA">
        <w:rPr>
          <w:noProof/>
          <w:color w:val="000000"/>
          <w:szCs w:val="24"/>
        </w:rPr>
        <w:t xml:space="preserve">dzynarodowych). Dotyczy to również praw ludności rdzennej, </w:t>
      </w:r>
      <w:r w:rsidRPr="004F6DAA">
        <w:rPr>
          <w:noProof/>
        </w:rPr>
        <w:t>co powinno przyczynić się do ochrony praw najbardziej narażonych społeczności lokalnych.</w:t>
      </w:r>
    </w:p>
    <w:p w14:paraId="38EC4199" w14:textId="77777777" w:rsidR="00B6068B" w:rsidRPr="004F6DAA" w:rsidRDefault="00B6068B" w:rsidP="00B6068B">
      <w:pPr>
        <w:pBdr>
          <w:top w:val="nil"/>
          <w:left w:val="nil"/>
          <w:bottom w:val="nil"/>
          <w:right w:val="nil"/>
          <w:between w:val="nil"/>
          <w:bar w:val="nil"/>
        </w:pBdr>
        <w:spacing w:before="0" w:after="240"/>
        <w:rPr>
          <w:rFonts w:eastAsia="Arial Unicode MS"/>
          <w:noProof/>
        </w:rPr>
      </w:pPr>
      <w:r w:rsidRPr="004F6DAA">
        <w:rPr>
          <w:noProof/>
        </w:rPr>
        <w:t>Na szczeblu unijnym wniosek jest zgodny</w:t>
      </w:r>
      <w:r w:rsidR="00062BFA" w:rsidRPr="004F6DAA">
        <w:rPr>
          <w:noProof/>
        </w:rPr>
        <w:t xml:space="preserve"> z</w:t>
      </w:r>
      <w:r w:rsidR="00062BFA">
        <w:rPr>
          <w:noProof/>
        </w:rPr>
        <w:t> </w:t>
      </w:r>
      <w:r w:rsidR="00062BFA" w:rsidRPr="004F6DAA">
        <w:rPr>
          <w:noProof/>
        </w:rPr>
        <w:t>Kar</w:t>
      </w:r>
      <w:r w:rsidRPr="004F6DAA">
        <w:rPr>
          <w:noProof/>
        </w:rPr>
        <w:t>tą praw podstawowych Unii Europejskiej,</w:t>
      </w:r>
      <w:r w:rsidR="00062BFA" w:rsidRPr="004F6DAA">
        <w:rPr>
          <w:noProof/>
        </w:rPr>
        <w:t xml:space="preserve"> a</w:t>
      </w:r>
      <w:r w:rsidR="00062BFA">
        <w:rPr>
          <w:noProof/>
        </w:rPr>
        <w:t> </w:t>
      </w:r>
      <w:r w:rsidR="00062BFA" w:rsidRPr="004F6DAA">
        <w:rPr>
          <w:noProof/>
        </w:rPr>
        <w:t>w</w:t>
      </w:r>
      <w:r w:rsidR="00062BFA">
        <w:rPr>
          <w:noProof/>
        </w:rPr>
        <w:t> </w:t>
      </w:r>
      <w:r w:rsidR="00062BFA" w:rsidRPr="004F6DAA">
        <w:rPr>
          <w:noProof/>
        </w:rPr>
        <w:t>szc</w:t>
      </w:r>
      <w:r w:rsidRPr="004F6DAA">
        <w:rPr>
          <w:noProof/>
        </w:rPr>
        <w:t>zególności</w:t>
      </w:r>
      <w:r w:rsidR="00062BFA" w:rsidRPr="004F6DAA">
        <w:rPr>
          <w:noProof/>
        </w:rPr>
        <w:t xml:space="preserve"> z</w:t>
      </w:r>
      <w:r w:rsidR="00062BFA">
        <w:rPr>
          <w:noProof/>
        </w:rPr>
        <w:t> </w:t>
      </w:r>
      <w:r w:rsidR="00062BFA" w:rsidRPr="004F6DAA">
        <w:rPr>
          <w:noProof/>
        </w:rPr>
        <w:t>jej</w:t>
      </w:r>
      <w:r w:rsidRPr="004F6DAA">
        <w:rPr>
          <w:noProof/>
        </w:rPr>
        <w:t xml:space="preserve"> </w:t>
      </w:r>
      <w:r w:rsidRPr="00062BFA">
        <w:rPr>
          <w:noProof/>
        </w:rPr>
        <w:t>art.</w:t>
      </w:r>
      <w:r w:rsidR="00062BFA" w:rsidRPr="00062BFA">
        <w:rPr>
          <w:noProof/>
        </w:rPr>
        <w:t> </w:t>
      </w:r>
      <w:r w:rsidRPr="00062BFA">
        <w:rPr>
          <w:noProof/>
        </w:rPr>
        <w:t>2</w:t>
      </w:r>
      <w:r w:rsidRPr="004F6DAA">
        <w:rPr>
          <w:noProof/>
        </w:rPr>
        <w:t xml:space="preserve"> (prawo do życia), </w:t>
      </w:r>
      <w:r w:rsidRPr="00062BFA">
        <w:rPr>
          <w:noProof/>
        </w:rPr>
        <w:t>art.</w:t>
      </w:r>
      <w:r w:rsidR="00062BFA" w:rsidRPr="00062BFA">
        <w:rPr>
          <w:noProof/>
        </w:rPr>
        <w:t> </w:t>
      </w:r>
      <w:r w:rsidRPr="00062BFA">
        <w:rPr>
          <w:noProof/>
        </w:rPr>
        <w:t>8</w:t>
      </w:r>
      <w:r w:rsidRPr="004F6DAA">
        <w:rPr>
          <w:noProof/>
        </w:rPr>
        <w:t xml:space="preserve"> (ochrona danych osobowych), </w:t>
      </w:r>
      <w:r w:rsidRPr="00062BFA">
        <w:rPr>
          <w:noProof/>
        </w:rPr>
        <w:t>art.</w:t>
      </w:r>
      <w:r w:rsidR="00062BFA" w:rsidRPr="00062BFA">
        <w:rPr>
          <w:noProof/>
        </w:rPr>
        <w:t> </w:t>
      </w:r>
      <w:r w:rsidRPr="00062BFA">
        <w:rPr>
          <w:noProof/>
        </w:rPr>
        <w:t>1</w:t>
      </w:r>
      <w:r w:rsidRPr="004F6DAA">
        <w:rPr>
          <w:noProof/>
        </w:rPr>
        <w:t xml:space="preserve">6 (wolność prowadzenia działalności gospodarczej), </w:t>
      </w:r>
      <w:r w:rsidRPr="00062BFA">
        <w:rPr>
          <w:noProof/>
        </w:rPr>
        <w:t>art.</w:t>
      </w:r>
      <w:r w:rsidR="00062BFA" w:rsidRPr="00062BFA">
        <w:rPr>
          <w:noProof/>
        </w:rPr>
        <w:t> </w:t>
      </w:r>
      <w:r w:rsidRPr="00062BFA">
        <w:rPr>
          <w:noProof/>
        </w:rPr>
        <w:t>1</w:t>
      </w:r>
      <w:r w:rsidRPr="004F6DAA">
        <w:rPr>
          <w:noProof/>
        </w:rPr>
        <w:t>7 (prawo własności)</w:t>
      </w:r>
      <w:r w:rsidR="00062BFA" w:rsidRPr="004F6DAA">
        <w:rPr>
          <w:noProof/>
        </w:rPr>
        <w:t xml:space="preserve"> i</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7 (ochrona środowiska).</w:t>
      </w:r>
    </w:p>
    <w:p w14:paraId="5A9D4F24" w14:textId="77777777" w:rsidR="00B6068B" w:rsidRPr="004F6DAA" w:rsidRDefault="00B6068B" w:rsidP="00B6068B">
      <w:pPr>
        <w:pBdr>
          <w:top w:val="nil"/>
          <w:left w:val="nil"/>
          <w:bottom w:val="nil"/>
          <w:right w:val="nil"/>
          <w:between w:val="nil"/>
          <w:bar w:val="nil"/>
        </w:pBdr>
        <w:spacing w:before="0" w:after="240"/>
        <w:rPr>
          <w:rFonts w:eastAsia="Arial Unicode MS"/>
          <w:noProof/>
        </w:rPr>
      </w:pPr>
      <w:r w:rsidRPr="004F6DAA">
        <w:rPr>
          <w:noProof/>
        </w:rPr>
        <w:t>Zgodnie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5</w:t>
      </w:r>
      <w:r w:rsidRPr="004F6DAA">
        <w:rPr>
          <w:noProof/>
        </w:rPr>
        <w:t xml:space="preserve">2 </w:t>
      </w:r>
      <w:r w:rsidRPr="00062BFA">
        <w:rPr>
          <w:noProof/>
        </w:rPr>
        <w:t>ust.</w:t>
      </w:r>
      <w:r w:rsidR="00062BFA" w:rsidRPr="00062BFA">
        <w:rPr>
          <w:noProof/>
        </w:rPr>
        <w:t> </w:t>
      </w:r>
      <w:r w:rsidRPr="00062BFA">
        <w:rPr>
          <w:noProof/>
        </w:rPr>
        <w:t>1</w:t>
      </w:r>
      <w:r w:rsidRPr="004F6DAA">
        <w:rPr>
          <w:noProof/>
        </w:rPr>
        <w:t xml:space="preserve"> karty wszelkie ograniczenia</w:t>
      </w:r>
      <w:r w:rsidR="00062BFA" w:rsidRPr="004F6DAA">
        <w:rPr>
          <w:noProof/>
        </w:rPr>
        <w:t xml:space="preserve"> w</w:t>
      </w:r>
      <w:r w:rsidR="00062BFA">
        <w:rPr>
          <w:noProof/>
        </w:rPr>
        <w:t> </w:t>
      </w:r>
      <w:r w:rsidR="00062BFA" w:rsidRPr="004F6DAA">
        <w:rPr>
          <w:noProof/>
        </w:rPr>
        <w:t>kor</w:t>
      </w:r>
      <w:r w:rsidRPr="004F6DAA">
        <w:rPr>
          <w:noProof/>
        </w:rPr>
        <w:t>zystaniu</w:t>
      </w:r>
      <w:r w:rsidR="00062BFA" w:rsidRPr="004F6DAA">
        <w:rPr>
          <w:noProof/>
        </w:rPr>
        <w:t xml:space="preserve"> z</w:t>
      </w:r>
      <w:r w:rsidR="00062BFA">
        <w:rPr>
          <w:noProof/>
        </w:rPr>
        <w:t> </w:t>
      </w:r>
      <w:r w:rsidR="00062BFA" w:rsidRPr="004F6DAA">
        <w:rPr>
          <w:noProof/>
        </w:rPr>
        <w:t>pra</w:t>
      </w:r>
      <w:r w:rsidRPr="004F6DAA">
        <w:rPr>
          <w:noProof/>
        </w:rPr>
        <w:t>w</w:t>
      </w:r>
      <w:r w:rsidR="00062BFA" w:rsidRPr="004F6DAA">
        <w:rPr>
          <w:noProof/>
        </w:rPr>
        <w:t xml:space="preserve"> i</w:t>
      </w:r>
      <w:r w:rsidR="00062BFA">
        <w:rPr>
          <w:noProof/>
        </w:rPr>
        <w:t> </w:t>
      </w:r>
      <w:r w:rsidR="00062BFA" w:rsidRPr="004F6DAA">
        <w:rPr>
          <w:noProof/>
        </w:rPr>
        <w:t>wol</w:t>
      </w:r>
      <w:r w:rsidRPr="004F6DAA">
        <w:rPr>
          <w:noProof/>
        </w:rPr>
        <w:t>ności uznanych</w:t>
      </w:r>
      <w:r w:rsidR="00062BFA" w:rsidRPr="004F6DAA">
        <w:rPr>
          <w:noProof/>
        </w:rPr>
        <w:t xml:space="preserve"> w</w:t>
      </w:r>
      <w:r w:rsidR="00062BFA">
        <w:rPr>
          <w:noProof/>
        </w:rPr>
        <w:t> </w:t>
      </w:r>
      <w:r w:rsidR="00062BFA" w:rsidRPr="004F6DAA">
        <w:rPr>
          <w:noProof/>
        </w:rPr>
        <w:t>kar</w:t>
      </w:r>
      <w:r w:rsidRPr="004F6DAA">
        <w:rPr>
          <w:noProof/>
        </w:rPr>
        <w:t>cie, zawarte</w:t>
      </w:r>
      <w:r w:rsidR="00062BFA" w:rsidRPr="004F6DAA">
        <w:rPr>
          <w:noProof/>
        </w:rPr>
        <w:t xml:space="preserve"> w</w:t>
      </w:r>
      <w:r w:rsidR="00062BFA">
        <w:rPr>
          <w:noProof/>
        </w:rPr>
        <w:t> </w:t>
      </w:r>
      <w:r w:rsidR="00062BFA" w:rsidRPr="004F6DAA">
        <w:rPr>
          <w:noProof/>
        </w:rPr>
        <w:t>nin</w:t>
      </w:r>
      <w:r w:rsidRPr="004F6DAA">
        <w:rPr>
          <w:noProof/>
        </w:rPr>
        <w:t>iejszym wniosku ustawodawczym, muszą być przewidziane ustawą</w:t>
      </w:r>
      <w:r w:rsidR="00062BFA" w:rsidRPr="004F6DAA">
        <w:rPr>
          <w:noProof/>
        </w:rPr>
        <w:t xml:space="preserve"> i</w:t>
      </w:r>
      <w:r w:rsidR="00062BFA">
        <w:rPr>
          <w:noProof/>
        </w:rPr>
        <w:t> </w:t>
      </w:r>
      <w:r w:rsidR="00062BFA" w:rsidRPr="004F6DAA">
        <w:rPr>
          <w:noProof/>
        </w:rPr>
        <w:t>sza</w:t>
      </w:r>
      <w:r w:rsidRPr="004F6DAA">
        <w:rPr>
          <w:noProof/>
        </w:rPr>
        <w:t>nować istotę tych praw</w:t>
      </w:r>
      <w:r w:rsidR="00062BFA" w:rsidRPr="004F6DAA">
        <w:rPr>
          <w:noProof/>
        </w:rPr>
        <w:t xml:space="preserve"> i</w:t>
      </w:r>
      <w:r w:rsidR="00062BFA">
        <w:rPr>
          <w:noProof/>
        </w:rPr>
        <w:t> </w:t>
      </w:r>
      <w:r w:rsidR="00062BFA" w:rsidRPr="004F6DAA">
        <w:rPr>
          <w:noProof/>
        </w:rPr>
        <w:t>wol</w:t>
      </w:r>
      <w:r w:rsidRPr="004F6DAA">
        <w:rPr>
          <w:noProof/>
        </w:rPr>
        <w:t>ności</w:t>
      </w:r>
      <w:r w:rsidR="00062BFA" w:rsidRPr="004F6DAA">
        <w:rPr>
          <w:noProof/>
        </w:rPr>
        <w:t>. Z</w:t>
      </w:r>
      <w:r w:rsidR="00062BFA">
        <w:rPr>
          <w:noProof/>
        </w:rPr>
        <w:t> </w:t>
      </w:r>
      <w:r w:rsidR="00062BFA" w:rsidRPr="004F6DAA">
        <w:rPr>
          <w:noProof/>
        </w:rPr>
        <w:t>zas</w:t>
      </w:r>
      <w:r w:rsidRPr="004F6DAA">
        <w:rPr>
          <w:noProof/>
        </w:rPr>
        <w:t>trzeżeniem zasady proporcjonalności, ograniczenia mogą być wprowadzone wyłącznie wtedy, gdy są konieczne</w:t>
      </w:r>
      <w:r w:rsidR="00062BFA" w:rsidRPr="004F6DAA">
        <w:rPr>
          <w:noProof/>
        </w:rPr>
        <w:t xml:space="preserve"> i</w:t>
      </w:r>
      <w:r w:rsidR="00062BFA">
        <w:rPr>
          <w:noProof/>
        </w:rPr>
        <w:t> </w:t>
      </w:r>
      <w:r w:rsidR="00062BFA" w:rsidRPr="004F6DAA">
        <w:rPr>
          <w:noProof/>
        </w:rPr>
        <w:t>rze</w:t>
      </w:r>
      <w:r w:rsidRPr="004F6DAA">
        <w:rPr>
          <w:noProof/>
        </w:rPr>
        <w:t>czywiście odpowiadają celom interesu ogólnego uznawanym przez Unię lub potrzebom ochrony praw</w:t>
      </w:r>
      <w:r w:rsidR="00062BFA" w:rsidRPr="004F6DAA">
        <w:rPr>
          <w:noProof/>
        </w:rPr>
        <w:t xml:space="preserve"> i</w:t>
      </w:r>
      <w:r w:rsidR="00062BFA">
        <w:rPr>
          <w:noProof/>
        </w:rPr>
        <w:t> </w:t>
      </w:r>
      <w:r w:rsidR="00062BFA" w:rsidRPr="004F6DAA">
        <w:rPr>
          <w:noProof/>
        </w:rPr>
        <w:t>wol</w:t>
      </w:r>
      <w:r w:rsidRPr="004F6DAA">
        <w:rPr>
          <w:noProof/>
        </w:rPr>
        <w:t>ności innych osób. Zapewnienie wysokiego poziomu ochrony środowiska</w:t>
      </w:r>
      <w:r w:rsidR="00062BFA" w:rsidRPr="004F6DAA">
        <w:rPr>
          <w:noProof/>
        </w:rPr>
        <w:t xml:space="preserve"> i</w:t>
      </w:r>
      <w:r w:rsidR="00062BFA">
        <w:rPr>
          <w:noProof/>
        </w:rPr>
        <w:t> </w:t>
      </w:r>
      <w:r w:rsidR="00062BFA" w:rsidRPr="004F6DAA">
        <w:rPr>
          <w:noProof/>
        </w:rPr>
        <w:t>pop</w:t>
      </w:r>
      <w:r w:rsidRPr="004F6DAA">
        <w:rPr>
          <w:noProof/>
        </w:rPr>
        <w:t>rawa jego jakości stanowi</w:t>
      </w:r>
      <w:r w:rsidR="00062BFA" w:rsidRPr="004F6DAA">
        <w:rPr>
          <w:noProof/>
        </w:rPr>
        <w:t xml:space="preserve"> w</w:t>
      </w:r>
      <w:r w:rsidR="00062BFA">
        <w:rPr>
          <w:noProof/>
        </w:rPr>
        <w:t> </w:t>
      </w:r>
      <w:r w:rsidR="00062BFA" w:rsidRPr="004F6DAA">
        <w:rPr>
          <w:noProof/>
        </w:rPr>
        <w:t>szc</w:t>
      </w:r>
      <w:r w:rsidRPr="004F6DAA">
        <w:rPr>
          <w:noProof/>
        </w:rPr>
        <w:t>zególności cel interesu ogólnego uznany</w:t>
      </w:r>
      <w:r w:rsidR="00062BFA" w:rsidRPr="004F6DAA">
        <w:rPr>
          <w:noProof/>
        </w:rPr>
        <w:t xml:space="preserve"> w</w:t>
      </w:r>
      <w:r w:rsidR="00062BFA">
        <w:rPr>
          <w:noProof/>
        </w:rPr>
        <w:t> </w:t>
      </w:r>
      <w:r w:rsidR="00062BFA" w:rsidRPr="004F6DAA">
        <w:rPr>
          <w:noProof/>
        </w:rPr>
        <w:t>kar</w:t>
      </w:r>
      <w:r w:rsidRPr="004F6DAA">
        <w:rPr>
          <w:noProof/>
        </w:rPr>
        <w:t>cie, który może uzasadniać ograniczenia innych praw podstawowych.</w:t>
      </w:r>
    </w:p>
    <w:p w14:paraId="5FF20519" w14:textId="77777777" w:rsidR="001C3FCC" w:rsidRPr="004F6DAA" w:rsidRDefault="001C3FCC" w:rsidP="009A3168">
      <w:pPr>
        <w:pStyle w:val="ManualHeading1"/>
        <w:rPr>
          <w:noProof/>
        </w:rPr>
      </w:pPr>
      <w:r w:rsidRPr="004F6DAA">
        <w:rPr>
          <w:noProof/>
        </w:rPr>
        <w:t>4.</w:t>
      </w:r>
      <w:r w:rsidRPr="004F6DAA">
        <w:rPr>
          <w:noProof/>
        </w:rPr>
        <w:tab/>
        <w:t>WPŁYW NA BUDŻET</w:t>
      </w:r>
    </w:p>
    <w:p w14:paraId="62BA74EF" w14:textId="77777777" w:rsidR="00B6068B" w:rsidRPr="004F6DAA" w:rsidRDefault="00B6068B" w:rsidP="00B6068B">
      <w:pPr>
        <w:pBdr>
          <w:top w:val="nil"/>
          <w:left w:val="nil"/>
          <w:bottom w:val="nil"/>
          <w:right w:val="nil"/>
          <w:between w:val="nil"/>
          <w:bar w:val="nil"/>
        </w:pBdr>
        <w:rPr>
          <w:rFonts w:eastAsia="Arial Unicode MS"/>
          <w:noProof/>
          <w:color w:val="000000"/>
          <w:szCs w:val="24"/>
          <w:u w:color="000000"/>
          <w:bdr w:val="nil"/>
        </w:rPr>
      </w:pPr>
      <w:r w:rsidRPr="004F6DAA">
        <w:rPr>
          <w:noProof/>
          <w:color w:val="000000"/>
          <w:szCs w:val="24"/>
          <w:u w:color="000000"/>
          <w:bdr w:val="nil"/>
        </w:rPr>
        <w:t>Dołączona do niniejszego wniosku ocena skutków finansowych regulacji obejmuje skutki dla zasobów budżetowych, ludzkich</w:t>
      </w:r>
      <w:r w:rsidR="00062BFA" w:rsidRPr="004F6DAA">
        <w:rPr>
          <w:noProof/>
          <w:color w:val="000000"/>
          <w:szCs w:val="24"/>
          <w:u w:color="000000"/>
          <w:bdr w:val="nil"/>
        </w:rPr>
        <w:t xml:space="preserve"> i</w:t>
      </w:r>
      <w:r w:rsidR="00062BFA">
        <w:rPr>
          <w:noProof/>
          <w:color w:val="000000"/>
          <w:szCs w:val="24"/>
          <w:u w:color="000000"/>
          <w:bdr w:val="nil"/>
        </w:rPr>
        <w:t> </w:t>
      </w:r>
      <w:r w:rsidR="00062BFA" w:rsidRPr="004F6DAA">
        <w:rPr>
          <w:noProof/>
          <w:color w:val="000000"/>
          <w:szCs w:val="24"/>
          <w:u w:color="000000"/>
          <w:bdr w:val="nil"/>
        </w:rPr>
        <w:t>adm</w:t>
      </w:r>
      <w:r w:rsidRPr="004F6DAA">
        <w:rPr>
          <w:noProof/>
          <w:color w:val="000000"/>
          <w:szCs w:val="24"/>
          <w:u w:color="000000"/>
          <w:bdr w:val="nil"/>
        </w:rPr>
        <w:t>inistracyjnych.</w:t>
      </w:r>
    </w:p>
    <w:p w14:paraId="2624E166" w14:textId="77777777" w:rsidR="00B6068B" w:rsidRPr="004F6DAA" w:rsidRDefault="00B6068B" w:rsidP="00B6068B">
      <w:pPr>
        <w:rPr>
          <w:noProof/>
        </w:rPr>
      </w:pPr>
      <w:r w:rsidRPr="004F6DAA">
        <w:rPr>
          <w:noProof/>
        </w:rPr>
        <w:t>Na ustanowienie</w:t>
      </w:r>
      <w:r w:rsidR="00062BFA" w:rsidRPr="004F6DAA">
        <w:rPr>
          <w:noProof/>
        </w:rPr>
        <w:t xml:space="preserve"> i</w:t>
      </w:r>
      <w:r w:rsidR="00062BFA">
        <w:rPr>
          <w:noProof/>
        </w:rPr>
        <w:t> </w:t>
      </w:r>
      <w:r w:rsidR="00062BFA" w:rsidRPr="004F6DAA">
        <w:rPr>
          <w:noProof/>
        </w:rPr>
        <w:t>wdr</w:t>
      </w:r>
      <w:r w:rsidRPr="004F6DAA">
        <w:rPr>
          <w:noProof/>
        </w:rPr>
        <w:t>ożenie rozporządzenia</w:t>
      </w:r>
      <w:r w:rsidR="00062BFA" w:rsidRPr="004F6DAA">
        <w:rPr>
          <w:noProof/>
        </w:rPr>
        <w:t xml:space="preserve"> w</w:t>
      </w:r>
      <w:r w:rsidR="00062BFA">
        <w:rPr>
          <w:noProof/>
        </w:rPr>
        <w:t> </w:t>
      </w:r>
      <w:r w:rsidR="00062BFA" w:rsidRPr="004F6DAA">
        <w:rPr>
          <w:noProof/>
        </w:rPr>
        <w:t>cią</w:t>
      </w:r>
      <w:r w:rsidRPr="004F6DAA">
        <w:rPr>
          <w:noProof/>
        </w:rPr>
        <w:t>gu pierwszych pięciu lat realizacji (wstępnie zaplanowanej na lata 2023–2027) przewidziano całkowity budżet</w:t>
      </w:r>
      <w:r w:rsidR="00062BFA" w:rsidRPr="004F6DAA">
        <w:rPr>
          <w:noProof/>
        </w:rPr>
        <w:t xml:space="preserve"> w</w:t>
      </w:r>
      <w:r w:rsidR="00062BFA">
        <w:rPr>
          <w:noProof/>
        </w:rPr>
        <w:t> </w:t>
      </w:r>
      <w:r w:rsidR="00062BFA" w:rsidRPr="004F6DAA">
        <w:rPr>
          <w:noProof/>
        </w:rPr>
        <w:t>wys</w:t>
      </w:r>
      <w:r w:rsidRPr="004F6DAA">
        <w:rPr>
          <w:noProof/>
        </w:rPr>
        <w:t>okości 16 519 000 EUR. Obejmuje to budżet</w:t>
      </w:r>
      <w:r w:rsidR="00062BFA" w:rsidRPr="004F6DAA">
        <w:rPr>
          <w:noProof/>
        </w:rPr>
        <w:t xml:space="preserve"> w</w:t>
      </w:r>
      <w:r w:rsidR="00062BFA">
        <w:rPr>
          <w:noProof/>
        </w:rPr>
        <w:t> </w:t>
      </w:r>
      <w:r w:rsidR="00062BFA" w:rsidRPr="004F6DAA">
        <w:rPr>
          <w:noProof/>
        </w:rPr>
        <w:t>wys</w:t>
      </w:r>
      <w:r w:rsidRPr="004F6DAA">
        <w:rPr>
          <w:noProof/>
        </w:rPr>
        <w:t>okości 6 650 000 EUR</w:t>
      </w:r>
      <w:r w:rsidR="00062BFA" w:rsidRPr="004F6DAA">
        <w:rPr>
          <w:noProof/>
        </w:rPr>
        <w:t xml:space="preserve"> w</w:t>
      </w:r>
      <w:r w:rsidR="00062BFA">
        <w:rPr>
          <w:noProof/>
        </w:rPr>
        <w:t> </w:t>
      </w:r>
      <w:r w:rsidR="00062BFA" w:rsidRPr="004F6DAA">
        <w:rPr>
          <w:noProof/>
        </w:rPr>
        <w:t>ram</w:t>
      </w:r>
      <w:r w:rsidRPr="004F6DAA">
        <w:rPr>
          <w:noProof/>
        </w:rPr>
        <w:t>ach działu 7 wieloletnich ram finansowych (WRF) przeznaczony na zasoby ludzkie (pięciu dodatkowych pracowników w DG ds. Środowiska zajmujących się wdrażaniem rozporządzenia</w:t>
      </w:r>
      <w:r w:rsidR="00062BFA" w:rsidRPr="004F6DAA">
        <w:rPr>
          <w:noProof/>
        </w:rPr>
        <w:t xml:space="preserve"> i</w:t>
      </w:r>
      <w:r w:rsidR="00062BFA">
        <w:rPr>
          <w:noProof/>
        </w:rPr>
        <w:t> </w:t>
      </w:r>
      <w:r w:rsidR="00062BFA" w:rsidRPr="004F6DAA">
        <w:rPr>
          <w:noProof/>
        </w:rPr>
        <w:t>wsp</w:t>
      </w:r>
      <w:r w:rsidRPr="004F6DAA">
        <w:rPr>
          <w:noProof/>
        </w:rPr>
        <w:t>ółpracą międzynarodową, dwóch dodatkowych pracowników w DG ds. Partnerstw Międzynarodowych zajmujących się powiązaną współpracą</w:t>
      </w:r>
      <w:r w:rsidR="00062BFA" w:rsidRPr="004F6DAA">
        <w:rPr>
          <w:noProof/>
        </w:rPr>
        <w:t xml:space="preserve"> i</w:t>
      </w:r>
      <w:r w:rsidR="00062BFA">
        <w:rPr>
          <w:noProof/>
        </w:rPr>
        <w:t> </w:t>
      </w:r>
      <w:r w:rsidR="00062BFA" w:rsidRPr="004F6DAA">
        <w:rPr>
          <w:noProof/>
        </w:rPr>
        <w:t>roz</w:t>
      </w:r>
      <w:r w:rsidRPr="004F6DAA">
        <w:rPr>
          <w:noProof/>
        </w:rPr>
        <w:t>wojem oraz jeden pracownik w DG ds. Podatków</w:t>
      </w:r>
      <w:r w:rsidR="00062BFA" w:rsidRPr="004F6DAA">
        <w:rPr>
          <w:noProof/>
        </w:rPr>
        <w:t xml:space="preserve"> i</w:t>
      </w:r>
      <w:r w:rsidR="00062BFA">
        <w:rPr>
          <w:noProof/>
        </w:rPr>
        <w:t> </w:t>
      </w:r>
      <w:r w:rsidR="00062BFA" w:rsidRPr="004F6DAA">
        <w:rPr>
          <w:noProof/>
        </w:rPr>
        <w:t>Uni</w:t>
      </w:r>
      <w:r w:rsidRPr="004F6DAA">
        <w:rPr>
          <w:noProof/>
        </w:rPr>
        <w:t>i Celnej zajmujący się wdrażaniem zobowiązań celnych) oraz inne koszty administracyjne. Obejmuje to również budżet</w:t>
      </w:r>
      <w:r w:rsidR="00062BFA" w:rsidRPr="004F6DAA">
        <w:rPr>
          <w:noProof/>
        </w:rPr>
        <w:t xml:space="preserve"> w</w:t>
      </w:r>
      <w:r w:rsidR="00062BFA">
        <w:rPr>
          <w:noProof/>
        </w:rPr>
        <w:t> </w:t>
      </w:r>
      <w:r w:rsidR="00062BFA" w:rsidRPr="004F6DAA">
        <w:rPr>
          <w:noProof/>
        </w:rPr>
        <w:t>wys</w:t>
      </w:r>
      <w:r w:rsidRPr="004F6DAA">
        <w:rPr>
          <w:noProof/>
        </w:rPr>
        <w:t>okości 9 869 000 EUR na dział 3 wieloletnich ram finansowych. Ten ostatni jest związany ze wsparciem różnych zadań wykonawczych związanych</w:t>
      </w:r>
      <w:r w:rsidR="00062BFA" w:rsidRPr="004F6DAA">
        <w:rPr>
          <w:noProof/>
        </w:rPr>
        <w:t xml:space="preserve"> z</w:t>
      </w:r>
      <w:r w:rsidR="00062BFA">
        <w:rPr>
          <w:noProof/>
        </w:rPr>
        <w:t> </w:t>
      </w:r>
      <w:r w:rsidR="00062BFA" w:rsidRPr="004F6DAA">
        <w:rPr>
          <w:noProof/>
        </w:rPr>
        <w:t>prz</w:t>
      </w:r>
      <w:r w:rsidRPr="004F6DAA">
        <w:rPr>
          <w:noProof/>
        </w:rPr>
        <w:t>episami prawnymi, które będą realizowane przez służby Komisji</w:t>
      </w:r>
      <w:r w:rsidR="00062BFA" w:rsidRPr="004F6DAA">
        <w:rPr>
          <w:noProof/>
        </w:rPr>
        <w:t xml:space="preserve"> w</w:t>
      </w:r>
      <w:r w:rsidR="00062BFA">
        <w:rPr>
          <w:noProof/>
        </w:rPr>
        <w:t> </w:t>
      </w:r>
      <w:r w:rsidR="00062BFA" w:rsidRPr="004F6DAA">
        <w:rPr>
          <w:noProof/>
        </w:rPr>
        <w:t>lat</w:t>
      </w:r>
      <w:r w:rsidRPr="004F6DAA">
        <w:rPr>
          <w:noProof/>
        </w:rPr>
        <w:t>ach 2022–2027,</w:t>
      </w:r>
      <w:r w:rsidR="00062BFA" w:rsidRPr="004F6DAA">
        <w:rPr>
          <w:noProof/>
        </w:rPr>
        <w:t xml:space="preserve"> w</w:t>
      </w:r>
      <w:r w:rsidR="00062BFA">
        <w:rPr>
          <w:noProof/>
        </w:rPr>
        <w:t> </w:t>
      </w:r>
      <w:r w:rsidR="00062BFA" w:rsidRPr="004F6DAA">
        <w:rPr>
          <w:noProof/>
        </w:rPr>
        <w:t>tym</w:t>
      </w:r>
      <w:r w:rsidRPr="004F6DAA">
        <w:rPr>
          <w:noProof/>
        </w:rPr>
        <w:t xml:space="preserve"> zamówień publicznych</w:t>
      </w:r>
      <w:r w:rsidR="00062BFA" w:rsidRPr="004F6DAA">
        <w:rPr>
          <w:noProof/>
        </w:rPr>
        <w:t xml:space="preserve"> i</w:t>
      </w:r>
      <w:r w:rsidR="00062BFA">
        <w:rPr>
          <w:noProof/>
        </w:rPr>
        <w:t> </w:t>
      </w:r>
      <w:r w:rsidR="00062BFA" w:rsidRPr="004F6DAA">
        <w:rPr>
          <w:noProof/>
        </w:rPr>
        <w:t>ewe</w:t>
      </w:r>
      <w:r w:rsidRPr="004F6DAA">
        <w:rPr>
          <w:noProof/>
        </w:rPr>
        <w:t>ntualnych porozumień administracyjnych.</w:t>
      </w:r>
    </w:p>
    <w:p w14:paraId="6FE7C118" w14:textId="77777777" w:rsidR="001C3FCC" w:rsidRPr="004F6DAA" w:rsidRDefault="001C3FCC" w:rsidP="009A3168">
      <w:pPr>
        <w:pStyle w:val="ManualHeading1"/>
        <w:rPr>
          <w:noProof/>
        </w:rPr>
      </w:pPr>
      <w:r w:rsidRPr="004F6DAA">
        <w:rPr>
          <w:noProof/>
        </w:rPr>
        <w:t>5.</w:t>
      </w:r>
      <w:r w:rsidRPr="004F6DAA">
        <w:rPr>
          <w:noProof/>
        </w:rPr>
        <w:tab/>
        <w:t>ELEMENTY FAKULTATYWNE</w:t>
      </w:r>
    </w:p>
    <w:p w14:paraId="28E7BB05" w14:textId="77777777" w:rsidR="001C3FCC" w:rsidRPr="004F6DAA" w:rsidRDefault="001C3FCC" w:rsidP="009A3168">
      <w:pPr>
        <w:pStyle w:val="ManualHeading2"/>
        <w:rPr>
          <w:rFonts w:eastAsia="Arial Unicode MS"/>
          <w:noProof/>
          <w:u w:color="000000"/>
          <w:bdr w:val="nil"/>
        </w:rPr>
      </w:pPr>
      <w:r w:rsidRPr="004F6DAA">
        <w:rPr>
          <w:noProof/>
          <w:u w:color="000000"/>
          <w:bdr w:val="nil"/>
        </w:rPr>
        <w:t>•</w:t>
      </w:r>
      <w:r w:rsidRPr="004F6DAA">
        <w:rPr>
          <w:noProof/>
        </w:rPr>
        <w:tab/>
      </w:r>
      <w:r w:rsidRPr="004F6DAA">
        <w:rPr>
          <w:noProof/>
          <w:u w:color="000000"/>
          <w:bdr w:val="nil"/>
        </w:rPr>
        <w:t>Plany wdrożenia</w:t>
      </w:r>
      <w:r w:rsidR="00062BFA" w:rsidRPr="004F6DAA">
        <w:rPr>
          <w:noProof/>
          <w:u w:color="000000"/>
          <w:bdr w:val="nil"/>
        </w:rPr>
        <w:t xml:space="preserve"> i</w:t>
      </w:r>
      <w:r w:rsidR="00062BFA">
        <w:rPr>
          <w:noProof/>
          <w:u w:color="000000"/>
          <w:bdr w:val="nil"/>
        </w:rPr>
        <w:t> </w:t>
      </w:r>
      <w:r w:rsidR="00062BFA" w:rsidRPr="004F6DAA">
        <w:rPr>
          <w:noProof/>
          <w:u w:color="000000"/>
          <w:bdr w:val="nil"/>
        </w:rPr>
        <w:t>mon</w:t>
      </w:r>
      <w:r w:rsidRPr="004F6DAA">
        <w:rPr>
          <w:noProof/>
          <w:u w:color="000000"/>
          <w:bdr w:val="nil"/>
        </w:rPr>
        <w:t>itorowanie, ocena</w:t>
      </w:r>
      <w:r w:rsidR="00062BFA" w:rsidRPr="004F6DAA">
        <w:rPr>
          <w:noProof/>
          <w:u w:color="000000"/>
          <w:bdr w:val="nil"/>
        </w:rPr>
        <w:t xml:space="preserve"> i</w:t>
      </w:r>
      <w:r w:rsidR="00062BFA">
        <w:rPr>
          <w:noProof/>
          <w:u w:color="000000"/>
          <w:bdr w:val="nil"/>
        </w:rPr>
        <w:t> </w:t>
      </w:r>
      <w:r w:rsidR="00062BFA" w:rsidRPr="004F6DAA">
        <w:rPr>
          <w:noProof/>
          <w:u w:color="000000"/>
          <w:bdr w:val="nil"/>
        </w:rPr>
        <w:t>spr</w:t>
      </w:r>
      <w:r w:rsidRPr="004F6DAA">
        <w:rPr>
          <w:noProof/>
          <w:u w:color="000000"/>
          <w:bdr w:val="nil"/>
        </w:rPr>
        <w:t>awozdania</w:t>
      </w:r>
    </w:p>
    <w:p w14:paraId="5CFE67AF" w14:textId="77777777" w:rsidR="00CB1B6B" w:rsidRPr="004F6DAA" w:rsidRDefault="00CB1B6B" w:rsidP="00CB1B6B">
      <w:pPr>
        <w:pBdr>
          <w:top w:val="nil"/>
          <w:left w:val="nil"/>
          <w:bottom w:val="nil"/>
          <w:right w:val="nil"/>
          <w:between w:val="nil"/>
          <w:bar w:val="nil"/>
        </w:pBdr>
        <w:spacing w:before="0" w:after="240"/>
        <w:rPr>
          <w:rFonts w:eastAsia="Calibri"/>
          <w:i/>
          <w:noProof/>
          <w:sz w:val="22"/>
        </w:rPr>
      </w:pPr>
      <w:r w:rsidRPr="004F6DAA">
        <w:rPr>
          <w:noProof/>
        </w:rPr>
        <w:t>Organy państw członkowskich (w szczególności właściwe organy,</w:t>
      </w:r>
      <w:r w:rsidR="00062BFA" w:rsidRPr="004F6DAA">
        <w:rPr>
          <w:noProof/>
        </w:rPr>
        <w:t xml:space="preserve"> o</w:t>
      </w:r>
      <w:r w:rsidR="00062BFA">
        <w:rPr>
          <w:noProof/>
        </w:rPr>
        <w:t> </w:t>
      </w:r>
      <w:r w:rsidR="00062BFA" w:rsidRPr="004F6DAA">
        <w:rPr>
          <w:noProof/>
        </w:rPr>
        <w:t>któ</w:t>
      </w:r>
      <w:r w:rsidRPr="004F6DAA">
        <w:rPr>
          <w:noProof/>
        </w:rPr>
        <w:t>rych mowa</w:t>
      </w:r>
      <w:r w:rsidR="00062BFA" w:rsidRPr="004F6DAA">
        <w:rPr>
          <w:noProof/>
        </w:rPr>
        <w:t xml:space="preserve"> w</w:t>
      </w:r>
      <w:r w:rsidR="00062BFA">
        <w:rPr>
          <w:noProof/>
        </w:rPr>
        <w:t> </w:t>
      </w:r>
      <w:r w:rsidR="00062BFA" w:rsidRPr="004F6DAA">
        <w:rPr>
          <w:noProof/>
        </w:rPr>
        <w:t>roz</w:t>
      </w:r>
      <w:r w:rsidRPr="004F6DAA">
        <w:rPr>
          <w:noProof/>
        </w:rPr>
        <w:t>dziale 3) są odpowiedzialne za egzekwowanie przepisów niniejszego rozporządzenia</w:t>
      </w:r>
      <w:r w:rsidR="00062BFA" w:rsidRPr="004F6DAA">
        <w:rPr>
          <w:noProof/>
        </w:rPr>
        <w:t>. W</w:t>
      </w:r>
      <w:r w:rsidR="00062BFA">
        <w:rPr>
          <w:noProof/>
        </w:rPr>
        <w:t> </w:t>
      </w:r>
      <w:r w:rsidR="00062BFA" w:rsidRPr="004F6DAA">
        <w:rPr>
          <w:noProof/>
        </w:rPr>
        <w:t>tym</w:t>
      </w:r>
      <w:r w:rsidRPr="004F6DAA">
        <w:rPr>
          <w:noProof/>
        </w:rPr>
        <w:t xml:space="preserve"> celu sporządzają one plany inspekcji na podstawie podejścia opartego na analizie ryzyka, uwzględniając poziom ryzyka przypisany za pośrednictwem systemu wskaźników dla poszczególnych krajów. Ramy sprawozdawczości ustanowione</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2</w:t>
      </w:r>
      <w:r w:rsidRPr="004F6DAA">
        <w:rPr>
          <w:noProof/>
        </w:rPr>
        <w:t>0 opierają się na doświadczeniach związanych</w:t>
      </w:r>
      <w:r w:rsidR="00062BFA" w:rsidRPr="004F6DAA">
        <w:rPr>
          <w:noProof/>
        </w:rPr>
        <w:t xml:space="preserve"> z</w:t>
      </w:r>
      <w:r w:rsidR="00062BFA">
        <w:rPr>
          <w:noProof/>
        </w:rPr>
        <w:t> </w:t>
      </w:r>
      <w:r w:rsidR="00062BFA" w:rsidRPr="004F6DAA">
        <w:rPr>
          <w:noProof/>
        </w:rPr>
        <w:t>roz</w:t>
      </w:r>
      <w:r w:rsidRPr="004F6DAA">
        <w:rPr>
          <w:noProof/>
        </w:rPr>
        <w:t>porządzeniem</w:t>
      </w:r>
      <w:r w:rsidR="00062BFA" w:rsidRPr="004F6DAA">
        <w:rPr>
          <w:noProof/>
        </w:rPr>
        <w:t xml:space="preserve"> w</w:t>
      </w:r>
      <w:r w:rsidR="00062BFA">
        <w:rPr>
          <w:noProof/>
        </w:rPr>
        <w:t> </w:t>
      </w:r>
      <w:r w:rsidR="00062BFA" w:rsidRPr="004F6DAA">
        <w:rPr>
          <w:noProof/>
        </w:rPr>
        <w:t>spr</w:t>
      </w:r>
      <w:r w:rsidRPr="004F6DAA">
        <w:rPr>
          <w:noProof/>
        </w:rPr>
        <w:t>awie drewna</w:t>
      </w:r>
      <w:r w:rsidR="00062BFA" w:rsidRPr="004F6DAA">
        <w:rPr>
          <w:noProof/>
        </w:rPr>
        <w:t xml:space="preserve"> i</w:t>
      </w:r>
      <w:r w:rsidR="00062BFA">
        <w:rPr>
          <w:noProof/>
        </w:rPr>
        <w:t> </w:t>
      </w:r>
      <w:r w:rsidR="00062BFA" w:rsidRPr="004F6DAA">
        <w:rPr>
          <w:noProof/>
        </w:rPr>
        <w:t>maj</w:t>
      </w:r>
      <w:r w:rsidRPr="004F6DAA">
        <w:rPr>
          <w:noProof/>
        </w:rPr>
        <w:t>ą na celu wzmocnienie przeglądu działań państw członkowskich</w:t>
      </w:r>
      <w:r w:rsidR="00062BFA" w:rsidRPr="004F6DAA">
        <w:rPr>
          <w:noProof/>
        </w:rPr>
        <w:t xml:space="preserve"> w</w:t>
      </w:r>
      <w:r w:rsidR="00062BFA">
        <w:rPr>
          <w:noProof/>
        </w:rPr>
        <w:t> </w:t>
      </w:r>
      <w:r w:rsidR="00062BFA" w:rsidRPr="004F6DAA">
        <w:rPr>
          <w:noProof/>
        </w:rPr>
        <w:t>zak</w:t>
      </w:r>
      <w:r w:rsidRPr="004F6DAA">
        <w:rPr>
          <w:noProof/>
        </w:rPr>
        <w:t>resie monitorowania, treści</w:t>
      </w:r>
      <w:r w:rsidR="00062BFA" w:rsidRPr="004F6DAA">
        <w:rPr>
          <w:noProof/>
        </w:rPr>
        <w:t xml:space="preserve"> i</w:t>
      </w:r>
      <w:r w:rsidR="00062BFA">
        <w:rPr>
          <w:noProof/>
        </w:rPr>
        <w:t> </w:t>
      </w:r>
      <w:r w:rsidR="00062BFA" w:rsidRPr="004F6DAA">
        <w:rPr>
          <w:noProof/>
        </w:rPr>
        <w:t>jak</w:t>
      </w:r>
      <w:r w:rsidRPr="004F6DAA">
        <w:rPr>
          <w:noProof/>
        </w:rPr>
        <w:t>ości kontroli,</w:t>
      </w:r>
      <w:r w:rsidR="00062BFA" w:rsidRPr="004F6DAA">
        <w:rPr>
          <w:noProof/>
        </w:rPr>
        <w:t xml:space="preserve"> a</w:t>
      </w:r>
      <w:r w:rsidR="00062BFA">
        <w:rPr>
          <w:noProof/>
        </w:rPr>
        <w:t> </w:t>
      </w:r>
      <w:r w:rsidR="00062BFA" w:rsidRPr="004F6DAA">
        <w:rPr>
          <w:noProof/>
        </w:rPr>
        <w:t>tak</w:t>
      </w:r>
      <w:r w:rsidRPr="004F6DAA">
        <w:rPr>
          <w:noProof/>
        </w:rPr>
        <w:t>że działań następczych</w:t>
      </w:r>
      <w:r w:rsidR="00062BFA" w:rsidRPr="004F6DAA">
        <w:rPr>
          <w:noProof/>
        </w:rPr>
        <w:t xml:space="preserve">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tym</w:t>
      </w:r>
      <w:r w:rsidRPr="004F6DAA">
        <w:rPr>
          <w:noProof/>
        </w:rPr>
        <w:t>i kontrolami.</w:t>
      </w:r>
    </w:p>
    <w:p w14:paraId="26DC9F9C" w14:textId="77777777" w:rsidR="00CB1B6B" w:rsidRPr="004F6DAA" w:rsidRDefault="00CB1B6B" w:rsidP="00CB1B6B">
      <w:pPr>
        <w:pBdr>
          <w:top w:val="nil"/>
          <w:left w:val="nil"/>
          <w:bottom w:val="nil"/>
          <w:right w:val="nil"/>
          <w:between w:val="nil"/>
          <w:bar w:val="nil"/>
        </w:pBdr>
        <w:spacing w:before="0" w:after="240"/>
        <w:rPr>
          <w:rFonts w:eastAsia="Arial Unicode MS"/>
          <w:noProof/>
        </w:rPr>
      </w:pPr>
      <w:r w:rsidRPr="004F6DAA">
        <w:rPr>
          <w:noProof/>
        </w:rPr>
        <w:t>System należy poddać przeglądowi po trzech latach pełnego stosowania</w:t>
      </w:r>
      <w:r w:rsidR="00062BFA" w:rsidRPr="004F6DAA">
        <w:rPr>
          <w:noProof/>
        </w:rPr>
        <w:t xml:space="preserve"> w</w:t>
      </w:r>
      <w:r w:rsidR="00062BFA">
        <w:rPr>
          <w:noProof/>
        </w:rPr>
        <w:t> </w:t>
      </w:r>
      <w:r w:rsidR="00062BFA" w:rsidRPr="004F6DAA">
        <w:rPr>
          <w:noProof/>
        </w:rPr>
        <w:t>cel</w:t>
      </w:r>
      <w:r w:rsidRPr="004F6DAA">
        <w:rPr>
          <w:noProof/>
        </w:rPr>
        <w:t>u określenia wszelkich problemów</w:t>
      </w:r>
      <w:r w:rsidR="00062BFA" w:rsidRPr="004F6DAA">
        <w:rPr>
          <w:noProof/>
        </w:rPr>
        <w:t xml:space="preserve"> i</w:t>
      </w:r>
      <w:r w:rsidR="00062BFA">
        <w:rPr>
          <w:noProof/>
        </w:rPr>
        <w:t> </w:t>
      </w:r>
      <w:r w:rsidR="00062BFA" w:rsidRPr="004F6DAA">
        <w:rPr>
          <w:noProof/>
        </w:rPr>
        <w:t>pot</w:t>
      </w:r>
      <w:r w:rsidRPr="004F6DAA">
        <w:rPr>
          <w:noProof/>
        </w:rPr>
        <w:t>encjalnych ulepszeń,</w:t>
      </w:r>
      <w:r w:rsidR="00062BFA" w:rsidRPr="004F6DAA">
        <w:rPr>
          <w:noProof/>
        </w:rPr>
        <w:t xml:space="preserve"> a</w:t>
      </w:r>
      <w:r w:rsidR="00062BFA">
        <w:rPr>
          <w:noProof/>
        </w:rPr>
        <w:t> </w:t>
      </w:r>
      <w:r w:rsidR="00062BFA" w:rsidRPr="004F6DAA">
        <w:rPr>
          <w:noProof/>
        </w:rPr>
        <w:t>nas</w:t>
      </w:r>
      <w:r w:rsidRPr="004F6DAA">
        <w:rPr>
          <w:noProof/>
        </w:rPr>
        <w:t>tępnie należy go poddawać przeglądowi co pięć lat</w:t>
      </w:r>
      <w:r w:rsidR="00062BFA" w:rsidRPr="004F6DAA">
        <w:rPr>
          <w:noProof/>
        </w:rPr>
        <w:t>. W</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2 przewidziano wyraźnie, że pierwszy przegląd powinien obejmować ocenę potrzeby</w:t>
      </w:r>
      <w:r w:rsidR="00062BFA" w:rsidRPr="004F6DAA">
        <w:rPr>
          <w:noProof/>
        </w:rPr>
        <w:t xml:space="preserve"> i</w:t>
      </w:r>
      <w:r w:rsidR="00062BFA">
        <w:rPr>
          <w:noProof/>
        </w:rPr>
        <w:t> </w:t>
      </w:r>
      <w:r w:rsidR="00062BFA" w:rsidRPr="004F6DAA">
        <w:rPr>
          <w:noProof/>
        </w:rPr>
        <w:t>wyk</w:t>
      </w:r>
      <w:r w:rsidRPr="004F6DAA">
        <w:rPr>
          <w:noProof/>
        </w:rPr>
        <w:t>onalności rozszerzenia zakresu rozporządzenia na inne ekosystemy. Ponadto najpóźniej</w:t>
      </w:r>
      <w:r w:rsidR="00062BFA" w:rsidRPr="004F6DAA">
        <w:rPr>
          <w:noProof/>
        </w:rPr>
        <w:t xml:space="preserve"> w</w:t>
      </w:r>
      <w:r w:rsidR="00062BFA">
        <w:rPr>
          <w:noProof/>
        </w:rPr>
        <w:t> </w:t>
      </w:r>
      <w:r w:rsidR="00062BFA" w:rsidRPr="004F6DAA">
        <w:rPr>
          <w:noProof/>
        </w:rPr>
        <w:t>cią</w:t>
      </w:r>
      <w:r w:rsidRPr="004F6DAA">
        <w:rPr>
          <w:noProof/>
        </w:rPr>
        <w:t>gu dwóch lat od dnia wejścia</w:t>
      </w:r>
      <w:r w:rsidR="00062BFA" w:rsidRPr="004F6DAA">
        <w:rPr>
          <w:noProof/>
        </w:rPr>
        <w:t xml:space="preserve"> w</w:t>
      </w:r>
      <w:r w:rsidR="00062BFA">
        <w:rPr>
          <w:noProof/>
        </w:rPr>
        <w:t> </w:t>
      </w:r>
      <w:r w:rsidR="00062BFA" w:rsidRPr="004F6DAA">
        <w:rPr>
          <w:noProof/>
        </w:rPr>
        <w:t>życ</w:t>
      </w:r>
      <w:r w:rsidRPr="004F6DAA">
        <w:rPr>
          <w:noProof/>
        </w:rPr>
        <w:t>ie Komisja dokona pierwszego przeglądu załącznika I, kierując się wytycznymi wynikającymi</w:t>
      </w:r>
      <w:r w:rsidR="00062BFA" w:rsidRPr="004F6DAA">
        <w:rPr>
          <w:noProof/>
        </w:rPr>
        <w:t xml:space="preserve"> z</w:t>
      </w:r>
      <w:r w:rsidR="00062BFA">
        <w:rPr>
          <w:noProof/>
        </w:rPr>
        <w:t> </w:t>
      </w:r>
      <w:r w:rsidR="00062BFA" w:rsidRPr="004F6DAA">
        <w:rPr>
          <w:noProof/>
        </w:rPr>
        <w:t>dow</w:t>
      </w:r>
      <w:r w:rsidRPr="004F6DAA">
        <w:rPr>
          <w:noProof/>
        </w:rPr>
        <w:t xml:space="preserve">odów naukowych. </w:t>
      </w:r>
    </w:p>
    <w:p w14:paraId="78E3E0E3" w14:textId="77777777" w:rsidR="001C3FCC" w:rsidRPr="004F6DAA" w:rsidRDefault="001C3FCC" w:rsidP="009A3168">
      <w:pPr>
        <w:pStyle w:val="ManualHeading2"/>
        <w:rPr>
          <w:rFonts w:eastAsia="Arial Unicode MS"/>
          <w:noProof/>
          <w:u w:color="000000"/>
          <w:bdr w:val="nil"/>
        </w:rPr>
      </w:pPr>
      <w:r w:rsidRPr="004F6DAA">
        <w:rPr>
          <w:noProof/>
          <w:u w:color="000000"/>
          <w:bdr w:val="nil"/>
        </w:rPr>
        <w:t>•</w:t>
      </w:r>
      <w:r w:rsidRPr="004F6DAA">
        <w:rPr>
          <w:noProof/>
        </w:rPr>
        <w:tab/>
      </w:r>
      <w:r w:rsidRPr="004F6DAA">
        <w:rPr>
          <w:noProof/>
          <w:u w:color="000000"/>
          <w:bdr w:val="nil"/>
        </w:rPr>
        <w:t>Szczegółowe objaśnienia poszczególnych przepisów wniosku</w:t>
      </w:r>
    </w:p>
    <w:p w14:paraId="59374DAA" w14:textId="77777777" w:rsidR="009A3168" w:rsidRPr="004F6DAA" w:rsidRDefault="00BC24D7" w:rsidP="00C5456E">
      <w:pPr>
        <w:pStyle w:val="Bullet1"/>
        <w:numPr>
          <w:ilvl w:val="0"/>
          <w:numId w:val="17"/>
        </w:numPr>
        <w:rPr>
          <w:noProof/>
        </w:rPr>
      </w:pPr>
      <w:r w:rsidRPr="004F6DAA">
        <w:rPr>
          <w:noProof/>
        </w:rPr>
        <w:tab/>
      </w:r>
      <w:r w:rsidRPr="004F6DAA">
        <w:rPr>
          <w:i/>
          <w:noProof/>
        </w:rPr>
        <w:t>Artykuł 1: Przedmiot</w:t>
      </w:r>
      <w:r w:rsidR="00062BFA" w:rsidRPr="004F6DAA">
        <w:rPr>
          <w:i/>
          <w:noProof/>
        </w:rPr>
        <w:t xml:space="preserve"> i</w:t>
      </w:r>
      <w:r w:rsidR="00062BFA">
        <w:rPr>
          <w:i/>
          <w:noProof/>
        </w:rPr>
        <w:t> </w:t>
      </w:r>
      <w:r w:rsidR="00062BFA" w:rsidRPr="004F6DAA">
        <w:rPr>
          <w:i/>
          <w:noProof/>
        </w:rPr>
        <w:t>zak</w:t>
      </w:r>
      <w:r w:rsidRPr="004F6DAA">
        <w:rPr>
          <w:i/>
          <w:noProof/>
        </w:rPr>
        <w:t>res</w:t>
      </w:r>
    </w:p>
    <w:p w14:paraId="39AB4D7F" w14:textId="77777777" w:rsidR="009A3168" w:rsidRPr="004F6DAA" w:rsidRDefault="00EC19AE" w:rsidP="009A3168">
      <w:pPr>
        <w:pBdr>
          <w:top w:val="nil"/>
          <w:left w:val="nil"/>
          <w:bottom w:val="nil"/>
          <w:right w:val="nil"/>
          <w:between w:val="nil"/>
          <w:bar w:val="nil"/>
        </w:pBdr>
        <w:spacing w:before="0"/>
        <w:rPr>
          <w:rFonts w:eastAsia="Arial Unicode MS"/>
          <w:noProof/>
        </w:rPr>
      </w:pPr>
      <w:r w:rsidRPr="004F6DAA">
        <w:rPr>
          <w:noProof/>
        </w:rPr>
        <w:t xml:space="preserve">W </w:t>
      </w:r>
      <w:r w:rsidRPr="00062BFA">
        <w:rPr>
          <w:noProof/>
        </w:rPr>
        <w:t>art.</w:t>
      </w:r>
      <w:r w:rsidR="00062BFA" w:rsidRPr="00062BFA">
        <w:rPr>
          <w:noProof/>
        </w:rPr>
        <w:t> </w:t>
      </w:r>
      <w:r w:rsidRPr="00062BFA">
        <w:rPr>
          <w:noProof/>
        </w:rPr>
        <w:t>1</w:t>
      </w:r>
      <w:r w:rsidRPr="004F6DAA">
        <w:rPr>
          <w:noProof/>
        </w:rPr>
        <w:t xml:space="preserve"> akapit pierwszy określono zakres przedmiotowy rozporządzenia przez zdefiniowanie „odnośnych towarów” (tj. bydła, kakao, kawy, oleju palmowego, soi</w:t>
      </w:r>
      <w:r w:rsidR="00062BFA" w:rsidRPr="004F6DAA">
        <w:rPr>
          <w:noProof/>
        </w:rPr>
        <w:t xml:space="preserve"> i</w:t>
      </w:r>
      <w:r w:rsidR="00062BFA">
        <w:rPr>
          <w:noProof/>
        </w:rPr>
        <w:t> </w:t>
      </w:r>
      <w:r w:rsidR="00062BFA" w:rsidRPr="004F6DAA">
        <w:rPr>
          <w:noProof/>
        </w:rPr>
        <w:t>dre</w:t>
      </w:r>
      <w:r w:rsidRPr="004F6DAA">
        <w:rPr>
          <w:noProof/>
        </w:rPr>
        <w:t>wna) oraz „odnośnych produktów” (tj. produktów wymienionych</w:t>
      </w:r>
      <w:r w:rsidR="00062BFA" w:rsidRPr="004F6DAA">
        <w:rPr>
          <w:noProof/>
        </w:rPr>
        <w:t xml:space="preserve"> w</w:t>
      </w:r>
      <w:r w:rsidR="00062BFA">
        <w:rPr>
          <w:noProof/>
        </w:rPr>
        <w:t> </w:t>
      </w:r>
      <w:r w:rsidR="00062BFA" w:rsidRPr="004F6DAA">
        <w:rPr>
          <w:noProof/>
        </w:rPr>
        <w:t>zał</w:t>
      </w:r>
      <w:r w:rsidRPr="004F6DAA">
        <w:rPr>
          <w:noProof/>
        </w:rPr>
        <w:t>ączniku I, które zawierają odnośne towary, były nimi karmione lub zostały wytworzone przy ich użyciu), do których będzie miało zastosowanie niniejsze rozporządzenie. Zawarto</w:t>
      </w:r>
      <w:r w:rsidR="00062BFA" w:rsidRPr="004F6DAA">
        <w:rPr>
          <w:noProof/>
        </w:rPr>
        <w:t xml:space="preserve"> w</w:t>
      </w:r>
      <w:r w:rsidR="00062BFA">
        <w:rPr>
          <w:noProof/>
        </w:rPr>
        <w:t> </w:t>
      </w:r>
      <w:r w:rsidR="00062BFA" w:rsidRPr="004F6DAA">
        <w:rPr>
          <w:noProof/>
        </w:rPr>
        <w:t>nim</w:t>
      </w:r>
      <w:r w:rsidRPr="004F6DAA">
        <w:rPr>
          <w:noProof/>
        </w:rPr>
        <w:t xml:space="preserve"> również wyjaśnienie, że rozporządzenie będzie miało zastosowanie zarówno do wprowadzania do obrotu</w:t>
      </w:r>
      <w:r w:rsidR="00062BFA" w:rsidRPr="004F6DAA">
        <w:rPr>
          <w:noProof/>
        </w:rPr>
        <w:t xml:space="preserve"> i</w:t>
      </w:r>
      <w:r w:rsidR="00062BFA">
        <w:rPr>
          <w:noProof/>
        </w:rPr>
        <w:t> </w:t>
      </w:r>
      <w:r w:rsidR="00062BFA" w:rsidRPr="004F6DAA">
        <w:rPr>
          <w:noProof/>
        </w:rPr>
        <w:t>udo</w:t>
      </w:r>
      <w:r w:rsidRPr="004F6DAA">
        <w:rPr>
          <w:noProof/>
        </w:rPr>
        <w:t>stępniania na rynku unijnym, jak i do wywozu</w:t>
      </w:r>
      <w:r w:rsidR="00062BFA" w:rsidRPr="004F6DAA">
        <w:rPr>
          <w:noProof/>
        </w:rPr>
        <w:t xml:space="preserve"> z</w:t>
      </w:r>
      <w:r w:rsidR="00062BFA">
        <w:rPr>
          <w:noProof/>
        </w:rPr>
        <w:t> </w:t>
      </w:r>
      <w:r w:rsidR="00062BFA" w:rsidRPr="004F6DAA">
        <w:rPr>
          <w:noProof/>
        </w:rPr>
        <w:t>Uni</w:t>
      </w:r>
      <w:r w:rsidRPr="004F6DAA">
        <w:rPr>
          <w:noProof/>
        </w:rPr>
        <w:t>i.</w:t>
      </w:r>
    </w:p>
    <w:p w14:paraId="7BC8D9B3" w14:textId="77777777" w:rsidR="009A3168" w:rsidRPr="004F6DAA" w:rsidRDefault="00EC19AE" w:rsidP="009A3168">
      <w:pPr>
        <w:pBdr>
          <w:top w:val="nil"/>
          <w:left w:val="nil"/>
          <w:bottom w:val="nil"/>
          <w:right w:val="nil"/>
          <w:between w:val="nil"/>
          <w:bar w:val="nil"/>
        </w:pBdr>
        <w:spacing w:before="0"/>
        <w:rPr>
          <w:rFonts w:eastAsia="Arial Unicode MS"/>
          <w:noProof/>
        </w:rPr>
      </w:pPr>
      <w:r w:rsidRPr="004F6DAA">
        <w:rPr>
          <w:noProof/>
        </w:rPr>
        <w:t>W akapicie drugim wyjaśniono czasowy zakres stosowania niniejszego rozporządzenia, wskazując, że nie będzie ono miało zastosowania do odnośnych towarów</w:t>
      </w:r>
      <w:r w:rsidR="00062BFA" w:rsidRPr="004F6DAA">
        <w:rPr>
          <w:noProof/>
        </w:rPr>
        <w:t xml:space="preserve"> i</w:t>
      </w:r>
      <w:r w:rsidR="00062BFA">
        <w:rPr>
          <w:noProof/>
        </w:rPr>
        <w:t> </w:t>
      </w:r>
      <w:r w:rsidR="00062BFA" w:rsidRPr="004F6DAA">
        <w:rPr>
          <w:noProof/>
        </w:rPr>
        <w:t>pro</w:t>
      </w:r>
      <w:r w:rsidRPr="004F6DAA">
        <w:rPr>
          <w:noProof/>
        </w:rPr>
        <w:t>duktów wprowadzanych do obrotu</w:t>
      </w:r>
      <w:r w:rsidR="00062BFA" w:rsidRPr="004F6DAA">
        <w:rPr>
          <w:noProof/>
        </w:rPr>
        <w:t xml:space="preserve"> w</w:t>
      </w:r>
      <w:r w:rsidR="00062BFA">
        <w:rPr>
          <w:noProof/>
        </w:rPr>
        <w:t> </w:t>
      </w:r>
      <w:r w:rsidR="00062BFA" w:rsidRPr="004F6DAA">
        <w:rPr>
          <w:noProof/>
        </w:rPr>
        <w:t>Uni</w:t>
      </w:r>
      <w:r w:rsidRPr="004F6DAA">
        <w:rPr>
          <w:noProof/>
        </w:rPr>
        <w:t>i lub wywożonych</w:t>
      </w:r>
      <w:r w:rsidR="00062BFA" w:rsidRPr="004F6DAA">
        <w:rPr>
          <w:noProof/>
        </w:rPr>
        <w:t xml:space="preserve"> z</w:t>
      </w:r>
      <w:r w:rsidR="00062BFA">
        <w:rPr>
          <w:noProof/>
        </w:rPr>
        <w:t> </w:t>
      </w:r>
      <w:r w:rsidR="00062BFA" w:rsidRPr="004F6DAA">
        <w:rPr>
          <w:noProof/>
        </w:rPr>
        <w:t>ryn</w:t>
      </w:r>
      <w:r w:rsidRPr="004F6DAA">
        <w:rPr>
          <w:noProof/>
        </w:rPr>
        <w:t>ku unijnego, które wyprodukowano przed datą wejścia</w:t>
      </w:r>
      <w:r w:rsidR="00062BFA" w:rsidRPr="004F6DAA">
        <w:rPr>
          <w:noProof/>
        </w:rPr>
        <w:t xml:space="preserve"> w</w:t>
      </w:r>
      <w:r w:rsidR="00062BFA">
        <w:rPr>
          <w:noProof/>
        </w:rPr>
        <w:t> </w:t>
      </w:r>
      <w:r w:rsidR="00062BFA" w:rsidRPr="004F6DAA">
        <w:rPr>
          <w:noProof/>
        </w:rPr>
        <w:t>życ</w:t>
      </w:r>
      <w:r w:rsidRPr="004F6DAA">
        <w:rPr>
          <w:noProof/>
        </w:rPr>
        <w:t>ie określoną</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6.</w:t>
      </w:r>
    </w:p>
    <w:p w14:paraId="63549CB0" w14:textId="77777777" w:rsidR="009A3168" w:rsidRPr="004F6DAA" w:rsidRDefault="009A3168" w:rsidP="00445504">
      <w:pPr>
        <w:pStyle w:val="Bullet1"/>
        <w:rPr>
          <w:i/>
          <w:noProof/>
        </w:rPr>
      </w:pPr>
      <w:r w:rsidRPr="004F6DAA">
        <w:rPr>
          <w:i/>
          <w:noProof/>
        </w:rPr>
        <w:t xml:space="preserve">Artykuł 2: Definicje </w:t>
      </w:r>
    </w:p>
    <w:p w14:paraId="400C0519" w14:textId="77777777" w:rsidR="009A3168" w:rsidRPr="004F6DAA" w:rsidRDefault="00EC19AE" w:rsidP="009A3168">
      <w:pPr>
        <w:pBdr>
          <w:top w:val="nil"/>
          <w:left w:val="nil"/>
          <w:bottom w:val="nil"/>
          <w:right w:val="nil"/>
          <w:between w:val="nil"/>
          <w:bar w:val="nil"/>
        </w:pBdr>
        <w:spacing w:before="0"/>
        <w:rPr>
          <w:rFonts w:eastAsia="Arial Unicode MS"/>
          <w:noProof/>
        </w:rPr>
      </w:pPr>
      <w:r w:rsidRPr="004F6DAA">
        <w:rPr>
          <w:noProof/>
        </w:rPr>
        <w:t xml:space="preserve">W </w:t>
      </w:r>
      <w:r w:rsidRPr="00062BFA">
        <w:rPr>
          <w:noProof/>
        </w:rPr>
        <w:t>art.</w:t>
      </w:r>
      <w:r w:rsidR="00062BFA" w:rsidRPr="00062BFA">
        <w:rPr>
          <w:noProof/>
        </w:rPr>
        <w:t> </w:t>
      </w:r>
      <w:r w:rsidRPr="00062BFA">
        <w:rPr>
          <w:noProof/>
        </w:rPr>
        <w:t>2</w:t>
      </w:r>
      <w:r w:rsidRPr="004F6DAA">
        <w:rPr>
          <w:noProof/>
        </w:rPr>
        <w:t xml:space="preserve"> ustanowiono definicje stosowane</w:t>
      </w:r>
      <w:r w:rsidR="00062BFA" w:rsidRPr="004F6DAA">
        <w:rPr>
          <w:noProof/>
        </w:rPr>
        <w:t xml:space="preserve"> w</w:t>
      </w:r>
      <w:r w:rsidR="00062BFA">
        <w:rPr>
          <w:noProof/>
        </w:rPr>
        <w:t> </w:t>
      </w:r>
      <w:r w:rsidR="00062BFA" w:rsidRPr="004F6DAA">
        <w:rPr>
          <w:noProof/>
        </w:rPr>
        <w:t>poz</w:t>
      </w:r>
      <w:r w:rsidRPr="004F6DAA">
        <w:rPr>
          <w:noProof/>
        </w:rPr>
        <w:t>ostałej części normatywnej rozporządzenia. Obejmują one definicje [</w:t>
      </w:r>
      <w:r w:rsidRPr="00062BFA">
        <w:rPr>
          <w:noProof/>
        </w:rPr>
        <w:t>pkt</w:t>
      </w:r>
      <w:r w:rsidR="00062BFA" w:rsidRPr="00062BFA">
        <w:rPr>
          <w:noProof/>
        </w:rPr>
        <w:t> </w:t>
      </w:r>
      <w:r w:rsidRPr="00062BFA">
        <w:rPr>
          <w:noProof/>
        </w:rPr>
        <w:t>1</w:t>
      </w:r>
      <w:r w:rsidRPr="004F6DAA">
        <w:rPr>
          <w:noProof/>
        </w:rPr>
        <w:t>–8] niezbędne do wprowadzenia</w:t>
      </w:r>
      <w:r w:rsidR="00062BFA" w:rsidRPr="004F6DAA">
        <w:rPr>
          <w:noProof/>
        </w:rPr>
        <w:t xml:space="preserve"> w</w:t>
      </w:r>
      <w:r w:rsidR="00062BFA">
        <w:rPr>
          <w:noProof/>
        </w:rPr>
        <w:t> </w:t>
      </w:r>
      <w:r w:rsidR="00062BFA" w:rsidRPr="004F6DAA">
        <w:rPr>
          <w:noProof/>
        </w:rPr>
        <w:t>życ</w:t>
      </w:r>
      <w:r w:rsidRPr="004F6DAA">
        <w:rPr>
          <w:noProof/>
        </w:rPr>
        <w:t>ie głównego celu instrumentu, np. wylesianie, las, plantacje, niepowodujący wylesiania</w:t>
      </w:r>
      <w:r w:rsidR="00062BFA" w:rsidRPr="004F6DAA">
        <w:rPr>
          <w:noProof/>
        </w:rPr>
        <w:t xml:space="preserve"> i</w:t>
      </w:r>
      <w:r w:rsidR="00062BFA">
        <w:rPr>
          <w:noProof/>
        </w:rPr>
        <w:t> </w:t>
      </w:r>
      <w:r w:rsidR="00062BFA" w:rsidRPr="004F6DAA">
        <w:rPr>
          <w:noProof/>
        </w:rPr>
        <w:t>wyp</w:t>
      </w:r>
      <w:r w:rsidRPr="004F6DAA">
        <w:rPr>
          <w:noProof/>
        </w:rPr>
        <w:t>rodukowany. Definicje opierają się</w:t>
      </w:r>
      <w:r w:rsidR="00062BFA" w:rsidRPr="004F6DAA">
        <w:rPr>
          <w:noProof/>
        </w:rPr>
        <w:t xml:space="preserve"> w</w:t>
      </w:r>
      <w:r w:rsidR="00062BFA">
        <w:rPr>
          <w:noProof/>
        </w:rPr>
        <w:t> </w:t>
      </w:r>
      <w:r w:rsidR="00062BFA" w:rsidRPr="004F6DAA">
        <w:rPr>
          <w:noProof/>
        </w:rPr>
        <w:t>moż</w:t>
      </w:r>
      <w:r w:rsidRPr="004F6DAA">
        <w:rPr>
          <w:noProof/>
        </w:rPr>
        <w:t>liwie największym stopniu na koncepcjach opracowanych na poziomie międzynarodowym,</w:t>
      </w:r>
      <w:r w:rsidR="00062BFA" w:rsidRPr="004F6DAA">
        <w:rPr>
          <w:noProof/>
        </w:rPr>
        <w:t xml:space="preserve"> w</w:t>
      </w:r>
      <w:r w:rsidR="00062BFA">
        <w:rPr>
          <w:noProof/>
        </w:rPr>
        <w:t> </w:t>
      </w:r>
      <w:r w:rsidR="00062BFA" w:rsidRPr="004F6DAA">
        <w:rPr>
          <w:noProof/>
        </w:rPr>
        <w:t>szc</w:t>
      </w:r>
      <w:r w:rsidRPr="004F6DAA">
        <w:rPr>
          <w:noProof/>
        </w:rPr>
        <w:t>zególności</w:t>
      </w:r>
      <w:r w:rsidR="00062BFA" w:rsidRPr="004F6DAA">
        <w:rPr>
          <w:noProof/>
        </w:rPr>
        <w:t xml:space="preserve"> w</w:t>
      </w:r>
      <w:r w:rsidR="00062BFA">
        <w:rPr>
          <w:noProof/>
        </w:rPr>
        <w:t> </w:t>
      </w:r>
      <w:r w:rsidR="00062BFA" w:rsidRPr="004F6DAA">
        <w:rPr>
          <w:noProof/>
        </w:rPr>
        <w:t>ram</w:t>
      </w:r>
      <w:r w:rsidRPr="004F6DAA">
        <w:rPr>
          <w:noProof/>
        </w:rPr>
        <w:t>ach Organizacji Narodów Zjednoczonych do spraw Wyżywienia</w:t>
      </w:r>
      <w:r w:rsidR="00062BFA" w:rsidRPr="004F6DAA">
        <w:rPr>
          <w:noProof/>
        </w:rPr>
        <w:t xml:space="preserve"> i</w:t>
      </w:r>
      <w:r w:rsidR="00062BFA">
        <w:rPr>
          <w:noProof/>
        </w:rPr>
        <w:t> </w:t>
      </w:r>
      <w:r w:rsidR="00062BFA" w:rsidRPr="004F6DAA">
        <w:rPr>
          <w:noProof/>
        </w:rPr>
        <w:t>Rol</w:t>
      </w:r>
      <w:r w:rsidRPr="004F6DAA">
        <w:rPr>
          <w:noProof/>
        </w:rPr>
        <w:t>nictwa (FAO).</w:t>
      </w:r>
    </w:p>
    <w:p w14:paraId="282C5EE9" w14:textId="77777777" w:rsidR="009A3168" w:rsidRPr="004F6DAA" w:rsidRDefault="00EC19AE" w:rsidP="009A3168">
      <w:pPr>
        <w:pBdr>
          <w:top w:val="nil"/>
          <w:left w:val="nil"/>
          <w:bottom w:val="nil"/>
          <w:right w:val="nil"/>
          <w:between w:val="nil"/>
          <w:bar w:val="nil"/>
        </w:pBdr>
        <w:spacing w:before="0"/>
        <w:rPr>
          <w:rFonts w:eastAsia="Arial Unicode MS"/>
          <w:noProof/>
        </w:rPr>
      </w:pPr>
      <w:r w:rsidRPr="004F6DAA">
        <w:rPr>
          <w:noProof/>
        </w:rPr>
        <w:t>Ustanowienie definicji terminu „niepowodujący wylesiania” jest jedną</w:t>
      </w:r>
      <w:r w:rsidR="00062BFA" w:rsidRPr="004F6DAA">
        <w:rPr>
          <w:noProof/>
        </w:rPr>
        <w:t xml:space="preserve"> z</w:t>
      </w:r>
      <w:r w:rsidR="00062BFA">
        <w:rPr>
          <w:noProof/>
        </w:rPr>
        <w:t> </w:t>
      </w:r>
      <w:r w:rsidR="00062BFA" w:rsidRPr="004F6DAA">
        <w:rPr>
          <w:noProof/>
        </w:rPr>
        <w:t>głó</w:t>
      </w:r>
      <w:r w:rsidRPr="004F6DAA">
        <w:rPr>
          <w:noProof/>
        </w:rPr>
        <w:t>wnych innowacji rozporządzenia, którego dotyczy niniejszy wniosek,</w:t>
      </w:r>
      <w:r w:rsidR="00062BFA" w:rsidRPr="004F6DAA">
        <w:rPr>
          <w:noProof/>
        </w:rPr>
        <w:t xml:space="preserve"> w</w:t>
      </w:r>
      <w:r w:rsidR="00062BFA">
        <w:rPr>
          <w:noProof/>
        </w:rPr>
        <w:t> </w:t>
      </w:r>
      <w:r w:rsidR="00062BFA" w:rsidRPr="004F6DAA">
        <w:rPr>
          <w:noProof/>
        </w:rPr>
        <w:t>sto</w:t>
      </w:r>
      <w:r w:rsidRPr="004F6DAA">
        <w:rPr>
          <w:noProof/>
        </w:rPr>
        <w:t>sunku do rozporządzenia UE</w:t>
      </w:r>
      <w:r w:rsidR="00062BFA" w:rsidRPr="004F6DAA">
        <w:rPr>
          <w:noProof/>
        </w:rPr>
        <w:t xml:space="preserve"> w</w:t>
      </w:r>
      <w:r w:rsidR="00062BFA">
        <w:rPr>
          <w:noProof/>
        </w:rPr>
        <w:t> </w:t>
      </w:r>
      <w:r w:rsidR="00062BFA" w:rsidRPr="004F6DAA">
        <w:rPr>
          <w:noProof/>
        </w:rPr>
        <w:t>spr</w:t>
      </w:r>
      <w:r w:rsidRPr="004F6DAA">
        <w:rPr>
          <w:noProof/>
        </w:rPr>
        <w:t>awie drewna. Wyniki oceny skutków wskazują, że ustanowienie wspólnego wymogu dla produktów</w:t>
      </w:r>
      <w:r w:rsidR="00062BFA" w:rsidRPr="004F6DAA">
        <w:rPr>
          <w:noProof/>
        </w:rPr>
        <w:t xml:space="preserve"> i</w:t>
      </w:r>
      <w:r w:rsidR="00062BFA">
        <w:rPr>
          <w:noProof/>
        </w:rPr>
        <w:t> </w:t>
      </w:r>
      <w:r w:rsidR="00062BFA" w:rsidRPr="004F6DAA">
        <w:rPr>
          <w:noProof/>
        </w:rPr>
        <w:t>tow</w:t>
      </w:r>
      <w:r w:rsidRPr="004F6DAA">
        <w:rPr>
          <w:noProof/>
        </w:rPr>
        <w:t>arów, niezależnie od ich kraju produkcji, powinno zwiększyć skuteczność interwencji politycznej dzięki zapobieganiu lukom prawnym związanym</w:t>
      </w:r>
      <w:r w:rsidR="00062BFA" w:rsidRPr="004F6DAA">
        <w:rPr>
          <w:noProof/>
        </w:rPr>
        <w:t xml:space="preserve"> z</w:t>
      </w:r>
      <w:r w:rsidR="00062BFA">
        <w:rPr>
          <w:noProof/>
        </w:rPr>
        <w:t> </w:t>
      </w:r>
      <w:r w:rsidR="00062BFA" w:rsidRPr="004F6DAA">
        <w:rPr>
          <w:noProof/>
        </w:rPr>
        <w:t>leg</w:t>
      </w:r>
      <w:r w:rsidRPr="004F6DAA">
        <w:rPr>
          <w:noProof/>
        </w:rPr>
        <w:t>alnym wylesianiem oraz dzięki ułatwieniu wdrażania poprzez zdalne monitorowanie. Ponadto oczekuje się, że definicja terminu „niepowodujący wylesiania” zapobiegnie tworzeniu niewłaściwych zachęt dla krajów partnerskich, które</w:t>
      </w:r>
      <w:r w:rsidR="00062BFA" w:rsidRPr="004F6DAA">
        <w:rPr>
          <w:noProof/>
        </w:rPr>
        <w:t xml:space="preserve"> w</w:t>
      </w:r>
      <w:r w:rsidR="00062BFA">
        <w:rPr>
          <w:noProof/>
        </w:rPr>
        <w:t> </w:t>
      </w:r>
      <w:r w:rsidR="00062BFA" w:rsidRPr="004F6DAA">
        <w:rPr>
          <w:noProof/>
        </w:rPr>
        <w:t>prz</w:t>
      </w:r>
      <w:r w:rsidRPr="004F6DAA">
        <w:rPr>
          <w:noProof/>
        </w:rPr>
        <w:t>eciwnym razie mogą być skłonne obniżyć normy środowiskowe</w:t>
      </w:r>
      <w:r w:rsidR="00062BFA" w:rsidRPr="004F6DAA">
        <w:rPr>
          <w:noProof/>
        </w:rPr>
        <w:t xml:space="preserve"> w</w:t>
      </w:r>
      <w:r w:rsidR="00062BFA">
        <w:rPr>
          <w:noProof/>
        </w:rPr>
        <w:t> </w:t>
      </w:r>
      <w:r w:rsidR="00062BFA" w:rsidRPr="004F6DAA">
        <w:rPr>
          <w:noProof/>
        </w:rPr>
        <w:t>cel</w:t>
      </w:r>
      <w:r w:rsidRPr="004F6DAA">
        <w:rPr>
          <w:noProof/>
        </w:rPr>
        <w:t>u ułatwienia dostępu ich produktów do UE, gdyby we wniosku ustanowiono wyłącznie kontrolę legalności.</w:t>
      </w:r>
    </w:p>
    <w:p w14:paraId="4941C76B" w14:textId="77777777" w:rsidR="009A3168" w:rsidRPr="004F6DAA" w:rsidRDefault="00EC19AE" w:rsidP="009A3168">
      <w:pPr>
        <w:pBdr>
          <w:top w:val="nil"/>
          <w:left w:val="nil"/>
          <w:bottom w:val="nil"/>
          <w:right w:val="nil"/>
          <w:between w:val="nil"/>
          <w:bar w:val="nil"/>
        </w:pBdr>
        <w:spacing w:before="0"/>
        <w:rPr>
          <w:rFonts w:eastAsia="Arial Unicode MS"/>
          <w:noProof/>
        </w:rPr>
      </w:pPr>
      <w:r w:rsidRPr="004F6DAA">
        <w:rPr>
          <w:noProof/>
        </w:rPr>
        <w:t>W definicji terminu „niepowodujący wylesiania” za datę graniczną przyjęto dzień 31 grudnia 20</w:t>
      </w:r>
      <w:r w:rsidRPr="00062BFA">
        <w:rPr>
          <w:noProof/>
        </w:rPr>
        <w:t>20</w:t>
      </w:r>
      <w:r w:rsidR="00062BFA" w:rsidRPr="00062BFA">
        <w:rPr>
          <w:noProof/>
        </w:rPr>
        <w:t> </w:t>
      </w:r>
      <w:r w:rsidRPr="00062BFA">
        <w:rPr>
          <w:noProof/>
        </w:rPr>
        <w:t>r.</w:t>
      </w:r>
      <w:r w:rsidRPr="004F6DAA">
        <w:rPr>
          <w:noProof/>
        </w:rPr>
        <w:t xml:space="preserve"> Oznacza to, że po tej dacie towary</w:t>
      </w:r>
      <w:r w:rsidR="00062BFA" w:rsidRPr="004F6DAA">
        <w:rPr>
          <w:noProof/>
        </w:rPr>
        <w:t xml:space="preserve"> i</w:t>
      </w:r>
      <w:r w:rsidR="00062BFA">
        <w:rPr>
          <w:noProof/>
        </w:rPr>
        <w:t> </w:t>
      </w:r>
      <w:r w:rsidR="00062BFA" w:rsidRPr="004F6DAA">
        <w:rPr>
          <w:noProof/>
        </w:rPr>
        <w:t>pro</w:t>
      </w:r>
      <w:r w:rsidRPr="004F6DAA">
        <w:rPr>
          <w:noProof/>
        </w:rPr>
        <w:t>dukty objęte zakresem rozporządzenia nie będą mogły być wprowadzane na rynek unijny UE ani</w:t>
      </w:r>
      <w:r w:rsidR="00062BFA" w:rsidRPr="004F6DAA">
        <w:rPr>
          <w:noProof/>
        </w:rPr>
        <w:t xml:space="preserve"> z</w:t>
      </w:r>
      <w:r w:rsidR="00062BFA">
        <w:rPr>
          <w:noProof/>
        </w:rPr>
        <w:t> </w:t>
      </w:r>
      <w:r w:rsidR="00062BFA" w:rsidRPr="004F6DAA">
        <w:rPr>
          <w:noProof/>
        </w:rPr>
        <w:t>nie</w:t>
      </w:r>
      <w:r w:rsidRPr="004F6DAA">
        <w:rPr>
          <w:noProof/>
        </w:rPr>
        <w:t>go wywożone, jeżeli zostały wyprodukowane na gruntach, na których dochodzi do wylesiania lub degradacji lasów. Dzięki proponowanej dacie zakłócenia</w:t>
      </w:r>
      <w:r w:rsidR="00062BFA" w:rsidRPr="004F6DAA">
        <w:rPr>
          <w:noProof/>
        </w:rPr>
        <w:t xml:space="preserve"> w</w:t>
      </w:r>
      <w:r w:rsidR="00062BFA">
        <w:rPr>
          <w:noProof/>
        </w:rPr>
        <w:t> </w:t>
      </w:r>
      <w:r w:rsidR="00062BFA" w:rsidRPr="004F6DAA">
        <w:rPr>
          <w:noProof/>
        </w:rPr>
        <w:t>łań</w:t>
      </w:r>
      <w:r w:rsidRPr="004F6DAA">
        <w:rPr>
          <w:noProof/>
        </w:rPr>
        <w:t>cuchach dostaw</w:t>
      </w:r>
      <w:r w:rsidR="00062BFA" w:rsidRPr="004F6DAA">
        <w:rPr>
          <w:noProof/>
        </w:rPr>
        <w:t xml:space="preserve"> i</w:t>
      </w:r>
      <w:r w:rsidR="00062BFA">
        <w:rPr>
          <w:noProof/>
        </w:rPr>
        <w:t> </w:t>
      </w:r>
      <w:r w:rsidR="00062BFA" w:rsidRPr="004F6DAA">
        <w:rPr>
          <w:noProof/>
        </w:rPr>
        <w:t>pot</w:t>
      </w:r>
      <w:r w:rsidRPr="004F6DAA">
        <w:rPr>
          <w:noProof/>
        </w:rPr>
        <w:t>encjalne negatywne skutki</w:t>
      </w:r>
      <w:r w:rsidR="00062BFA" w:rsidRPr="004F6DAA">
        <w:rPr>
          <w:noProof/>
        </w:rPr>
        <w:t xml:space="preserve"> w</w:t>
      </w:r>
      <w:r w:rsidR="00062BFA">
        <w:rPr>
          <w:noProof/>
        </w:rPr>
        <w:t> </w:t>
      </w:r>
      <w:r w:rsidR="00062BFA" w:rsidRPr="004F6DAA">
        <w:rPr>
          <w:noProof/>
        </w:rPr>
        <w:t>kra</w:t>
      </w:r>
      <w:r w:rsidRPr="004F6DAA">
        <w:rPr>
          <w:noProof/>
        </w:rPr>
        <w:t>jach partnerskich zostaną ograniczone. Odpowiada ona międzynarodowym zobowiązaniom do zatrzymania wylesiania, zawartym na przykład</w:t>
      </w:r>
      <w:r w:rsidR="00062BFA" w:rsidRPr="004F6DAA">
        <w:rPr>
          <w:noProof/>
        </w:rPr>
        <w:t xml:space="preserve"> w</w:t>
      </w:r>
      <w:r w:rsidR="00062BFA">
        <w:rPr>
          <w:noProof/>
        </w:rPr>
        <w:t> </w:t>
      </w:r>
      <w:r w:rsidR="00062BFA" w:rsidRPr="004F6DAA">
        <w:rPr>
          <w:noProof/>
        </w:rPr>
        <w:t>cel</w:t>
      </w:r>
      <w:r w:rsidRPr="004F6DAA">
        <w:rPr>
          <w:noProof/>
        </w:rPr>
        <w:t xml:space="preserve">ach zrównoważonego rozwoju (cel </w:t>
      </w:r>
      <w:r w:rsidRPr="00062BFA">
        <w:rPr>
          <w:noProof/>
        </w:rPr>
        <w:t>nr</w:t>
      </w:r>
      <w:r w:rsidR="00062BFA" w:rsidRPr="00062BFA">
        <w:rPr>
          <w:noProof/>
        </w:rPr>
        <w:t> </w:t>
      </w:r>
      <w:r w:rsidRPr="00062BFA">
        <w:rPr>
          <w:noProof/>
        </w:rPr>
        <w:t>1</w:t>
      </w:r>
      <w:r w:rsidRPr="004F6DAA">
        <w:rPr>
          <w:noProof/>
        </w:rPr>
        <w:t>5.2).</w:t>
      </w:r>
    </w:p>
    <w:p w14:paraId="7B8C253D" w14:textId="77777777" w:rsidR="009A3168" w:rsidRPr="004F6DAA" w:rsidRDefault="00EC19AE" w:rsidP="009A3168">
      <w:pPr>
        <w:pBdr>
          <w:top w:val="nil"/>
          <w:left w:val="nil"/>
          <w:bottom w:val="nil"/>
          <w:right w:val="nil"/>
          <w:between w:val="nil"/>
          <w:bar w:val="nil"/>
        </w:pBdr>
        <w:spacing w:before="0"/>
        <w:rPr>
          <w:noProof/>
        </w:rPr>
      </w:pPr>
      <w:r w:rsidRPr="004F6DAA">
        <w:rPr>
          <w:noProof/>
        </w:rPr>
        <w:t>Pozostałe definicje [</w:t>
      </w:r>
      <w:r w:rsidRPr="00062BFA">
        <w:rPr>
          <w:noProof/>
        </w:rPr>
        <w:t>pkt</w:t>
      </w:r>
      <w:r w:rsidR="00062BFA" w:rsidRPr="00062BFA">
        <w:rPr>
          <w:noProof/>
        </w:rPr>
        <w:t> </w:t>
      </w:r>
      <w:r w:rsidRPr="00062BFA">
        <w:rPr>
          <w:noProof/>
        </w:rPr>
        <w:t>9</w:t>
      </w:r>
      <w:r w:rsidRPr="004F6DAA">
        <w:rPr>
          <w:noProof/>
        </w:rPr>
        <w:t>–30] odnoszą się do podmiotów odpowiedzialnych</w:t>
      </w:r>
      <w:r w:rsidR="00062BFA" w:rsidRPr="004F6DAA">
        <w:rPr>
          <w:noProof/>
        </w:rPr>
        <w:t xml:space="preserve"> i</w:t>
      </w:r>
      <w:r w:rsidR="00062BFA">
        <w:rPr>
          <w:noProof/>
        </w:rPr>
        <w:t> </w:t>
      </w:r>
      <w:r w:rsidR="00062BFA" w:rsidRPr="004F6DAA">
        <w:rPr>
          <w:noProof/>
        </w:rPr>
        <w:t>dzi</w:t>
      </w:r>
      <w:r w:rsidRPr="004F6DAA">
        <w:rPr>
          <w:noProof/>
        </w:rPr>
        <w:t>ałalności regulowanej, takich jak podmiot, podmiot handlowy, wprowadzanie do obrotu, udostępnianie na rynku itp</w:t>
      </w:r>
      <w:r w:rsidR="00062BFA" w:rsidRPr="004F6DAA">
        <w:rPr>
          <w:noProof/>
        </w:rPr>
        <w:t>. W</w:t>
      </w:r>
      <w:r w:rsidR="00062BFA">
        <w:rPr>
          <w:noProof/>
        </w:rPr>
        <w:t> </w:t>
      </w:r>
      <w:r w:rsidR="00062BFA" w:rsidRPr="004F6DAA">
        <w:rPr>
          <w:noProof/>
        </w:rPr>
        <w:t>moż</w:t>
      </w:r>
      <w:r w:rsidRPr="004F6DAA">
        <w:rPr>
          <w:noProof/>
        </w:rPr>
        <w:t>liwym zakresie są one oparte na pojęciach już istniejących</w:t>
      </w:r>
      <w:r w:rsidR="00062BFA" w:rsidRPr="004F6DAA">
        <w:rPr>
          <w:noProof/>
        </w:rPr>
        <w:t xml:space="preserve"> w</w:t>
      </w:r>
      <w:r w:rsidR="00062BFA">
        <w:rPr>
          <w:noProof/>
        </w:rPr>
        <w:t> </w:t>
      </w:r>
      <w:r w:rsidR="00062BFA" w:rsidRPr="004F6DAA">
        <w:rPr>
          <w:noProof/>
        </w:rPr>
        <w:t>pra</w:t>
      </w:r>
      <w:r w:rsidRPr="004F6DAA">
        <w:rPr>
          <w:noProof/>
        </w:rPr>
        <w:t>wie Unii</w:t>
      </w:r>
      <w:r w:rsidR="00062BFA" w:rsidRPr="004F6DAA">
        <w:rPr>
          <w:noProof/>
        </w:rPr>
        <w:t xml:space="preserve"> w</w:t>
      </w:r>
      <w:r w:rsidR="00062BFA">
        <w:rPr>
          <w:noProof/>
        </w:rPr>
        <w:t> </w:t>
      </w:r>
      <w:r w:rsidR="00062BFA" w:rsidRPr="004F6DAA">
        <w:rPr>
          <w:noProof/>
        </w:rPr>
        <w:t>odp</w:t>
      </w:r>
      <w:r w:rsidRPr="004F6DAA">
        <w:rPr>
          <w:noProof/>
        </w:rPr>
        <w:t>owiednich przepisach dotyczących rynku wewnętrznego</w:t>
      </w:r>
      <w:r w:rsidR="00062BFA" w:rsidRPr="004F6DAA">
        <w:rPr>
          <w:noProof/>
        </w:rPr>
        <w:t xml:space="preserve"> i</w:t>
      </w:r>
      <w:r w:rsidR="00062BFA">
        <w:rPr>
          <w:noProof/>
        </w:rPr>
        <w:t> </w:t>
      </w:r>
      <w:r w:rsidR="00062BFA" w:rsidRPr="004F6DAA">
        <w:rPr>
          <w:noProof/>
        </w:rPr>
        <w:t>pra</w:t>
      </w:r>
      <w:r w:rsidRPr="004F6DAA">
        <w:rPr>
          <w:noProof/>
        </w:rPr>
        <w:t>wie celnym,</w:t>
      </w:r>
      <w:r w:rsidR="00062BFA" w:rsidRPr="004F6DAA">
        <w:rPr>
          <w:noProof/>
        </w:rPr>
        <w:t xml:space="preserve"> a</w:t>
      </w:r>
      <w:r w:rsidR="00062BFA">
        <w:rPr>
          <w:noProof/>
        </w:rPr>
        <w:t> </w:t>
      </w:r>
      <w:r w:rsidR="00062BFA" w:rsidRPr="004F6DAA">
        <w:rPr>
          <w:noProof/>
        </w:rPr>
        <w:t>tak</w:t>
      </w:r>
      <w:r w:rsidRPr="004F6DAA">
        <w:rPr>
          <w:noProof/>
        </w:rPr>
        <w:t>że odnoszą się do konkretnych kwestii pojawiających się</w:t>
      </w:r>
      <w:r w:rsidR="00062BFA" w:rsidRPr="004F6DAA">
        <w:rPr>
          <w:noProof/>
        </w:rPr>
        <w:t xml:space="preserve"> w</w:t>
      </w:r>
      <w:r w:rsidR="00062BFA">
        <w:rPr>
          <w:noProof/>
        </w:rPr>
        <w:t> </w:t>
      </w:r>
      <w:r w:rsidR="00062BFA" w:rsidRPr="004F6DAA">
        <w:rPr>
          <w:noProof/>
        </w:rPr>
        <w:t>tra</w:t>
      </w:r>
      <w:r w:rsidRPr="004F6DAA">
        <w:rPr>
          <w:noProof/>
        </w:rPr>
        <w:t>kcie wdrażania rozporządzenia</w:t>
      </w:r>
      <w:r w:rsidR="00062BFA" w:rsidRPr="004F6DAA">
        <w:rPr>
          <w:noProof/>
        </w:rPr>
        <w:t xml:space="preserve"> w</w:t>
      </w:r>
      <w:r w:rsidR="00062BFA">
        <w:rPr>
          <w:noProof/>
        </w:rPr>
        <w:t> </w:t>
      </w:r>
      <w:r w:rsidR="00062BFA" w:rsidRPr="004F6DAA">
        <w:rPr>
          <w:noProof/>
        </w:rPr>
        <w:t>spr</w:t>
      </w:r>
      <w:r w:rsidRPr="004F6DAA">
        <w:rPr>
          <w:noProof/>
        </w:rPr>
        <w:t>awie drewna.</w:t>
      </w:r>
      <w:r w:rsidRPr="004F6DAA">
        <w:rPr>
          <w:noProof/>
          <w:color w:val="1F497D"/>
        </w:rPr>
        <w:t xml:space="preserve"> </w:t>
      </w:r>
      <w:r w:rsidRPr="004F6DAA">
        <w:rPr>
          <w:noProof/>
        </w:rPr>
        <w:t>Definicje zmieniono nieznacznie</w:t>
      </w:r>
      <w:r w:rsidR="00062BFA" w:rsidRPr="004F6DAA">
        <w:rPr>
          <w:noProof/>
        </w:rPr>
        <w:t xml:space="preserve">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oce</w:t>
      </w:r>
      <w:r w:rsidRPr="004F6DAA">
        <w:rPr>
          <w:noProof/>
        </w:rPr>
        <w:t>ną skutków, aby zwiększyć ich precyzję prawną oraz uwzględnić nowe zmiany</w:t>
      </w:r>
      <w:r w:rsidR="00062BFA" w:rsidRPr="004F6DAA">
        <w:rPr>
          <w:noProof/>
        </w:rPr>
        <w:t xml:space="preserve"> w</w:t>
      </w:r>
      <w:r w:rsidR="00062BFA">
        <w:rPr>
          <w:noProof/>
        </w:rPr>
        <w:t> </w:t>
      </w:r>
      <w:r w:rsidR="00062BFA" w:rsidRPr="004F6DAA">
        <w:rPr>
          <w:noProof/>
        </w:rPr>
        <w:t>pow</w:t>
      </w:r>
      <w:r w:rsidRPr="004F6DAA">
        <w:rPr>
          <w:noProof/>
        </w:rPr>
        <w:t>iązanych przepisach UE.</w:t>
      </w:r>
    </w:p>
    <w:p w14:paraId="4A7D9F67" w14:textId="77777777" w:rsidR="009A3168" w:rsidRPr="004F6DAA" w:rsidRDefault="009A3168" w:rsidP="00445504">
      <w:pPr>
        <w:pStyle w:val="Bullet1"/>
        <w:rPr>
          <w:i/>
          <w:noProof/>
        </w:rPr>
      </w:pPr>
      <w:r w:rsidRPr="004F6DAA">
        <w:rPr>
          <w:i/>
          <w:noProof/>
        </w:rPr>
        <w:t>Artykuł 3: Zakaz</w:t>
      </w:r>
    </w:p>
    <w:p w14:paraId="50591134" w14:textId="77777777" w:rsidR="00EE14B9" w:rsidRPr="004F6DAA" w:rsidRDefault="00EE14B9" w:rsidP="00EE14B9">
      <w:pPr>
        <w:rPr>
          <w:noProof/>
        </w:rPr>
      </w:pPr>
      <w:r w:rsidRPr="004F6DAA">
        <w:rPr>
          <w:noProof/>
        </w:rPr>
        <w:t>Art. 3 stanowi podstawę rozporządzenia, ponieważ wyraźnie określono</w:t>
      </w:r>
      <w:r w:rsidR="00062BFA" w:rsidRPr="004F6DAA">
        <w:rPr>
          <w:noProof/>
        </w:rPr>
        <w:t xml:space="preserve"> w</w:t>
      </w:r>
      <w:r w:rsidR="00062BFA">
        <w:rPr>
          <w:noProof/>
        </w:rPr>
        <w:t> </w:t>
      </w:r>
      <w:r w:rsidR="00062BFA" w:rsidRPr="004F6DAA">
        <w:rPr>
          <w:noProof/>
        </w:rPr>
        <w:t>nim</w:t>
      </w:r>
      <w:r w:rsidRPr="004F6DAA">
        <w:rPr>
          <w:noProof/>
        </w:rPr>
        <w:t xml:space="preserve"> zakaz wprowadzania do obrotu</w:t>
      </w:r>
      <w:r w:rsidR="00062BFA" w:rsidRPr="004F6DAA">
        <w:rPr>
          <w:noProof/>
        </w:rPr>
        <w:t xml:space="preserve"> w</w:t>
      </w:r>
      <w:r w:rsidR="00062BFA">
        <w:rPr>
          <w:noProof/>
        </w:rPr>
        <w:t> </w:t>
      </w:r>
      <w:r w:rsidR="00062BFA" w:rsidRPr="004F6DAA">
        <w:rPr>
          <w:noProof/>
        </w:rPr>
        <w:t>Uni</w:t>
      </w:r>
      <w:r w:rsidRPr="004F6DAA">
        <w:rPr>
          <w:noProof/>
        </w:rPr>
        <w:t>i lub udostępniania na rynku unijnym lub wywozu</w:t>
      </w:r>
      <w:r w:rsidR="00062BFA" w:rsidRPr="004F6DAA">
        <w:rPr>
          <w:noProof/>
        </w:rPr>
        <w:t xml:space="preserve"> z</w:t>
      </w:r>
      <w:r w:rsidR="00062BFA">
        <w:rPr>
          <w:noProof/>
        </w:rPr>
        <w:t> </w:t>
      </w:r>
      <w:r w:rsidR="00062BFA" w:rsidRPr="004F6DAA">
        <w:rPr>
          <w:noProof/>
        </w:rPr>
        <w:t>nie</w:t>
      </w:r>
      <w:r w:rsidRPr="004F6DAA">
        <w:rPr>
          <w:noProof/>
        </w:rPr>
        <w:t>go odnośnych towarów</w:t>
      </w:r>
      <w:r w:rsidR="00062BFA" w:rsidRPr="004F6DAA">
        <w:rPr>
          <w:noProof/>
        </w:rPr>
        <w:t xml:space="preserve"> i</w:t>
      </w:r>
      <w:r w:rsidR="00062BFA">
        <w:rPr>
          <w:noProof/>
        </w:rPr>
        <w:t> </w:t>
      </w:r>
      <w:r w:rsidR="00062BFA" w:rsidRPr="004F6DAA">
        <w:rPr>
          <w:noProof/>
        </w:rPr>
        <w:t>pro</w:t>
      </w:r>
      <w:r w:rsidRPr="004F6DAA">
        <w:rPr>
          <w:noProof/>
        </w:rPr>
        <w:t>duktów objętych zakresem rozporządzenia, które nie są zgodne</w:t>
      </w:r>
      <w:r w:rsidR="00062BFA" w:rsidRPr="004F6DAA">
        <w:rPr>
          <w:noProof/>
        </w:rPr>
        <w:t xml:space="preserve"> z</w:t>
      </w:r>
      <w:r w:rsidR="00062BFA">
        <w:rPr>
          <w:noProof/>
        </w:rPr>
        <w:t> </w:t>
      </w:r>
      <w:r w:rsidR="00062BFA" w:rsidRPr="004F6DAA">
        <w:rPr>
          <w:noProof/>
        </w:rPr>
        <w:t>nin</w:t>
      </w:r>
      <w:r w:rsidRPr="004F6DAA">
        <w:rPr>
          <w:noProof/>
        </w:rPr>
        <w:t>iejszym rozporządzeniem, wraz</w:t>
      </w:r>
      <w:r w:rsidR="00062BFA" w:rsidRPr="004F6DAA">
        <w:rPr>
          <w:noProof/>
        </w:rPr>
        <w:t xml:space="preserve"> z</w:t>
      </w:r>
      <w:r w:rsidR="00062BFA">
        <w:rPr>
          <w:noProof/>
        </w:rPr>
        <w:t> </w:t>
      </w:r>
      <w:r w:rsidR="00062BFA" w:rsidRPr="004F6DAA">
        <w:rPr>
          <w:noProof/>
        </w:rPr>
        <w:t>wyj</w:t>
      </w:r>
      <w:r w:rsidRPr="004F6DAA">
        <w:rPr>
          <w:noProof/>
        </w:rPr>
        <w:t>aśnieniem, że przy prowadzeniu takiej działalności handlowej zawsze konieczne jest złożenie oświadczenia</w:t>
      </w:r>
      <w:r w:rsidR="00062BFA" w:rsidRPr="004F6DAA">
        <w:rPr>
          <w:noProof/>
        </w:rPr>
        <w:t xml:space="preserve"> o</w:t>
      </w:r>
      <w:r w:rsidR="00062BFA">
        <w:rPr>
          <w:noProof/>
        </w:rPr>
        <w:t> </w:t>
      </w:r>
      <w:r w:rsidR="00062BFA" w:rsidRPr="004F6DAA">
        <w:rPr>
          <w:noProof/>
        </w:rPr>
        <w:t>zac</w:t>
      </w:r>
      <w:r w:rsidRPr="004F6DAA">
        <w:rPr>
          <w:noProof/>
        </w:rPr>
        <w:t>howaniu należytej staranności. Odniesienie do wylesiania,</w:t>
      </w:r>
      <w:r w:rsidR="00062BFA" w:rsidRPr="004F6DAA">
        <w:rPr>
          <w:noProof/>
        </w:rPr>
        <w:t xml:space="preserve"> o</w:t>
      </w:r>
      <w:r w:rsidR="00062BFA">
        <w:rPr>
          <w:noProof/>
        </w:rPr>
        <w:t> </w:t>
      </w:r>
      <w:r w:rsidR="00062BFA" w:rsidRPr="004F6DAA">
        <w:rPr>
          <w:noProof/>
        </w:rPr>
        <w:t>któ</w:t>
      </w:r>
      <w:r w:rsidRPr="004F6DAA">
        <w:rPr>
          <w:noProof/>
        </w:rPr>
        <w:t>rym mowa</w:t>
      </w:r>
      <w:r w:rsidR="00062BFA" w:rsidRPr="004F6DAA">
        <w:rPr>
          <w:noProof/>
        </w:rPr>
        <w:t xml:space="preserve"> w</w:t>
      </w:r>
      <w:r w:rsidR="00062BFA">
        <w:rPr>
          <w:noProof/>
        </w:rPr>
        <w:t> </w:t>
      </w:r>
      <w:r w:rsidR="00062BFA" w:rsidRPr="00062BFA">
        <w:rPr>
          <w:noProof/>
        </w:rPr>
        <w:t>lit</w:t>
      </w:r>
      <w:r w:rsidRPr="00062BFA">
        <w:rPr>
          <w:noProof/>
        </w:rPr>
        <w:t>.</w:t>
      </w:r>
      <w:r w:rsidR="00062BFA" w:rsidRPr="00062BFA">
        <w:rPr>
          <w:noProof/>
        </w:rPr>
        <w:t> </w:t>
      </w:r>
      <w:r w:rsidRPr="00062BFA">
        <w:rPr>
          <w:noProof/>
        </w:rPr>
        <w:t>a)</w:t>
      </w:r>
      <w:r w:rsidRPr="004F6DAA">
        <w:rPr>
          <w:noProof/>
        </w:rPr>
        <w:t>,</w:t>
      </w:r>
      <w:r w:rsidR="00062BFA" w:rsidRPr="004F6DAA">
        <w:rPr>
          <w:noProof/>
        </w:rPr>
        <w:t xml:space="preserve"> i</w:t>
      </w:r>
      <w:r w:rsidR="00062BFA">
        <w:rPr>
          <w:noProof/>
        </w:rPr>
        <w:t> </w:t>
      </w:r>
      <w:r w:rsidR="00062BFA" w:rsidRPr="004F6DAA">
        <w:rPr>
          <w:noProof/>
        </w:rPr>
        <w:t>leg</w:t>
      </w:r>
      <w:r w:rsidRPr="004F6DAA">
        <w:rPr>
          <w:noProof/>
        </w:rPr>
        <w:t>alności,</w:t>
      </w:r>
      <w:r w:rsidR="00062BFA" w:rsidRPr="004F6DAA">
        <w:rPr>
          <w:noProof/>
        </w:rPr>
        <w:t xml:space="preserve"> o</w:t>
      </w:r>
      <w:r w:rsidR="00062BFA">
        <w:rPr>
          <w:noProof/>
        </w:rPr>
        <w:t> </w:t>
      </w:r>
      <w:r w:rsidR="00062BFA" w:rsidRPr="004F6DAA">
        <w:rPr>
          <w:noProof/>
        </w:rPr>
        <w:t>któ</w:t>
      </w:r>
      <w:r w:rsidRPr="004F6DAA">
        <w:rPr>
          <w:noProof/>
        </w:rPr>
        <w:t>rej mowa</w:t>
      </w:r>
      <w:r w:rsidR="00062BFA" w:rsidRPr="004F6DAA">
        <w:rPr>
          <w:noProof/>
        </w:rPr>
        <w:t xml:space="preserve"> w</w:t>
      </w:r>
      <w:r w:rsidR="00062BFA">
        <w:rPr>
          <w:noProof/>
        </w:rPr>
        <w:t> </w:t>
      </w:r>
      <w:r w:rsidR="00062BFA" w:rsidRPr="00062BFA">
        <w:rPr>
          <w:noProof/>
        </w:rPr>
        <w:t>lit</w:t>
      </w:r>
      <w:r w:rsidRPr="00062BFA">
        <w:rPr>
          <w:noProof/>
        </w:rPr>
        <w:t>.</w:t>
      </w:r>
      <w:r w:rsidR="00062BFA" w:rsidRPr="00062BFA">
        <w:rPr>
          <w:noProof/>
        </w:rPr>
        <w:t> </w:t>
      </w:r>
      <w:r w:rsidRPr="00062BFA">
        <w:rPr>
          <w:noProof/>
        </w:rPr>
        <w:t>b)</w:t>
      </w:r>
      <w:r w:rsidRPr="004F6DAA">
        <w:rPr>
          <w:noProof/>
        </w:rPr>
        <w:t>, jest niezbędne, aby umożliwić kompleksowe uwzględnienie głównych celów niniejszego rozporządzenia.</w:t>
      </w:r>
    </w:p>
    <w:p w14:paraId="03F5C91E" w14:textId="77777777" w:rsidR="00EE14B9" w:rsidRPr="004F6DAA" w:rsidRDefault="00EE14B9" w:rsidP="00EE14B9">
      <w:pPr>
        <w:rPr>
          <w:noProof/>
        </w:rPr>
      </w:pPr>
      <w:r w:rsidRPr="004F6DAA">
        <w:rPr>
          <w:noProof/>
        </w:rPr>
        <w:t>Zakaz zawarty</w:t>
      </w:r>
      <w:r w:rsidR="00062BFA" w:rsidRPr="004F6DAA">
        <w:rPr>
          <w:noProof/>
        </w:rPr>
        <w:t xml:space="preserve"> w</w:t>
      </w:r>
      <w:r w:rsidR="00062BFA">
        <w:rPr>
          <w:noProof/>
        </w:rPr>
        <w:t> </w:t>
      </w:r>
      <w:r w:rsidR="00062BFA" w:rsidRPr="00062BFA">
        <w:rPr>
          <w:noProof/>
        </w:rPr>
        <w:t>lit</w:t>
      </w:r>
      <w:r w:rsidRPr="00062BFA">
        <w:rPr>
          <w:noProof/>
        </w:rPr>
        <w:t>.</w:t>
      </w:r>
      <w:r w:rsidR="00062BFA" w:rsidRPr="00062BFA">
        <w:rPr>
          <w:noProof/>
        </w:rPr>
        <w:t> </w:t>
      </w:r>
      <w:r w:rsidRPr="00062BFA">
        <w:rPr>
          <w:noProof/>
        </w:rPr>
        <w:t>c)</w:t>
      </w:r>
      <w:r w:rsidRPr="004F6DAA">
        <w:rPr>
          <w:noProof/>
        </w:rPr>
        <w:t xml:space="preserve"> uzupełnia pozostałe poprzez wprowadzenie ogólnego obowiązku składania oświadczeń</w:t>
      </w:r>
      <w:r w:rsidR="00062BFA" w:rsidRPr="004F6DAA">
        <w:rPr>
          <w:noProof/>
        </w:rPr>
        <w:t xml:space="preserve"> o</w:t>
      </w:r>
      <w:r w:rsidR="00062BFA">
        <w:rPr>
          <w:noProof/>
        </w:rPr>
        <w:t> </w:t>
      </w:r>
      <w:r w:rsidR="00062BFA" w:rsidRPr="004F6DAA">
        <w:rPr>
          <w:noProof/>
        </w:rPr>
        <w:t>zac</w:t>
      </w:r>
      <w:r w:rsidRPr="004F6DAA">
        <w:rPr>
          <w:noProof/>
        </w:rPr>
        <w:t>howaniu należytej staranności przy wprowadzaniu do obrotu odnośnych towarów</w:t>
      </w:r>
      <w:r w:rsidR="00062BFA" w:rsidRPr="004F6DAA">
        <w:rPr>
          <w:noProof/>
        </w:rPr>
        <w:t xml:space="preserve"> i</w:t>
      </w:r>
      <w:r w:rsidR="00062BFA">
        <w:rPr>
          <w:noProof/>
        </w:rPr>
        <w:t> </w:t>
      </w:r>
      <w:r w:rsidR="00062BFA" w:rsidRPr="004F6DAA">
        <w:rPr>
          <w:noProof/>
        </w:rPr>
        <w:t>pro</w:t>
      </w:r>
      <w:r w:rsidRPr="004F6DAA">
        <w:rPr>
          <w:noProof/>
        </w:rPr>
        <w:t>duktów. Zakaz ten zapewnia, aby podmioty były świadome swoich obowiązków</w:t>
      </w:r>
      <w:r w:rsidR="00062BFA" w:rsidRPr="004F6DAA">
        <w:rPr>
          <w:noProof/>
        </w:rPr>
        <w:t xml:space="preserve"> w</w:t>
      </w:r>
      <w:r w:rsidR="00062BFA">
        <w:rPr>
          <w:noProof/>
        </w:rPr>
        <w:t> </w:t>
      </w:r>
      <w:r w:rsidR="00062BFA" w:rsidRPr="004F6DAA">
        <w:rPr>
          <w:noProof/>
        </w:rPr>
        <w:t>zak</w:t>
      </w:r>
      <w:r w:rsidRPr="004F6DAA">
        <w:rPr>
          <w:noProof/>
        </w:rPr>
        <w:t>resie zachowania należytej staranności,</w:t>
      </w:r>
      <w:r w:rsidR="00062BFA" w:rsidRPr="004F6DAA">
        <w:rPr>
          <w:noProof/>
        </w:rPr>
        <w:t xml:space="preserve"> i</w:t>
      </w:r>
      <w:r w:rsidR="00062BFA">
        <w:rPr>
          <w:noProof/>
        </w:rPr>
        <w:t> </w:t>
      </w:r>
      <w:r w:rsidR="00062BFA" w:rsidRPr="004F6DAA">
        <w:rPr>
          <w:noProof/>
        </w:rPr>
        <w:t>zni</w:t>
      </w:r>
      <w:r w:rsidRPr="004F6DAA">
        <w:rPr>
          <w:noProof/>
        </w:rPr>
        <w:t>echęci je do pomijania procedur należytej staranności</w:t>
      </w:r>
      <w:r w:rsidR="00062BFA" w:rsidRPr="004F6DAA">
        <w:rPr>
          <w:noProof/>
        </w:rPr>
        <w:t>. Z</w:t>
      </w:r>
      <w:r w:rsidR="00062BFA">
        <w:rPr>
          <w:noProof/>
        </w:rPr>
        <w:t> </w:t>
      </w:r>
      <w:r w:rsidR="00062BFA" w:rsidRPr="004F6DAA">
        <w:rPr>
          <w:noProof/>
        </w:rPr>
        <w:t>doś</w:t>
      </w:r>
      <w:r w:rsidRPr="004F6DAA">
        <w:rPr>
          <w:noProof/>
        </w:rPr>
        <w:t>wiadczeń zdobytych</w:t>
      </w:r>
      <w:r w:rsidR="00062BFA" w:rsidRPr="004F6DAA">
        <w:rPr>
          <w:noProof/>
        </w:rPr>
        <w:t xml:space="preserve">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roz</w:t>
      </w:r>
      <w:r w:rsidRPr="004F6DAA">
        <w:rPr>
          <w:noProof/>
        </w:rPr>
        <w:t>porządzeniem</w:t>
      </w:r>
      <w:r w:rsidR="00062BFA" w:rsidRPr="004F6DAA">
        <w:rPr>
          <w:noProof/>
        </w:rPr>
        <w:t xml:space="preserve"> w</w:t>
      </w:r>
      <w:r w:rsidR="00062BFA">
        <w:rPr>
          <w:noProof/>
        </w:rPr>
        <w:t> </w:t>
      </w:r>
      <w:r w:rsidR="00062BFA" w:rsidRPr="004F6DAA">
        <w:rPr>
          <w:noProof/>
        </w:rPr>
        <w:t>spr</w:t>
      </w:r>
      <w:r w:rsidRPr="004F6DAA">
        <w:rPr>
          <w:noProof/>
        </w:rPr>
        <w:t>awie drewna wynika, że wymóg ten ułatwi egzekwowanie przepisów,</w:t>
      </w:r>
      <w:r w:rsidR="00062BFA" w:rsidRPr="004F6DAA">
        <w:rPr>
          <w:noProof/>
        </w:rPr>
        <w:t xml:space="preserve"> a</w:t>
      </w:r>
      <w:r w:rsidR="00062BFA">
        <w:rPr>
          <w:noProof/>
        </w:rPr>
        <w:t> </w:t>
      </w:r>
      <w:r w:rsidR="00062BFA" w:rsidRPr="004F6DAA">
        <w:rPr>
          <w:noProof/>
        </w:rPr>
        <w:t>w</w:t>
      </w:r>
      <w:r w:rsidR="00062BFA">
        <w:rPr>
          <w:noProof/>
        </w:rPr>
        <w:t> </w:t>
      </w:r>
      <w:r w:rsidR="00062BFA" w:rsidRPr="004F6DAA">
        <w:rPr>
          <w:noProof/>
        </w:rPr>
        <w:t>raz</w:t>
      </w:r>
      <w:r w:rsidRPr="004F6DAA">
        <w:rPr>
          <w:noProof/>
        </w:rPr>
        <w:t xml:space="preserve">ie potrzeby podjęcie kroków prawnych zmierzających do zaradzenia takim naruszeniom lub objęcia ich sankcjami. </w:t>
      </w:r>
    </w:p>
    <w:p w14:paraId="0731337B" w14:textId="77777777" w:rsidR="009A3168" w:rsidRPr="004F6DAA" w:rsidRDefault="009A3168" w:rsidP="00445504">
      <w:pPr>
        <w:pStyle w:val="Bullet1"/>
        <w:rPr>
          <w:i/>
          <w:noProof/>
        </w:rPr>
      </w:pPr>
      <w:r w:rsidRPr="004F6DAA">
        <w:rPr>
          <w:i/>
          <w:noProof/>
        </w:rPr>
        <w:t xml:space="preserve">Artykuł 4: Obowiązki podmiotów </w:t>
      </w:r>
    </w:p>
    <w:p w14:paraId="0590B647" w14:textId="77777777" w:rsidR="00592133" w:rsidRPr="004F6DAA" w:rsidRDefault="00592133" w:rsidP="00592133">
      <w:pPr>
        <w:rPr>
          <w:noProof/>
        </w:rPr>
      </w:pPr>
      <w:r w:rsidRPr="004F6DAA">
        <w:rPr>
          <w:noProof/>
        </w:rPr>
        <w:t xml:space="preserve">W </w:t>
      </w:r>
      <w:r w:rsidRPr="00062BFA">
        <w:rPr>
          <w:noProof/>
        </w:rPr>
        <w:t>art.</w:t>
      </w:r>
      <w:r w:rsidR="00062BFA" w:rsidRPr="00062BFA">
        <w:rPr>
          <w:noProof/>
        </w:rPr>
        <w:t> </w:t>
      </w:r>
      <w:r w:rsidRPr="00062BFA">
        <w:rPr>
          <w:noProof/>
        </w:rPr>
        <w:t>4</w:t>
      </w:r>
      <w:r w:rsidRPr="004F6DAA">
        <w:rPr>
          <w:noProof/>
        </w:rPr>
        <w:t xml:space="preserve"> określono obowiązki podmiotów wynikające</w:t>
      </w:r>
      <w:r w:rsidR="00062BFA" w:rsidRPr="004F6DAA">
        <w:rPr>
          <w:noProof/>
        </w:rPr>
        <w:t xml:space="preserve"> z</w:t>
      </w:r>
      <w:r w:rsidR="00062BFA">
        <w:rPr>
          <w:noProof/>
        </w:rPr>
        <w:t> </w:t>
      </w:r>
      <w:r w:rsidR="00062BFA" w:rsidRPr="004F6DAA">
        <w:rPr>
          <w:noProof/>
        </w:rPr>
        <w:t>roz</w:t>
      </w:r>
      <w:r w:rsidRPr="004F6DAA">
        <w:rPr>
          <w:noProof/>
        </w:rPr>
        <w:t>porządzenia. Opisano</w:t>
      </w:r>
      <w:r w:rsidR="00062BFA" w:rsidRPr="004F6DAA">
        <w:rPr>
          <w:noProof/>
        </w:rPr>
        <w:t xml:space="preserve"> w</w:t>
      </w:r>
      <w:r w:rsidR="00062BFA">
        <w:rPr>
          <w:noProof/>
        </w:rPr>
        <w:t> </w:t>
      </w:r>
      <w:r w:rsidR="00062BFA" w:rsidRPr="004F6DAA">
        <w:rPr>
          <w:noProof/>
        </w:rPr>
        <w:t>nim</w:t>
      </w:r>
      <w:r w:rsidRPr="004F6DAA">
        <w:rPr>
          <w:noProof/>
        </w:rPr>
        <w:t xml:space="preserve"> procedurę należytej staranności,</w:t>
      </w:r>
      <w:r w:rsidR="00062BFA" w:rsidRPr="004F6DAA">
        <w:rPr>
          <w:noProof/>
        </w:rPr>
        <w:t xml:space="preserve"> a</w:t>
      </w:r>
      <w:r w:rsidR="00062BFA">
        <w:rPr>
          <w:noProof/>
        </w:rPr>
        <w:t> </w:t>
      </w:r>
      <w:r w:rsidR="00062BFA" w:rsidRPr="004F6DAA">
        <w:rPr>
          <w:noProof/>
        </w:rPr>
        <w:t>zat</w:t>
      </w:r>
      <w:r w:rsidRPr="004F6DAA">
        <w:rPr>
          <w:noProof/>
        </w:rPr>
        <w:t>em zawiera on ogólną zasadę dotyczącą obowiązków podmiotów</w:t>
      </w:r>
      <w:r w:rsidR="00062BFA" w:rsidRPr="004F6DAA">
        <w:rPr>
          <w:noProof/>
        </w:rPr>
        <w:t>. W</w:t>
      </w:r>
      <w:r w:rsidR="00062BFA">
        <w:rPr>
          <w:noProof/>
        </w:rPr>
        <w:t> </w:t>
      </w:r>
      <w:r w:rsidR="00062BFA" w:rsidRPr="00062BFA">
        <w:rPr>
          <w:noProof/>
        </w:rPr>
        <w:t>ust</w:t>
      </w:r>
      <w:r w:rsidRPr="00062BFA">
        <w:rPr>
          <w:noProof/>
        </w:rPr>
        <w:t>.</w:t>
      </w:r>
      <w:r w:rsidR="00062BFA" w:rsidRPr="00062BFA">
        <w:rPr>
          <w:noProof/>
        </w:rPr>
        <w:t> </w:t>
      </w:r>
      <w:r w:rsidRPr="00062BFA">
        <w:rPr>
          <w:noProof/>
        </w:rPr>
        <w:t>1</w:t>
      </w:r>
      <w:r w:rsidRPr="004F6DAA">
        <w:rPr>
          <w:noProof/>
        </w:rPr>
        <w:t xml:space="preserve"> nałożono na podmioty obowiązek zachowania należytej staranności</w:t>
      </w:r>
      <w:r w:rsidR="00062BFA" w:rsidRPr="004F6DAA">
        <w:rPr>
          <w:noProof/>
        </w:rPr>
        <w:t xml:space="preserve"> w</w:t>
      </w:r>
      <w:r w:rsidR="00062BFA">
        <w:rPr>
          <w:noProof/>
        </w:rPr>
        <w:t> </w:t>
      </w:r>
      <w:r w:rsidR="00062BFA" w:rsidRPr="004F6DAA">
        <w:rPr>
          <w:noProof/>
        </w:rPr>
        <w:t>odn</w:t>
      </w:r>
      <w:r w:rsidRPr="004F6DAA">
        <w:rPr>
          <w:noProof/>
        </w:rPr>
        <w:t>iesieniu do wszystkich odnośnych towarów</w:t>
      </w:r>
      <w:r w:rsidR="00062BFA" w:rsidRPr="004F6DAA">
        <w:rPr>
          <w:noProof/>
        </w:rPr>
        <w:t xml:space="preserve"> i</w:t>
      </w:r>
      <w:r w:rsidR="00062BFA">
        <w:rPr>
          <w:noProof/>
        </w:rPr>
        <w:t> </w:t>
      </w:r>
      <w:r w:rsidR="00062BFA" w:rsidRPr="004F6DAA">
        <w:rPr>
          <w:noProof/>
        </w:rPr>
        <w:t>pro</w:t>
      </w:r>
      <w:r w:rsidRPr="004F6DAA">
        <w:rPr>
          <w:noProof/>
        </w:rPr>
        <w:t>duktów, aby zapewnić przestrzeganie zakazu określonego</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 xml:space="preserve"> </w:t>
      </w:r>
      <w:r w:rsidRPr="00062BFA">
        <w:rPr>
          <w:noProof/>
        </w:rPr>
        <w:t>lit.</w:t>
      </w:r>
      <w:r w:rsidR="00062BFA" w:rsidRPr="00062BFA">
        <w:rPr>
          <w:noProof/>
        </w:rPr>
        <w:t> </w:t>
      </w:r>
      <w:r w:rsidRPr="00062BFA">
        <w:rPr>
          <w:noProof/>
        </w:rPr>
        <w:t>a)</w:t>
      </w:r>
      <w:r w:rsidRPr="004F6DAA">
        <w:rPr>
          <w:noProof/>
        </w:rPr>
        <w:t xml:space="preserve"> i b), oraz obowiązek przedłożenia oświadczenia</w:t>
      </w:r>
      <w:r w:rsidR="00062BFA" w:rsidRPr="004F6DAA">
        <w:rPr>
          <w:noProof/>
        </w:rPr>
        <w:t xml:space="preserve"> o</w:t>
      </w:r>
      <w:r w:rsidR="00062BFA">
        <w:rPr>
          <w:noProof/>
        </w:rPr>
        <w:t> </w:t>
      </w:r>
      <w:r w:rsidR="00062BFA" w:rsidRPr="004F6DAA">
        <w:rPr>
          <w:noProof/>
        </w:rPr>
        <w:t>zac</w:t>
      </w:r>
      <w:r w:rsidRPr="004F6DAA">
        <w:rPr>
          <w:noProof/>
        </w:rPr>
        <w:t>howaniu należytej staranności przed wprowadzeniem ich do obrotu</w:t>
      </w:r>
      <w:r w:rsidR="00062BFA" w:rsidRPr="004F6DAA">
        <w:rPr>
          <w:noProof/>
        </w:rPr>
        <w:t xml:space="preserve"> w</w:t>
      </w:r>
      <w:r w:rsidR="00062BFA">
        <w:rPr>
          <w:noProof/>
        </w:rPr>
        <w:t> </w:t>
      </w:r>
      <w:r w:rsidR="00062BFA" w:rsidRPr="004F6DAA">
        <w:rPr>
          <w:noProof/>
        </w:rPr>
        <w:t>Uni</w:t>
      </w:r>
      <w:r w:rsidRPr="004F6DAA">
        <w:rPr>
          <w:noProof/>
        </w:rPr>
        <w:t>i lub wywozem</w:t>
      </w:r>
      <w:r w:rsidR="00062BFA" w:rsidRPr="004F6DAA">
        <w:rPr>
          <w:noProof/>
        </w:rPr>
        <w:t xml:space="preserve"> z</w:t>
      </w:r>
      <w:r w:rsidR="00062BFA">
        <w:rPr>
          <w:noProof/>
        </w:rPr>
        <w:t> </w:t>
      </w:r>
      <w:r w:rsidR="00062BFA" w:rsidRPr="004F6DAA">
        <w:rPr>
          <w:noProof/>
        </w:rPr>
        <w:t>ryn</w:t>
      </w:r>
      <w:r w:rsidRPr="004F6DAA">
        <w:rPr>
          <w:noProof/>
        </w:rPr>
        <w:t>ku unijnego. Niezbędne informacje wymagane</w:t>
      </w:r>
      <w:r w:rsidR="00062BFA" w:rsidRPr="004F6DAA">
        <w:rPr>
          <w:noProof/>
        </w:rPr>
        <w:t xml:space="preserve"> w</w:t>
      </w:r>
      <w:r w:rsidR="00062BFA">
        <w:rPr>
          <w:noProof/>
        </w:rPr>
        <w:t> </w:t>
      </w:r>
      <w:r w:rsidR="00062BFA" w:rsidRPr="004F6DAA">
        <w:rPr>
          <w:noProof/>
        </w:rPr>
        <w:t>ośw</w:t>
      </w:r>
      <w:r w:rsidRPr="004F6DAA">
        <w:rPr>
          <w:noProof/>
        </w:rPr>
        <w:t>iadczeniu</w:t>
      </w:r>
      <w:r w:rsidR="00062BFA" w:rsidRPr="004F6DAA">
        <w:rPr>
          <w:noProof/>
        </w:rPr>
        <w:t xml:space="preserve"> o</w:t>
      </w:r>
      <w:r w:rsidR="00062BFA">
        <w:rPr>
          <w:noProof/>
        </w:rPr>
        <w:t> </w:t>
      </w:r>
      <w:r w:rsidR="00062BFA" w:rsidRPr="004F6DAA">
        <w:rPr>
          <w:noProof/>
        </w:rPr>
        <w:t>zac</w:t>
      </w:r>
      <w:r w:rsidRPr="004F6DAA">
        <w:rPr>
          <w:noProof/>
        </w:rPr>
        <w:t>howaniu należytej staranności określono</w:t>
      </w:r>
      <w:r w:rsidR="00062BFA" w:rsidRPr="004F6DAA">
        <w:rPr>
          <w:noProof/>
        </w:rPr>
        <w:t xml:space="preserve"> w</w:t>
      </w:r>
      <w:r w:rsidR="00062BFA">
        <w:rPr>
          <w:noProof/>
        </w:rPr>
        <w:t> </w:t>
      </w:r>
      <w:r w:rsidR="00062BFA" w:rsidRPr="004F6DAA">
        <w:rPr>
          <w:noProof/>
        </w:rPr>
        <w:t>zał</w:t>
      </w:r>
      <w:r w:rsidRPr="004F6DAA">
        <w:rPr>
          <w:noProof/>
        </w:rPr>
        <w:t xml:space="preserve">ączniku II. </w:t>
      </w:r>
    </w:p>
    <w:p w14:paraId="1BAD64F0" w14:textId="77777777" w:rsidR="00592133" w:rsidRPr="004F6DAA" w:rsidRDefault="00592133" w:rsidP="00592133">
      <w:pPr>
        <w:rPr>
          <w:noProof/>
        </w:rPr>
      </w:pPr>
      <w:r w:rsidRPr="004F6DAA">
        <w:rPr>
          <w:noProof/>
        </w:rPr>
        <w:t xml:space="preserve">W </w:t>
      </w:r>
      <w:r w:rsidRPr="00062BFA">
        <w:rPr>
          <w:noProof/>
        </w:rPr>
        <w:t>ust.</w:t>
      </w:r>
      <w:r w:rsidR="00062BFA" w:rsidRPr="00062BFA">
        <w:rPr>
          <w:noProof/>
        </w:rPr>
        <w:t> </w:t>
      </w:r>
      <w:r w:rsidRPr="00062BFA">
        <w:rPr>
          <w:noProof/>
        </w:rPr>
        <w:t>2</w:t>
      </w:r>
      <w:r w:rsidRPr="004F6DAA">
        <w:rPr>
          <w:noProof/>
        </w:rPr>
        <w:t xml:space="preserve"> przedstawiono szczegółową procedurę regulującą przedkładanie oświadczeń</w:t>
      </w:r>
      <w:r w:rsidR="00062BFA" w:rsidRPr="004F6DAA">
        <w:rPr>
          <w:noProof/>
        </w:rPr>
        <w:t xml:space="preserve"> o</w:t>
      </w:r>
      <w:r w:rsidR="00062BFA">
        <w:rPr>
          <w:noProof/>
        </w:rPr>
        <w:t> </w:t>
      </w:r>
      <w:r w:rsidR="00062BFA" w:rsidRPr="004F6DAA">
        <w:rPr>
          <w:noProof/>
        </w:rPr>
        <w:t>zac</w:t>
      </w:r>
      <w:r w:rsidRPr="004F6DAA">
        <w:rPr>
          <w:noProof/>
        </w:rPr>
        <w:t>howaniu należytej staranności. Po stwierdzeniu, że odnośny towar lub produkt jest zgodny</w:t>
      </w:r>
      <w:r w:rsidR="00062BFA" w:rsidRPr="004F6DAA">
        <w:rPr>
          <w:noProof/>
        </w:rPr>
        <w:t xml:space="preserve"> z</w:t>
      </w:r>
      <w:r w:rsidR="00062BFA">
        <w:rPr>
          <w:noProof/>
        </w:rPr>
        <w:t> </w:t>
      </w:r>
      <w:r w:rsidR="00062BFA" w:rsidRPr="004F6DAA">
        <w:rPr>
          <w:noProof/>
        </w:rPr>
        <w:t>roz</w:t>
      </w:r>
      <w:r w:rsidRPr="004F6DAA">
        <w:rPr>
          <w:noProof/>
        </w:rPr>
        <w:t>porządzeniem, podmiot musi złożyć oświadczenie</w:t>
      </w:r>
      <w:r w:rsidR="00062BFA" w:rsidRPr="004F6DAA">
        <w:rPr>
          <w:noProof/>
        </w:rPr>
        <w:t xml:space="preserve"> o</w:t>
      </w:r>
      <w:r w:rsidR="00062BFA">
        <w:rPr>
          <w:noProof/>
        </w:rPr>
        <w:t> </w:t>
      </w:r>
      <w:r w:rsidR="00062BFA" w:rsidRPr="004F6DAA">
        <w:rPr>
          <w:noProof/>
        </w:rPr>
        <w:t>zac</w:t>
      </w:r>
      <w:r w:rsidRPr="004F6DAA">
        <w:rPr>
          <w:noProof/>
        </w:rPr>
        <w:t>howaniu należytej staranności</w:t>
      </w:r>
      <w:r w:rsidR="00062BFA" w:rsidRPr="004F6DAA">
        <w:rPr>
          <w:noProof/>
        </w:rPr>
        <w:t xml:space="preserve"> w</w:t>
      </w:r>
      <w:r w:rsidR="00062BFA">
        <w:rPr>
          <w:noProof/>
        </w:rPr>
        <w:t> </w:t>
      </w:r>
      <w:r w:rsidR="00062BFA" w:rsidRPr="004F6DAA">
        <w:rPr>
          <w:noProof/>
        </w:rPr>
        <w:t>sys</w:t>
      </w:r>
      <w:r w:rsidRPr="004F6DAA">
        <w:rPr>
          <w:noProof/>
        </w:rPr>
        <w:t xml:space="preserve">temie informacyjnym (zob. </w:t>
      </w:r>
      <w:r w:rsidRPr="00062BFA">
        <w:rPr>
          <w:noProof/>
        </w:rPr>
        <w:t>art.</w:t>
      </w:r>
      <w:r w:rsidR="00062BFA" w:rsidRPr="00062BFA">
        <w:rPr>
          <w:noProof/>
        </w:rPr>
        <w:t> </w:t>
      </w:r>
      <w:r w:rsidRPr="00062BFA">
        <w:rPr>
          <w:noProof/>
        </w:rPr>
        <w:t>3</w:t>
      </w:r>
      <w:r w:rsidRPr="004F6DAA">
        <w:rPr>
          <w:noProof/>
        </w:rPr>
        <w:t>1), zanim towar lub produkt zostanie wprowadzony do obrotu</w:t>
      </w:r>
      <w:r w:rsidR="00062BFA" w:rsidRPr="004F6DAA">
        <w:rPr>
          <w:noProof/>
        </w:rPr>
        <w:t>. W</w:t>
      </w:r>
      <w:r w:rsidR="00062BFA">
        <w:rPr>
          <w:noProof/>
        </w:rPr>
        <w:t> </w:t>
      </w:r>
      <w:r w:rsidR="00062BFA" w:rsidRPr="004F6DAA">
        <w:rPr>
          <w:noProof/>
        </w:rPr>
        <w:t>prz</w:t>
      </w:r>
      <w:r w:rsidRPr="004F6DAA">
        <w:rPr>
          <w:noProof/>
        </w:rPr>
        <w:t>ypadku odnośnych towarów</w:t>
      </w:r>
      <w:r w:rsidR="00062BFA" w:rsidRPr="004F6DAA">
        <w:rPr>
          <w:noProof/>
        </w:rPr>
        <w:t xml:space="preserve"> i</w:t>
      </w:r>
      <w:r w:rsidR="00062BFA">
        <w:rPr>
          <w:noProof/>
        </w:rPr>
        <w:t> </w:t>
      </w:r>
      <w:r w:rsidR="00062BFA" w:rsidRPr="004F6DAA">
        <w:rPr>
          <w:noProof/>
        </w:rPr>
        <w:t>pro</w:t>
      </w:r>
      <w:r w:rsidRPr="004F6DAA">
        <w:rPr>
          <w:noProof/>
        </w:rPr>
        <w:t>duktów, które są dopuszczane do obrotu lub wywozu,</w:t>
      </w:r>
      <w:r w:rsidR="00062BFA" w:rsidRPr="004F6DAA">
        <w:rPr>
          <w:noProof/>
        </w:rPr>
        <w:t xml:space="preserve"> w</w:t>
      </w:r>
      <w:r w:rsidR="00062BFA">
        <w:rPr>
          <w:noProof/>
        </w:rPr>
        <w:t> </w:t>
      </w:r>
      <w:r w:rsidR="00062BFA" w:rsidRPr="004F6DAA">
        <w:rPr>
          <w:noProof/>
        </w:rPr>
        <w:t>zgł</w:t>
      </w:r>
      <w:r w:rsidRPr="004F6DAA">
        <w:rPr>
          <w:noProof/>
        </w:rPr>
        <w:t>oszeniu celnym należy zamieścić odniesienie do oświadczenia</w:t>
      </w:r>
      <w:r w:rsidR="00062BFA" w:rsidRPr="004F6DAA">
        <w:rPr>
          <w:noProof/>
        </w:rPr>
        <w:t xml:space="preserve"> o</w:t>
      </w:r>
      <w:r w:rsidR="00062BFA">
        <w:rPr>
          <w:noProof/>
        </w:rPr>
        <w:t> </w:t>
      </w:r>
      <w:r w:rsidR="00062BFA" w:rsidRPr="004F6DAA">
        <w:rPr>
          <w:noProof/>
        </w:rPr>
        <w:t>zac</w:t>
      </w:r>
      <w:r w:rsidRPr="004F6DAA">
        <w:rPr>
          <w:noProof/>
        </w:rPr>
        <w:t>howaniu należytej staranności, co umożliwi niezbędną ścisłą współpracę między organami celnymi</w:t>
      </w:r>
      <w:r w:rsidR="00062BFA" w:rsidRPr="004F6DAA">
        <w:rPr>
          <w:noProof/>
        </w:rPr>
        <w:t xml:space="preserve"> a</w:t>
      </w:r>
      <w:r w:rsidR="00062BFA">
        <w:rPr>
          <w:noProof/>
        </w:rPr>
        <w:t> </w:t>
      </w:r>
      <w:r w:rsidR="00062BFA" w:rsidRPr="004F6DAA">
        <w:rPr>
          <w:noProof/>
        </w:rPr>
        <w:t>wła</w:t>
      </w:r>
      <w:r w:rsidRPr="004F6DAA">
        <w:rPr>
          <w:noProof/>
        </w:rPr>
        <w:t>ściwymi organami. Zgodnie</w:t>
      </w:r>
      <w:r w:rsidR="00062BFA" w:rsidRPr="004F6DAA">
        <w:rPr>
          <w:noProof/>
        </w:rPr>
        <w:t xml:space="preserve"> z</w:t>
      </w:r>
      <w:r w:rsidR="00062BFA">
        <w:rPr>
          <w:noProof/>
        </w:rPr>
        <w:t> </w:t>
      </w:r>
      <w:r w:rsidR="00062BFA" w:rsidRPr="00062BFA">
        <w:rPr>
          <w:noProof/>
        </w:rPr>
        <w:t>ust</w:t>
      </w:r>
      <w:r w:rsidRPr="00062BFA">
        <w:rPr>
          <w:noProof/>
        </w:rPr>
        <w:t>.</w:t>
      </w:r>
      <w:r w:rsidR="00062BFA" w:rsidRPr="00062BFA">
        <w:rPr>
          <w:noProof/>
        </w:rPr>
        <w:t> </w:t>
      </w:r>
      <w:r w:rsidRPr="00062BFA">
        <w:rPr>
          <w:noProof/>
        </w:rPr>
        <w:t>3</w:t>
      </w:r>
      <w:r w:rsidRPr="004F6DAA">
        <w:rPr>
          <w:noProof/>
        </w:rPr>
        <w:t xml:space="preserve"> podmioty przyjmują odpowiedzialność za zgodność produktów, sporządzając oświadczenie</w:t>
      </w:r>
      <w:r w:rsidR="00062BFA" w:rsidRPr="004F6DAA">
        <w:rPr>
          <w:noProof/>
        </w:rPr>
        <w:t xml:space="preserve"> o</w:t>
      </w:r>
      <w:r w:rsidR="00062BFA">
        <w:rPr>
          <w:noProof/>
        </w:rPr>
        <w:t> </w:t>
      </w:r>
      <w:r w:rsidR="00062BFA" w:rsidRPr="004F6DAA">
        <w:rPr>
          <w:noProof/>
        </w:rPr>
        <w:t>zac</w:t>
      </w:r>
      <w:r w:rsidRPr="004F6DAA">
        <w:rPr>
          <w:noProof/>
        </w:rPr>
        <w:t>howaniu należytej staranności</w:t>
      </w:r>
      <w:r w:rsidR="00062BFA" w:rsidRPr="004F6DAA">
        <w:rPr>
          <w:noProof/>
        </w:rPr>
        <w:t>. W</w:t>
      </w:r>
      <w:r w:rsidR="00062BFA">
        <w:rPr>
          <w:noProof/>
        </w:rPr>
        <w:t> </w:t>
      </w:r>
      <w:r w:rsidR="00062BFA" w:rsidRPr="00062BFA">
        <w:rPr>
          <w:noProof/>
        </w:rPr>
        <w:t>ust</w:t>
      </w:r>
      <w:r w:rsidRPr="00062BFA">
        <w:rPr>
          <w:noProof/>
        </w:rPr>
        <w:t>.</w:t>
      </w:r>
      <w:r w:rsidR="00062BFA" w:rsidRPr="00062BFA">
        <w:rPr>
          <w:noProof/>
        </w:rPr>
        <w:t> </w:t>
      </w:r>
      <w:r w:rsidRPr="00062BFA">
        <w:rPr>
          <w:noProof/>
        </w:rPr>
        <w:t>4</w:t>
      </w:r>
      <w:r w:rsidRPr="004F6DAA">
        <w:rPr>
          <w:noProof/>
        </w:rPr>
        <w:t xml:space="preserve"> wyraźnie zobowiązano podmioty do powstrzymania się od wprowadzania do obrotu lub wywozu bez uprzedniego złożenia oświadczenia</w:t>
      </w:r>
      <w:r w:rsidR="00062BFA" w:rsidRPr="004F6DAA">
        <w:rPr>
          <w:noProof/>
        </w:rPr>
        <w:t xml:space="preserve"> o</w:t>
      </w:r>
      <w:r w:rsidR="00062BFA">
        <w:rPr>
          <w:noProof/>
        </w:rPr>
        <w:t> </w:t>
      </w:r>
      <w:r w:rsidR="00062BFA" w:rsidRPr="004F6DAA">
        <w:rPr>
          <w:noProof/>
        </w:rPr>
        <w:t>zac</w:t>
      </w:r>
      <w:r w:rsidRPr="004F6DAA">
        <w:rPr>
          <w:noProof/>
        </w:rPr>
        <w:t>howaniu należytej staranności</w:t>
      </w:r>
      <w:r w:rsidR="00062BFA" w:rsidRPr="004F6DAA">
        <w:rPr>
          <w:noProof/>
        </w:rPr>
        <w:t>. W</w:t>
      </w:r>
      <w:r w:rsidR="00062BFA">
        <w:rPr>
          <w:noProof/>
        </w:rPr>
        <w:t> </w:t>
      </w:r>
      <w:r w:rsidR="00062BFA" w:rsidRPr="00062BFA">
        <w:rPr>
          <w:noProof/>
        </w:rPr>
        <w:t>ust</w:t>
      </w:r>
      <w:r w:rsidRPr="00062BFA">
        <w:rPr>
          <w:noProof/>
        </w:rPr>
        <w:t>.</w:t>
      </w:r>
      <w:r w:rsidR="00062BFA" w:rsidRPr="00062BFA">
        <w:rPr>
          <w:noProof/>
        </w:rPr>
        <w:t> </w:t>
      </w:r>
      <w:r w:rsidRPr="00062BFA">
        <w:rPr>
          <w:noProof/>
        </w:rPr>
        <w:t>5</w:t>
      </w:r>
      <w:r w:rsidRPr="004F6DAA">
        <w:rPr>
          <w:noProof/>
        </w:rPr>
        <w:t xml:space="preserve"> ustanowiono ten sam obowiązek, jeżeli: 1) odnośne produkty lub towary nie spełniają wymogów dotyczących „niepowodowania wylesiania” lub „legalności”; 2)</w:t>
      </w:r>
      <w:r w:rsidR="00062BFA" w:rsidRPr="004F6DAA">
        <w:rPr>
          <w:noProof/>
        </w:rPr>
        <w:t xml:space="preserve"> w</w:t>
      </w:r>
      <w:r w:rsidR="00062BFA">
        <w:rPr>
          <w:noProof/>
        </w:rPr>
        <w:t> </w:t>
      </w:r>
      <w:r w:rsidR="00062BFA" w:rsidRPr="004F6DAA">
        <w:rPr>
          <w:noProof/>
        </w:rPr>
        <w:t>wyn</w:t>
      </w:r>
      <w:r w:rsidRPr="004F6DAA">
        <w:rPr>
          <w:noProof/>
        </w:rPr>
        <w:t xml:space="preserve">iku procedury należytej staranności stwierdzono, że ryzyko niezgodności nie jest znikome; </w:t>
      </w:r>
      <w:r w:rsidRPr="00062BFA">
        <w:rPr>
          <w:noProof/>
        </w:rPr>
        <w:t>lub</w:t>
      </w:r>
      <w:r w:rsidR="00062BFA" w:rsidRPr="00062BFA">
        <w:rPr>
          <w:noProof/>
        </w:rPr>
        <w:t> </w:t>
      </w:r>
      <w:r w:rsidRPr="00062BFA">
        <w:rPr>
          <w:noProof/>
        </w:rPr>
        <w:t>3</w:t>
      </w:r>
      <w:r w:rsidRPr="004F6DAA">
        <w:rPr>
          <w:noProof/>
        </w:rPr>
        <w:t>) procedura należytej staranności nie została zakończona</w:t>
      </w:r>
      <w:r w:rsidR="00062BFA" w:rsidRPr="004F6DAA">
        <w:rPr>
          <w:noProof/>
        </w:rPr>
        <w:t>. W</w:t>
      </w:r>
      <w:r w:rsidR="00062BFA">
        <w:rPr>
          <w:noProof/>
        </w:rPr>
        <w:t> </w:t>
      </w:r>
      <w:r w:rsidR="00062BFA" w:rsidRPr="00062BFA">
        <w:rPr>
          <w:noProof/>
        </w:rPr>
        <w:t>ust</w:t>
      </w:r>
      <w:r w:rsidRPr="00062BFA">
        <w:rPr>
          <w:noProof/>
        </w:rPr>
        <w:t>.</w:t>
      </w:r>
      <w:r w:rsidR="00062BFA" w:rsidRPr="00062BFA">
        <w:rPr>
          <w:noProof/>
        </w:rPr>
        <w:t> </w:t>
      </w:r>
      <w:r w:rsidRPr="00062BFA">
        <w:rPr>
          <w:noProof/>
        </w:rPr>
        <w:t>6</w:t>
      </w:r>
      <w:r w:rsidRPr="004F6DAA">
        <w:rPr>
          <w:noProof/>
        </w:rPr>
        <w:t xml:space="preserve"> zobowiązano podmioty do podjęcia działań</w:t>
      </w:r>
      <w:r w:rsidR="00062BFA" w:rsidRPr="004F6DAA">
        <w:rPr>
          <w:noProof/>
        </w:rPr>
        <w:t xml:space="preserve"> i</w:t>
      </w:r>
      <w:r w:rsidR="00062BFA">
        <w:rPr>
          <w:noProof/>
        </w:rPr>
        <w:t> </w:t>
      </w:r>
      <w:r w:rsidR="00062BFA" w:rsidRPr="004F6DAA">
        <w:rPr>
          <w:noProof/>
        </w:rPr>
        <w:t>poi</w:t>
      </w:r>
      <w:r w:rsidRPr="004F6DAA">
        <w:rPr>
          <w:noProof/>
        </w:rPr>
        <w:t>nformowania właściwych organów, jeżeli po zakończeniu procedury należytej staranności</w:t>
      </w:r>
      <w:r w:rsidR="00062BFA" w:rsidRPr="004F6DAA">
        <w:rPr>
          <w:noProof/>
        </w:rPr>
        <w:t xml:space="preserve"> i</w:t>
      </w:r>
      <w:r w:rsidR="00062BFA">
        <w:rPr>
          <w:noProof/>
        </w:rPr>
        <w:t> </w:t>
      </w:r>
      <w:r w:rsidR="00062BFA" w:rsidRPr="004F6DAA">
        <w:rPr>
          <w:noProof/>
        </w:rPr>
        <w:t>zło</w:t>
      </w:r>
      <w:r w:rsidRPr="004F6DAA">
        <w:rPr>
          <w:noProof/>
        </w:rPr>
        <w:t xml:space="preserve">żeniu oświadczenia dostępne będą nowe informacje. </w:t>
      </w:r>
    </w:p>
    <w:p w14:paraId="660605EE" w14:textId="77777777" w:rsidR="009A3168" w:rsidRPr="004F6DAA" w:rsidRDefault="009A3168" w:rsidP="00445504">
      <w:pPr>
        <w:pStyle w:val="Bullet1"/>
        <w:rPr>
          <w:i/>
          <w:noProof/>
        </w:rPr>
      </w:pPr>
      <w:r w:rsidRPr="004F6DAA">
        <w:rPr>
          <w:i/>
          <w:noProof/>
        </w:rPr>
        <w:t xml:space="preserve">Artykuł 6: Obowiązki podmiotów handlowych </w:t>
      </w:r>
    </w:p>
    <w:p w14:paraId="101E64E3" w14:textId="77777777" w:rsidR="00592133" w:rsidRPr="004F6DAA" w:rsidRDefault="00592133" w:rsidP="00592133">
      <w:pPr>
        <w:rPr>
          <w:noProof/>
        </w:rPr>
      </w:pPr>
      <w:r w:rsidRPr="004F6DAA">
        <w:rPr>
          <w:noProof/>
        </w:rPr>
        <w:t>Do celów niniejszego rozporządzenia, podobnie jak</w:t>
      </w:r>
      <w:r w:rsidR="00062BFA" w:rsidRPr="004F6DAA">
        <w:rPr>
          <w:noProof/>
        </w:rPr>
        <w:t xml:space="preserve"> w</w:t>
      </w:r>
      <w:r w:rsidR="00062BFA">
        <w:rPr>
          <w:noProof/>
        </w:rPr>
        <w:t> </w:t>
      </w:r>
      <w:r w:rsidR="00062BFA" w:rsidRPr="004F6DAA">
        <w:rPr>
          <w:noProof/>
        </w:rPr>
        <w:t>roz</w:t>
      </w:r>
      <w:r w:rsidRPr="004F6DAA">
        <w:rPr>
          <w:noProof/>
        </w:rPr>
        <w:t>porządzeniu</w:t>
      </w:r>
      <w:r w:rsidR="00062BFA" w:rsidRPr="004F6DAA">
        <w:rPr>
          <w:noProof/>
        </w:rPr>
        <w:t xml:space="preserve"> w</w:t>
      </w:r>
      <w:r w:rsidR="00062BFA">
        <w:rPr>
          <w:noProof/>
        </w:rPr>
        <w:t> </w:t>
      </w:r>
      <w:r w:rsidR="00062BFA" w:rsidRPr="004F6DAA">
        <w:rPr>
          <w:noProof/>
        </w:rPr>
        <w:t>spr</w:t>
      </w:r>
      <w:r w:rsidRPr="004F6DAA">
        <w:rPr>
          <w:noProof/>
        </w:rPr>
        <w:t>awie drewna, podmiot handlowy można zdefiniować jako „każdą osobę fizyczną lub prawną, która</w:t>
      </w:r>
      <w:r w:rsidR="00062BFA" w:rsidRPr="004F6DAA">
        <w:rPr>
          <w:noProof/>
        </w:rPr>
        <w:t xml:space="preserve"> w</w:t>
      </w:r>
      <w:r w:rsidR="00062BFA">
        <w:rPr>
          <w:noProof/>
        </w:rPr>
        <w:t> </w:t>
      </w:r>
      <w:r w:rsidR="00062BFA" w:rsidRPr="004F6DAA">
        <w:rPr>
          <w:noProof/>
        </w:rPr>
        <w:t>ram</w:t>
      </w:r>
      <w:r w:rsidRPr="004F6DAA">
        <w:rPr>
          <w:noProof/>
        </w:rPr>
        <w:t>ach działalności handlowej udostępnia na rynku unijnym odnośne towary</w:t>
      </w:r>
      <w:r w:rsidR="00062BFA" w:rsidRPr="004F6DAA">
        <w:rPr>
          <w:noProof/>
        </w:rPr>
        <w:t xml:space="preserve"> i</w:t>
      </w:r>
      <w:r w:rsidR="00062BFA">
        <w:rPr>
          <w:noProof/>
        </w:rPr>
        <w:t> </w:t>
      </w:r>
      <w:r w:rsidR="00062BFA" w:rsidRPr="004F6DAA">
        <w:rPr>
          <w:noProof/>
        </w:rPr>
        <w:t>pro</w:t>
      </w:r>
      <w:r w:rsidRPr="004F6DAA">
        <w:rPr>
          <w:noProof/>
        </w:rPr>
        <w:t>dukty” [</w:t>
      </w:r>
      <w:r w:rsidRPr="00062BFA">
        <w:rPr>
          <w:noProof/>
        </w:rPr>
        <w:t>art.</w:t>
      </w:r>
      <w:r w:rsidR="00062BFA" w:rsidRPr="00062BFA">
        <w:rPr>
          <w:noProof/>
        </w:rPr>
        <w:t> </w:t>
      </w:r>
      <w:r w:rsidRPr="00062BFA">
        <w:rPr>
          <w:noProof/>
        </w:rPr>
        <w:t>2</w:t>
      </w:r>
      <w:r w:rsidRPr="004F6DAA">
        <w:rPr>
          <w:noProof/>
        </w:rPr>
        <w:t xml:space="preserve"> </w:t>
      </w:r>
      <w:r w:rsidRPr="00062BFA">
        <w:rPr>
          <w:noProof/>
        </w:rPr>
        <w:t>lit.</w:t>
      </w:r>
      <w:r w:rsidR="00062BFA" w:rsidRPr="00062BFA">
        <w:rPr>
          <w:noProof/>
        </w:rPr>
        <w:t> </w:t>
      </w:r>
      <w:r w:rsidRPr="00062BFA">
        <w:rPr>
          <w:noProof/>
        </w:rPr>
        <w:t>j)</w:t>
      </w:r>
      <w:r w:rsidRPr="004F6DAA">
        <w:rPr>
          <w:noProof/>
        </w:rPr>
        <w:t>]. Zasadniczo podmioty handlowe podlegają łagodniejszym obowiązkom niż podmioty, ponieważ zanim podmiot handlowy może pozbyć się odnośnych towarów lub produktów, zostały już one wprowadzone do obrotu. Podmioty handlowe, zwłaszcza duże podmioty handlowe, mają jednak znaczny wpływ na łańcuchy dostaw</w:t>
      </w:r>
      <w:r w:rsidR="00062BFA" w:rsidRPr="004F6DAA">
        <w:rPr>
          <w:noProof/>
        </w:rPr>
        <w:t xml:space="preserve"> i</w:t>
      </w:r>
      <w:r w:rsidR="00062BFA">
        <w:rPr>
          <w:noProof/>
        </w:rPr>
        <w:t> </w:t>
      </w:r>
      <w:r w:rsidR="00062BFA" w:rsidRPr="004F6DAA">
        <w:rPr>
          <w:noProof/>
        </w:rPr>
        <w:t>odg</w:t>
      </w:r>
      <w:r w:rsidRPr="004F6DAA">
        <w:rPr>
          <w:noProof/>
        </w:rPr>
        <w:t>rywają ważną rolę</w:t>
      </w:r>
      <w:r w:rsidR="00062BFA" w:rsidRPr="004F6DAA">
        <w:rPr>
          <w:noProof/>
        </w:rPr>
        <w:t xml:space="preserve"> w</w:t>
      </w:r>
      <w:r w:rsidR="00062BFA">
        <w:rPr>
          <w:noProof/>
        </w:rPr>
        <w:t> </w:t>
      </w:r>
      <w:r w:rsidR="00062BFA" w:rsidRPr="004F6DAA">
        <w:rPr>
          <w:noProof/>
        </w:rPr>
        <w:t>zap</w:t>
      </w:r>
      <w:r w:rsidRPr="004F6DAA">
        <w:rPr>
          <w:noProof/>
        </w:rPr>
        <w:t>ewnieniu, aby odnośne towary</w:t>
      </w:r>
      <w:r w:rsidR="00062BFA" w:rsidRPr="004F6DAA">
        <w:rPr>
          <w:noProof/>
        </w:rPr>
        <w:t xml:space="preserve"> i</w:t>
      </w:r>
      <w:r w:rsidR="00062BFA">
        <w:rPr>
          <w:noProof/>
        </w:rPr>
        <w:t> </w:t>
      </w:r>
      <w:r w:rsidR="00062BFA" w:rsidRPr="004F6DAA">
        <w:rPr>
          <w:noProof/>
        </w:rPr>
        <w:t>pro</w:t>
      </w:r>
      <w:r w:rsidRPr="004F6DAA">
        <w:rPr>
          <w:noProof/>
        </w:rPr>
        <w:t>dukty nie powodowały wylesiania.</w:t>
      </w:r>
    </w:p>
    <w:p w14:paraId="791121BE" w14:textId="77777777" w:rsidR="00592133" w:rsidRPr="004F6DAA" w:rsidRDefault="00592133" w:rsidP="00592133">
      <w:pPr>
        <w:rPr>
          <w:noProof/>
        </w:rPr>
      </w:pPr>
      <w:r w:rsidRPr="004F6DAA">
        <w:rPr>
          <w:noProof/>
        </w:rPr>
        <w:t>W związku</w:t>
      </w:r>
      <w:r w:rsidR="00062BFA" w:rsidRPr="004F6DAA">
        <w:rPr>
          <w:noProof/>
        </w:rPr>
        <w:t xml:space="preserve"> z</w:t>
      </w:r>
      <w:r w:rsidR="00062BFA">
        <w:rPr>
          <w:noProof/>
        </w:rPr>
        <w:t> </w:t>
      </w:r>
      <w:r w:rsidR="00062BFA" w:rsidRPr="004F6DAA">
        <w:rPr>
          <w:noProof/>
        </w:rPr>
        <w:t>tym w</w:t>
      </w:r>
      <w:r w:rsidR="00062BFA">
        <w:rPr>
          <w:noProof/>
        </w:rPr>
        <w:t> </w:t>
      </w:r>
      <w:r w:rsidR="00062BFA" w:rsidRPr="004F6DAA">
        <w:rPr>
          <w:noProof/>
        </w:rPr>
        <w:t>prz</w:t>
      </w:r>
      <w:r w:rsidRPr="004F6DAA">
        <w:rPr>
          <w:noProof/>
        </w:rPr>
        <w:t>edmiotowym artykule wprowadzono rozróżnienie między obowiązkami mającymi zastosowanie do dużych podmiotów handlowych, które nie są małymi</w:t>
      </w:r>
      <w:r w:rsidR="00062BFA" w:rsidRPr="004F6DAA">
        <w:rPr>
          <w:noProof/>
        </w:rPr>
        <w:t xml:space="preserve"> i</w:t>
      </w:r>
      <w:r w:rsidR="00062BFA">
        <w:rPr>
          <w:noProof/>
        </w:rPr>
        <w:t> </w:t>
      </w:r>
      <w:r w:rsidR="00062BFA" w:rsidRPr="004F6DAA">
        <w:rPr>
          <w:noProof/>
        </w:rPr>
        <w:t>śre</w:t>
      </w:r>
      <w:r w:rsidRPr="004F6DAA">
        <w:rPr>
          <w:noProof/>
        </w:rPr>
        <w:t>dnimi przedsiębiorstwami (MŚP),</w:t>
      </w:r>
      <w:r w:rsidR="00062BFA" w:rsidRPr="004F6DAA">
        <w:rPr>
          <w:noProof/>
        </w:rPr>
        <w:t xml:space="preserve"> a</w:t>
      </w:r>
      <w:r w:rsidR="00062BFA">
        <w:rPr>
          <w:noProof/>
        </w:rPr>
        <w:t> </w:t>
      </w:r>
      <w:r w:rsidR="00062BFA" w:rsidRPr="004F6DAA">
        <w:rPr>
          <w:noProof/>
        </w:rPr>
        <w:t>obo</w:t>
      </w:r>
      <w:r w:rsidRPr="004F6DAA">
        <w:rPr>
          <w:noProof/>
        </w:rPr>
        <w:t>wiązkami mającymi zastosowanie do podmiotów handlowych, które są MŚP. Zgodnie</w:t>
      </w:r>
      <w:r w:rsidR="00062BFA" w:rsidRPr="004F6DAA">
        <w:rPr>
          <w:noProof/>
        </w:rPr>
        <w:t xml:space="preserve"> z</w:t>
      </w:r>
      <w:r w:rsidR="00062BFA">
        <w:rPr>
          <w:noProof/>
        </w:rPr>
        <w:t> </w:t>
      </w:r>
      <w:r w:rsidR="00062BFA" w:rsidRPr="00062BFA">
        <w:rPr>
          <w:noProof/>
        </w:rPr>
        <w:t>ust</w:t>
      </w:r>
      <w:r w:rsidRPr="00062BFA">
        <w:rPr>
          <w:noProof/>
        </w:rPr>
        <w:t>.</w:t>
      </w:r>
      <w:r w:rsidR="00062BFA" w:rsidRPr="00062BFA">
        <w:rPr>
          <w:noProof/>
        </w:rPr>
        <w:t> </w:t>
      </w:r>
      <w:r w:rsidRPr="00062BFA">
        <w:rPr>
          <w:noProof/>
        </w:rPr>
        <w:t>2</w:t>
      </w:r>
      <w:r w:rsidR="00062BFA" w:rsidRPr="004F6DAA">
        <w:rPr>
          <w:noProof/>
        </w:rPr>
        <w:t xml:space="preserve"> i</w:t>
      </w:r>
      <w:r w:rsidR="00062BFA">
        <w:rPr>
          <w:noProof/>
        </w:rPr>
        <w:t> </w:t>
      </w:r>
      <w:r w:rsidR="00062BFA" w:rsidRPr="004F6DAA">
        <w:rPr>
          <w:noProof/>
        </w:rPr>
        <w:t>3</w:t>
      </w:r>
      <w:r w:rsidRPr="004F6DAA">
        <w:rPr>
          <w:noProof/>
        </w:rPr>
        <w:t xml:space="preserve"> podmioty handlowe będące MŚP są zobowiązane do gromadzenia danych dotyczących swoich dostawców</w:t>
      </w:r>
      <w:r w:rsidR="00062BFA" w:rsidRPr="004F6DAA">
        <w:rPr>
          <w:noProof/>
        </w:rPr>
        <w:t xml:space="preserve"> i</w:t>
      </w:r>
      <w:r w:rsidR="00062BFA">
        <w:rPr>
          <w:noProof/>
        </w:rPr>
        <w:t> </w:t>
      </w:r>
      <w:r w:rsidR="00062BFA" w:rsidRPr="004F6DAA">
        <w:rPr>
          <w:noProof/>
        </w:rPr>
        <w:t>kli</w:t>
      </w:r>
      <w:r w:rsidRPr="004F6DAA">
        <w:rPr>
          <w:noProof/>
        </w:rPr>
        <w:t>entów, przechowywania tych informacji przez co najmniej pięć lat oraz udostępniania ich na wniosek właściwym organom. Szacuje się, że wymóg ten pociągnie za sobą jedynie znikome koszty, ponieważ można oczekiwać, że takie czynności związane</w:t>
      </w:r>
      <w:r w:rsidR="00062BFA" w:rsidRPr="004F6DAA">
        <w:rPr>
          <w:noProof/>
        </w:rPr>
        <w:t xml:space="preserve"> z</w:t>
      </w:r>
      <w:r w:rsidR="00062BFA">
        <w:rPr>
          <w:noProof/>
        </w:rPr>
        <w:t> </w:t>
      </w:r>
      <w:r w:rsidR="00062BFA" w:rsidRPr="004F6DAA">
        <w:rPr>
          <w:noProof/>
        </w:rPr>
        <w:t>inf</w:t>
      </w:r>
      <w:r w:rsidRPr="004F6DAA">
        <w:rPr>
          <w:noProof/>
        </w:rPr>
        <w:t>ormacjami będą częścią zwykłej działalności gospodarczej. Od podmiotów handlowych będących MŚP oczekuje się również podejmowania działań</w:t>
      </w:r>
      <w:r w:rsidR="00062BFA" w:rsidRPr="004F6DAA">
        <w:rPr>
          <w:noProof/>
        </w:rPr>
        <w:t xml:space="preserve"> i</w:t>
      </w:r>
      <w:r w:rsidR="00062BFA">
        <w:rPr>
          <w:noProof/>
        </w:rPr>
        <w:t> </w:t>
      </w:r>
      <w:r w:rsidR="00062BFA" w:rsidRPr="004F6DAA">
        <w:rPr>
          <w:noProof/>
        </w:rPr>
        <w:t>inf</w:t>
      </w:r>
      <w:r w:rsidRPr="004F6DAA">
        <w:rPr>
          <w:noProof/>
        </w:rPr>
        <w:t>ormowania właściwych organów, jeżeli dostępne będą nowe informacje dotyczące niezgodności ich towarów</w:t>
      </w:r>
      <w:r w:rsidR="00062BFA" w:rsidRPr="004F6DAA">
        <w:rPr>
          <w:noProof/>
        </w:rPr>
        <w:t xml:space="preserve"> i</w:t>
      </w:r>
      <w:r w:rsidR="00062BFA">
        <w:rPr>
          <w:noProof/>
        </w:rPr>
        <w:t> </w:t>
      </w:r>
      <w:r w:rsidR="00062BFA" w:rsidRPr="004F6DAA">
        <w:rPr>
          <w:noProof/>
        </w:rPr>
        <w:t>pro</w:t>
      </w:r>
      <w:r w:rsidRPr="004F6DAA">
        <w:rPr>
          <w:noProof/>
        </w:rPr>
        <w:t>duktów (</w:t>
      </w:r>
      <w:r w:rsidRPr="00062BFA">
        <w:rPr>
          <w:noProof/>
        </w:rPr>
        <w:t>ust.</w:t>
      </w:r>
      <w:r w:rsidR="00062BFA" w:rsidRPr="00062BFA">
        <w:rPr>
          <w:noProof/>
        </w:rPr>
        <w:t> </w:t>
      </w:r>
      <w:r w:rsidRPr="00062BFA">
        <w:rPr>
          <w:noProof/>
        </w:rPr>
        <w:t>4</w:t>
      </w:r>
      <w:r w:rsidRPr="004F6DAA">
        <w:rPr>
          <w:noProof/>
        </w:rPr>
        <w:t>).</w:t>
      </w:r>
    </w:p>
    <w:p w14:paraId="21486897" w14:textId="77777777" w:rsidR="00592133" w:rsidRPr="004F6DAA" w:rsidRDefault="00592133" w:rsidP="00592133">
      <w:pPr>
        <w:rPr>
          <w:noProof/>
        </w:rPr>
      </w:pPr>
      <w:r w:rsidRPr="004F6DAA">
        <w:rPr>
          <w:noProof/>
        </w:rPr>
        <w:t>Z kolei duże podmioty handlowe, które nie są MŚP, podlegają tym samym obowiązkom co podmioty (</w:t>
      </w:r>
      <w:r w:rsidRPr="00062BFA">
        <w:rPr>
          <w:noProof/>
        </w:rPr>
        <w:t>ust.</w:t>
      </w:r>
      <w:r w:rsidR="00062BFA" w:rsidRPr="00062BFA">
        <w:rPr>
          <w:noProof/>
        </w:rPr>
        <w:t> </w:t>
      </w:r>
      <w:r w:rsidRPr="00062BFA">
        <w:rPr>
          <w:noProof/>
        </w:rPr>
        <w:t>5</w:t>
      </w:r>
      <w:r w:rsidRPr="004F6DAA">
        <w:rPr>
          <w:noProof/>
        </w:rPr>
        <w:t>)</w:t>
      </w:r>
      <w:r w:rsidR="00062BFA" w:rsidRPr="004F6DAA">
        <w:rPr>
          <w:noProof/>
        </w:rPr>
        <w:t>.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tym</w:t>
      </w:r>
      <w:r w:rsidRPr="004F6DAA">
        <w:rPr>
          <w:noProof/>
        </w:rPr>
        <w:t xml:space="preserve"> duże podmioty handlowe muszą składać oświadczenie</w:t>
      </w:r>
      <w:r w:rsidR="00062BFA" w:rsidRPr="004F6DAA">
        <w:rPr>
          <w:noProof/>
        </w:rPr>
        <w:t xml:space="preserve"> o</w:t>
      </w:r>
      <w:r w:rsidR="00062BFA">
        <w:rPr>
          <w:noProof/>
        </w:rPr>
        <w:t> </w:t>
      </w:r>
      <w:r w:rsidR="00062BFA" w:rsidRPr="004F6DAA">
        <w:rPr>
          <w:noProof/>
        </w:rPr>
        <w:t>zac</w:t>
      </w:r>
      <w:r w:rsidRPr="004F6DAA">
        <w:rPr>
          <w:noProof/>
        </w:rPr>
        <w:t>howaniu należytej staranności zgodnie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4</w:t>
      </w:r>
      <w:r w:rsidRPr="004F6DAA">
        <w:rPr>
          <w:noProof/>
        </w:rPr>
        <w:t>, stając się tym samym odpowiedzialne za zgodność odnośnego towaru lub produktu</w:t>
      </w:r>
      <w:r w:rsidR="00062BFA" w:rsidRPr="004F6DAA">
        <w:rPr>
          <w:noProof/>
        </w:rPr>
        <w:t xml:space="preserve"> z</w:t>
      </w:r>
      <w:r w:rsidR="00062BFA">
        <w:rPr>
          <w:noProof/>
        </w:rPr>
        <w:t> </w:t>
      </w:r>
      <w:r w:rsidR="00062BFA" w:rsidRPr="004F6DAA">
        <w:rPr>
          <w:noProof/>
        </w:rPr>
        <w:t>nin</w:t>
      </w:r>
      <w:r w:rsidRPr="004F6DAA">
        <w:rPr>
          <w:noProof/>
        </w:rPr>
        <w:t>iejszym rozporządzeniem. Ponadto podlegają one takiej samej procedurze należytej staranności jak podmioty: oprócz gromadzenia informacji muszą one przeprowadzić ocenę ryzyka na podstawie tego artykułu oraz,</w:t>
      </w:r>
      <w:r w:rsidR="00062BFA" w:rsidRPr="004F6DAA">
        <w:rPr>
          <w:noProof/>
        </w:rPr>
        <w:t xml:space="preserve"> w</w:t>
      </w:r>
      <w:r w:rsidR="00062BFA">
        <w:rPr>
          <w:noProof/>
        </w:rPr>
        <w:t> </w:t>
      </w:r>
      <w:r w:rsidR="00062BFA" w:rsidRPr="004F6DAA">
        <w:rPr>
          <w:noProof/>
        </w:rPr>
        <w:t>raz</w:t>
      </w:r>
      <w:r w:rsidRPr="004F6DAA">
        <w:rPr>
          <w:noProof/>
        </w:rPr>
        <w:t>ie potrzeby, ograniczyć ryzyko zgodnie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0. Podmioty handlowe będące MŚP są zwolnione</w:t>
      </w:r>
      <w:r w:rsidR="00062BFA" w:rsidRPr="004F6DAA">
        <w:rPr>
          <w:noProof/>
        </w:rPr>
        <w:t xml:space="preserve"> z</w:t>
      </w:r>
      <w:r w:rsidR="00062BFA">
        <w:rPr>
          <w:noProof/>
        </w:rPr>
        <w:t> </w:t>
      </w:r>
      <w:r w:rsidR="00062BFA" w:rsidRPr="004F6DAA">
        <w:rPr>
          <w:noProof/>
        </w:rPr>
        <w:t>tyc</w:t>
      </w:r>
      <w:r w:rsidRPr="004F6DAA">
        <w:rPr>
          <w:noProof/>
        </w:rPr>
        <w:t>h obowiązków. Podobnie duże podmioty handlowe podlegają takim samym kontrolom podmiotów,</w:t>
      </w:r>
      <w:r w:rsidR="00062BFA" w:rsidRPr="004F6DAA">
        <w:rPr>
          <w:noProof/>
        </w:rPr>
        <w:t xml:space="preserve"> o</w:t>
      </w:r>
      <w:r w:rsidR="00062BFA">
        <w:rPr>
          <w:noProof/>
        </w:rPr>
        <w:t> </w:t>
      </w:r>
      <w:r w:rsidR="00062BFA" w:rsidRPr="004F6DAA">
        <w:rPr>
          <w:noProof/>
        </w:rPr>
        <w:t>któ</w:t>
      </w:r>
      <w:r w:rsidRPr="004F6DAA">
        <w:rPr>
          <w:noProof/>
        </w:rPr>
        <w:t>rych mowa</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5, natomiast podmioty będące MŚP podlegają kontrolom,</w:t>
      </w:r>
      <w:r w:rsidR="00062BFA" w:rsidRPr="004F6DAA">
        <w:rPr>
          <w:noProof/>
        </w:rPr>
        <w:t xml:space="preserve"> o</w:t>
      </w:r>
      <w:r w:rsidR="00062BFA">
        <w:rPr>
          <w:noProof/>
        </w:rPr>
        <w:t> </w:t>
      </w:r>
      <w:r w:rsidR="00062BFA" w:rsidRPr="004F6DAA">
        <w:rPr>
          <w:noProof/>
        </w:rPr>
        <w:t>któ</w:t>
      </w:r>
      <w:r w:rsidRPr="004F6DAA">
        <w:rPr>
          <w:noProof/>
        </w:rPr>
        <w:t>rych mowa</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 xml:space="preserve">6. </w:t>
      </w:r>
    </w:p>
    <w:p w14:paraId="71E1385A" w14:textId="77777777" w:rsidR="009A3168" w:rsidRPr="004F6DAA" w:rsidRDefault="00EB78D7" w:rsidP="00445504">
      <w:pPr>
        <w:pStyle w:val="Bullet1"/>
        <w:rPr>
          <w:i/>
          <w:noProof/>
        </w:rPr>
      </w:pPr>
      <w:r w:rsidRPr="004F6DAA">
        <w:rPr>
          <w:i/>
          <w:noProof/>
        </w:rPr>
        <w:t>Artykuł 8: Należyta staranność</w:t>
      </w:r>
    </w:p>
    <w:p w14:paraId="683BCA2E" w14:textId="77777777" w:rsidR="00BA33EA" w:rsidRPr="004F6DAA" w:rsidRDefault="00BA33EA" w:rsidP="00BA33EA">
      <w:pPr>
        <w:rPr>
          <w:noProof/>
        </w:rPr>
      </w:pPr>
      <w:r w:rsidRPr="004F6DAA">
        <w:rPr>
          <w:noProof/>
        </w:rPr>
        <w:t xml:space="preserve">W </w:t>
      </w:r>
      <w:r w:rsidRPr="00062BFA">
        <w:rPr>
          <w:noProof/>
        </w:rPr>
        <w:t>art.</w:t>
      </w:r>
      <w:r w:rsidR="00062BFA" w:rsidRPr="00062BFA">
        <w:rPr>
          <w:noProof/>
        </w:rPr>
        <w:t> </w:t>
      </w:r>
      <w:r w:rsidRPr="00062BFA">
        <w:rPr>
          <w:noProof/>
        </w:rPr>
        <w:t>8</w:t>
      </w:r>
      <w:r w:rsidRPr="004F6DAA">
        <w:rPr>
          <w:noProof/>
        </w:rPr>
        <w:t xml:space="preserve"> określono procedurę należytej staranności, która stanowi obowiązek podmiotów zgodnie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4</w:t>
      </w:r>
      <w:r w:rsidRPr="004F6DAA">
        <w:rPr>
          <w:noProof/>
        </w:rPr>
        <w:t xml:space="preserve"> </w:t>
      </w:r>
      <w:r w:rsidRPr="00062BFA">
        <w:rPr>
          <w:noProof/>
        </w:rPr>
        <w:t>ust.</w:t>
      </w:r>
      <w:r w:rsidR="00062BFA" w:rsidRPr="00062BFA">
        <w:rPr>
          <w:noProof/>
        </w:rPr>
        <w:t> </w:t>
      </w:r>
      <w:r w:rsidRPr="00062BFA">
        <w:rPr>
          <w:noProof/>
        </w:rPr>
        <w:t>1</w:t>
      </w:r>
      <w:r w:rsidRPr="004F6DAA">
        <w:rPr>
          <w:noProof/>
        </w:rPr>
        <w:t xml:space="preserve"> oraz podmiotów handlowych niebędących MŚP zgodnie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6</w:t>
      </w:r>
      <w:r w:rsidRPr="004F6DAA">
        <w:rPr>
          <w:noProof/>
        </w:rPr>
        <w:t xml:space="preserve"> </w:t>
      </w:r>
      <w:r w:rsidRPr="00062BFA">
        <w:rPr>
          <w:noProof/>
        </w:rPr>
        <w:t>ust.</w:t>
      </w:r>
      <w:r w:rsidR="00062BFA" w:rsidRPr="00062BFA">
        <w:rPr>
          <w:noProof/>
        </w:rPr>
        <w:t> </w:t>
      </w:r>
      <w:r w:rsidRPr="00062BFA">
        <w:rPr>
          <w:noProof/>
        </w:rPr>
        <w:t>5</w:t>
      </w:r>
      <w:r w:rsidRPr="004F6DAA">
        <w:rPr>
          <w:noProof/>
        </w:rPr>
        <w:t>. Każda procedura należytej staranności powinna zapewnić, aby ryzyko wprowadzenia od obrotu</w:t>
      </w:r>
      <w:r w:rsidR="00062BFA" w:rsidRPr="004F6DAA">
        <w:rPr>
          <w:noProof/>
        </w:rPr>
        <w:t xml:space="preserve"> w</w:t>
      </w:r>
      <w:r w:rsidR="00062BFA">
        <w:rPr>
          <w:noProof/>
        </w:rPr>
        <w:t> </w:t>
      </w:r>
      <w:r w:rsidR="00062BFA" w:rsidRPr="004F6DAA">
        <w:rPr>
          <w:noProof/>
        </w:rPr>
        <w:t>Uni</w:t>
      </w:r>
      <w:r w:rsidRPr="004F6DAA">
        <w:rPr>
          <w:noProof/>
        </w:rPr>
        <w:t>i lub wywozu</w:t>
      </w:r>
      <w:r w:rsidR="00062BFA" w:rsidRPr="004F6DAA">
        <w:rPr>
          <w:noProof/>
        </w:rPr>
        <w:t xml:space="preserve"> z</w:t>
      </w:r>
      <w:r w:rsidR="00062BFA">
        <w:rPr>
          <w:noProof/>
        </w:rPr>
        <w:t> </w:t>
      </w:r>
      <w:r w:rsidR="00062BFA" w:rsidRPr="004F6DAA">
        <w:rPr>
          <w:noProof/>
        </w:rPr>
        <w:t>ryn</w:t>
      </w:r>
      <w:r w:rsidRPr="004F6DAA">
        <w:rPr>
          <w:noProof/>
        </w:rPr>
        <w:t>ku unijnego odnośnych towarów lub produktów niezgodnych</w:t>
      </w:r>
      <w:r w:rsidR="00062BFA" w:rsidRPr="004F6DAA">
        <w:rPr>
          <w:noProof/>
        </w:rPr>
        <w:t xml:space="preserve"> z</w:t>
      </w:r>
      <w:r w:rsidR="00062BFA">
        <w:rPr>
          <w:noProof/>
        </w:rPr>
        <w:t> </w:t>
      </w:r>
      <w:r w:rsidR="00062BFA" w:rsidRPr="004F6DAA">
        <w:rPr>
          <w:noProof/>
        </w:rPr>
        <w:t>wym</w:t>
      </w:r>
      <w:r w:rsidRPr="004F6DAA">
        <w:rPr>
          <w:noProof/>
        </w:rPr>
        <w:t>ogami było znikome</w:t>
      </w:r>
      <w:r w:rsidR="00062BFA" w:rsidRPr="004F6DAA">
        <w:rPr>
          <w:noProof/>
        </w:rPr>
        <w:t>. W</w:t>
      </w:r>
      <w:r w:rsidR="00062BFA">
        <w:rPr>
          <w:noProof/>
        </w:rPr>
        <w:t> </w:t>
      </w:r>
      <w:r w:rsidR="00062BFA" w:rsidRPr="004F6DAA">
        <w:rPr>
          <w:noProof/>
        </w:rPr>
        <w:t>tym</w:t>
      </w:r>
      <w:r w:rsidRPr="004F6DAA">
        <w:rPr>
          <w:noProof/>
        </w:rPr>
        <w:t xml:space="preserve"> celu podmioty</w:t>
      </w:r>
      <w:r w:rsidR="00062BFA" w:rsidRPr="004F6DAA">
        <w:rPr>
          <w:noProof/>
        </w:rPr>
        <w:t xml:space="preserve"> i</w:t>
      </w:r>
      <w:r w:rsidR="00062BFA">
        <w:rPr>
          <w:noProof/>
        </w:rPr>
        <w:t> </w:t>
      </w:r>
      <w:r w:rsidR="00062BFA" w:rsidRPr="004F6DAA">
        <w:rPr>
          <w:noProof/>
        </w:rPr>
        <w:t>pod</w:t>
      </w:r>
      <w:r w:rsidRPr="004F6DAA">
        <w:rPr>
          <w:noProof/>
        </w:rPr>
        <w:t>mioty handlowe niebędące MŚP gromadzą wszelkie istotne informacje (jak wskazano</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9</w:t>
      </w:r>
      <w:r w:rsidRPr="004F6DAA">
        <w:rPr>
          <w:noProof/>
        </w:rPr>
        <w:t>) – stanowi to pierwszy krok</w:t>
      </w:r>
      <w:r w:rsidR="00062BFA" w:rsidRPr="004F6DAA">
        <w:rPr>
          <w:noProof/>
        </w:rPr>
        <w:t xml:space="preserve"> w</w:t>
      </w:r>
      <w:r w:rsidR="00062BFA">
        <w:rPr>
          <w:noProof/>
        </w:rPr>
        <w:t> </w:t>
      </w:r>
      <w:r w:rsidR="00062BFA" w:rsidRPr="004F6DAA">
        <w:rPr>
          <w:noProof/>
        </w:rPr>
        <w:t>pro</w:t>
      </w:r>
      <w:r w:rsidRPr="004F6DAA">
        <w:rPr>
          <w:noProof/>
        </w:rPr>
        <w:t>cesie należytej staranności. Na podstawie tych informacji identyfikują</w:t>
      </w:r>
      <w:r w:rsidR="00062BFA" w:rsidRPr="004F6DAA">
        <w:rPr>
          <w:noProof/>
        </w:rPr>
        <w:t xml:space="preserve"> i</w:t>
      </w:r>
      <w:r w:rsidR="00062BFA">
        <w:rPr>
          <w:noProof/>
        </w:rPr>
        <w:t> </w:t>
      </w:r>
      <w:r w:rsidR="00062BFA" w:rsidRPr="004F6DAA">
        <w:rPr>
          <w:noProof/>
        </w:rPr>
        <w:t>oce</w:t>
      </w:r>
      <w:r w:rsidRPr="004F6DAA">
        <w:rPr>
          <w:noProof/>
        </w:rPr>
        <w:t>niają ryzyko ewentualnej niezgodności odnośnych towarów</w:t>
      </w:r>
      <w:r w:rsidR="00062BFA" w:rsidRPr="004F6DAA">
        <w:rPr>
          <w:noProof/>
        </w:rPr>
        <w:t xml:space="preserve"> i</w:t>
      </w:r>
      <w:r w:rsidR="00062BFA">
        <w:rPr>
          <w:noProof/>
        </w:rPr>
        <w:t> </w:t>
      </w:r>
      <w:r w:rsidR="00062BFA" w:rsidRPr="004F6DAA">
        <w:rPr>
          <w:noProof/>
        </w:rPr>
        <w:t>pro</w:t>
      </w:r>
      <w:r w:rsidRPr="004F6DAA">
        <w:rPr>
          <w:noProof/>
        </w:rPr>
        <w:t>duktów</w:t>
      </w:r>
      <w:r w:rsidR="00062BFA" w:rsidRPr="004F6DAA">
        <w:rPr>
          <w:noProof/>
        </w:rPr>
        <w:t xml:space="preserve"> z</w:t>
      </w:r>
      <w:r w:rsidR="00062BFA">
        <w:rPr>
          <w:noProof/>
        </w:rPr>
        <w:t> </w:t>
      </w:r>
      <w:r w:rsidR="00062BFA" w:rsidRPr="004F6DAA">
        <w:rPr>
          <w:noProof/>
        </w:rPr>
        <w:t>wym</w:t>
      </w:r>
      <w:r w:rsidRPr="004F6DAA">
        <w:rPr>
          <w:noProof/>
        </w:rPr>
        <w:t>ogami niniejszego rozporządzenia [</w:t>
      </w:r>
      <w:r w:rsidRPr="00062BFA">
        <w:rPr>
          <w:noProof/>
        </w:rPr>
        <w:t>art.</w:t>
      </w:r>
      <w:r w:rsidR="00062BFA" w:rsidRPr="00062BFA">
        <w:rPr>
          <w:noProof/>
        </w:rPr>
        <w:t> </w:t>
      </w:r>
      <w:r w:rsidRPr="00062BFA">
        <w:rPr>
          <w:noProof/>
        </w:rPr>
        <w:t>1</w:t>
      </w:r>
      <w:r w:rsidRPr="004F6DAA">
        <w:rPr>
          <w:noProof/>
        </w:rPr>
        <w:t xml:space="preserve">0 </w:t>
      </w:r>
      <w:r w:rsidRPr="00062BFA">
        <w:rPr>
          <w:noProof/>
        </w:rPr>
        <w:t>ust.</w:t>
      </w:r>
      <w:r w:rsidR="00062BFA" w:rsidRPr="00062BFA">
        <w:rPr>
          <w:noProof/>
        </w:rPr>
        <w:t> </w:t>
      </w:r>
      <w:r w:rsidRPr="00062BFA">
        <w:rPr>
          <w:noProof/>
        </w:rPr>
        <w:t>1</w:t>
      </w:r>
      <w:r w:rsidRPr="004F6DAA">
        <w:rPr>
          <w:noProof/>
        </w:rPr>
        <w:t>–4</w:t>
      </w:r>
      <w:r w:rsidR="00062BFA" w:rsidRPr="004F6DAA">
        <w:rPr>
          <w:noProof/>
        </w:rPr>
        <w:t xml:space="preserve"> i</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 xml:space="preserve">0 </w:t>
      </w:r>
      <w:r w:rsidRPr="00062BFA">
        <w:rPr>
          <w:noProof/>
        </w:rPr>
        <w:t>ust.</w:t>
      </w:r>
      <w:r w:rsidR="00062BFA" w:rsidRPr="00062BFA">
        <w:rPr>
          <w:noProof/>
        </w:rPr>
        <w:t> </w:t>
      </w:r>
      <w:r w:rsidRPr="00062BFA">
        <w:rPr>
          <w:noProof/>
        </w:rPr>
        <w:t>6</w:t>
      </w:r>
      <w:r w:rsidRPr="004F6DAA">
        <w:rPr>
          <w:noProof/>
        </w:rPr>
        <w:t>] – stanowi to drugi krok</w:t>
      </w:r>
      <w:r w:rsidR="00062BFA" w:rsidRPr="004F6DAA">
        <w:rPr>
          <w:noProof/>
        </w:rPr>
        <w:t xml:space="preserve"> w</w:t>
      </w:r>
      <w:r w:rsidR="00062BFA">
        <w:rPr>
          <w:noProof/>
        </w:rPr>
        <w:t> </w:t>
      </w:r>
      <w:r w:rsidR="00062BFA" w:rsidRPr="004F6DAA">
        <w:rPr>
          <w:noProof/>
        </w:rPr>
        <w:t>pro</w:t>
      </w:r>
      <w:r w:rsidRPr="004F6DAA">
        <w:rPr>
          <w:noProof/>
        </w:rPr>
        <w:t>cesie należytej staranności</w:t>
      </w:r>
      <w:r w:rsidR="00062BFA" w:rsidRPr="004F6DAA">
        <w:rPr>
          <w:noProof/>
        </w:rPr>
        <w:t>. W</w:t>
      </w:r>
      <w:r w:rsidR="00062BFA">
        <w:rPr>
          <w:noProof/>
        </w:rPr>
        <w:t> </w:t>
      </w:r>
      <w:r w:rsidR="00062BFA" w:rsidRPr="004F6DAA">
        <w:rPr>
          <w:noProof/>
        </w:rPr>
        <w:t>raz</w:t>
      </w:r>
      <w:r w:rsidRPr="004F6DAA">
        <w:rPr>
          <w:noProof/>
        </w:rPr>
        <w:t>ie potrzeby odpowiednio ograniczają takie ryzyko do znikomego poziomu [</w:t>
      </w:r>
      <w:r w:rsidRPr="00062BFA">
        <w:rPr>
          <w:noProof/>
        </w:rPr>
        <w:t>art.</w:t>
      </w:r>
      <w:r w:rsidR="00062BFA" w:rsidRPr="00062BFA">
        <w:rPr>
          <w:noProof/>
        </w:rPr>
        <w:t> </w:t>
      </w:r>
      <w:r w:rsidRPr="00062BFA">
        <w:rPr>
          <w:noProof/>
        </w:rPr>
        <w:t>1</w:t>
      </w:r>
      <w:r w:rsidRPr="004F6DAA">
        <w:rPr>
          <w:noProof/>
        </w:rPr>
        <w:t xml:space="preserve">0 </w:t>
      </w:r>
      <w:r w:rsidRPr="00062BFA">
        <w:rPr>
          <w:noProof/>
        </w:rPr>
        <w:t>ust.</w:t>
      </w:r>
      <w:r w:rsidR="00062BFA" w:rsidRPr="00062BFA">
        <w:rPr>
          <w:noProof/>
        </w:rPr>
        <w:t> </w:t>
      </w:r>
      <w:r w:rsidRPr="00062BFA">
        <w:rPr>
          <w:noProof/>
        </w:rPr>
        <w:t>5</w:t>
      </w:r>
      <w:r w:rsidRPr="004F6DAA">
        <w:rPr>
          <w:noProof/>
        </w:rPr>
        <w:t>] – stanowi to trzeci krok</w:t>
      </w:r>
      <w:r w:rsidR="00062BFA" w:rsidRPr="004F6DAA">
        <w:rPr>
          <w:noProof/>
        </w:rPr>
        <w:t xml:space="preserve"> w</w:t>
      </w:r>
      <w:r w:rsidR="00062BFA">
        <w:rPr>
          <w:noProof/>
        </w:rPr>
        <w:t> </w:t>
      </w:r>
      <w:r w:rsidR="00062BFA" w:rsidRPr="004F6DAA">
        <w:rPr>
          <w:noProof/>
        </w:rPr>
        <w:t>pro</w:t>
      </w:r>
      <w:r w:rsidRPr="004F6DAA">
        <w:rPr>
          <w:noProof/>
        </w:rPr>
        <w:t>cesie należytej staranności.</w:t>
      </w:r>
    </w:p>
    <w:p w14:paraId="58C83FB8" w14:textId="77777777" w:rsidR="00BA33EA" w:rsidRPr="004F6DAA" w:rsidRDefault="00BA33EA" w:rsidP="00BA33EA">
      <w:pPr>
        <w:rPr>
          <w:noProof/>
        </w:rPr>
      </w:pPr>
      <w:r w:rsidRPr="004F6DAA">
        <w:rPr>
          <w:noProof/>
        </w:rPr>
        <w:t>Przed wprowadzeniem odnośnych towarów</w:t>
      </w:r>
      <w:r w:rsidR="00062BFA" w:rsidRPr="004F6DAA">
        <w:rPr>
          <w:noProof/>
        </w:rPr>
        <w:t xml:space="preserve"> i</w:t>
      </w:r>
      <w:r w:rsidR="00062BFA">
        <w:rPr>
          <w:noProof/>
        </w:rPr>
        <w:t> </w:t>
      </w:r>
      <w:r w:rsidR="00062BFA" w:rsidRPr="004F6DAA">
        <w:rPr>
          <w:noProof/>
        </w:rPr>
        <w:t>pro</w:t>
      </w:r>
      <w:r w:rsidRPr="004F6DAA">
        <w:rPr>
          <w:noProof/>
        </w:rPr>
        <w:t>duktów do obrotu</w:t>
      </w:r>
      <w:r w:rsidR="00062BFA" w:rsidRPr="004F6DAA">
        <w:rPr>
          <w:noProof/>
        </w:rPr>
        <w:t xml:space="preserve"> w</w:t>
      </w:r>
      <w:r w:rsidR="00062BFA">
        <w:rPr>
          <w:noProof/>
        </w:rPr>
        <w:t> </w:t>
      </w:r>
      <w:r w:rsidR="00062BFA" w:rsidRPr="004F6DAA">
        <w:rPr>
          <w:noProof/>
        </w:rPr>
        <w:t>Uni</w:t>
      </w:r>
      <w:r w:rsidRPr="004F6DAA">
        <w:rPr>
          <w:noProof/>
        </w:rPr>
        <w:t>i lub przed ich wywozem</w:t>
      </w:r>
      <w:r w:rsidR="00062BFA" w:rsidRPr="004F6DAA">
        <w:rPr>
          <w:noProof/>
        </w:rPr>
        <w:t xml:space="preserve"> z</w:t>
      </w:r>
      <w:r w:rsidR="00062BFA">
        <w:rPr>
          <w:noProof/>
        </w:rPr>
        <w:t> </w:t>
      </w:r>
      <w:r w:rsidR="00062BFA" w:rsidRPr="004F6DAA">
        <w:rPr>
          <w:noProof/>
        </w:rPr>
        <w:t>ryn</w:t>
      </w:r>
      <w:r w:rsidRPr="004F6DAA">
        <w:rPr>
          <w:noProof/>
        </w:rPr>
        <w:t>ku unijnego należy przeprowadzić proces należytej staranności. Jeżeli</w:t>
      </w:r>
      <w:r w:rsidR="00062BFA" w:rsidRPr="004F6DAA">
        <w:rPr>
          <w:noProof/>
        </w:rPr>
        <w:t xml:space="preserve"> z</w:t>
      </w:r>
      <w:r w:rsidR="00062BFA">
        <w:rPr>
          <w:noProof/>
        </w:rPr>
        <w:t> </w:t>
      </w:r>
      <w:r w:rsidR="00062BFA" w:rsidRPr="004F6DAA">
        <w:rPr>
          <w:noProof/>
        </w:rPr>
        <w:t>oce</w:t>
      </w:r>
      <w:r w:rsidRPr="004F6DAA">
        <w:rPr>
          <w:noProof/>
        </w:rPr>
        <w:t>ny ryzyka wynika, że ryzyko wprowadzenia towarów lub produktów niezgodnych</w:t>
      </w:r>
      <w:r w:rsidR="00062BFA" w:rsidRPr="004F6DAA">
        <w:rPr>
          <w:noProof/>
        </w:rPr>
        <w:t xml:space="preserve"> z</w:t>
      </w:r>
      <w:r w:rsidR="00062BFA">
        <w:rPr>
          <w:noProof/>
        </w:rPr>
        <w:t> </w:t>
      </w:r>
      <w:r w:rsidR="00062BFA" w:rsidRPr="004F6DAA">
        <w:rPr>
          <w:noProof/>
        </w:rPr>
        <w:t>wym</w:t>
      </w:r>
      <w:r w:rsidRPr="004F6DAA">
        <w:rPr>
          <w:noProof/>
        </w:rPr>
        <w:t>ogami do obrotu w UE nie jest znikome, podmiot musi wdrożyć środki zmniejszające ryzyko, które są odpowiednie</w:t>
      </w:r>
      <w:r w:rsidR="00062BFA" w:rsidRPr="004F6DAA">
        <w:rPr>
          <w:noProof/>
        </w:rPr>
        <w:t xml:space="preserve"> w</w:t>
      </w:r>
      <w:r w:rsidR="00062BFA">
        <w:rPr>
          <w:noProof/>
        </w:rPr>
        <w:t> </w:t>
      </w:r>
      <w:r w:rsidR="00062BFA" w:rsidRPr="004F6DAA">
        <w:rPr>
          <w:noProof/>
        </w:rPr>
        <w:t>cel</w:t>
      </w:r>
      <w:r w:rsidRPr="004F6DAA">
        <w:rPr>
          <w:noProof/>
        </w:rPr>
        <w:t>u ograniczenia ryzyka do znikomego poziomu. Jeżeli dostęp do mającego zastosowanie ustawodawstwa lub innych istotnych informacji nie jest możliwy, to nie można</w:t>
      </w:r>
      <w:r w:rsidR="00062BFA" w:rsidRPr="004F6DAA">
        <w:rPr>
          <w:noProof/>
        </w:rPr>
        <w:t xml:space="preserve"> w</w:t>
      </w:r>
      <w:r w:rsidR="00062BFA">
        <w:rPr>
          <w:noProof/>
        </w:rPr>
        <w:t> </w:t>
      </w:r>
      <w:r w:rsidR="00062BFA" w:rsidRPr="004F6DAA">
        <w:rPr>
          <w:noProof/>
        </w:rPr>
        <w:t>peł</w:t>
      </w:r>
      <w:r w:rsidRPr="004F6DAA">
        <w:rPr>
          <w:noProof/>
        </w:rPr>
        <w:t>ni ocenić ryzyka,</w:t>
      </w:r>
      <w:r w:rsidR="00062BFA" w:rsidRPr="004F6DAA">
        <w:rPr>
          <w:noProof/>
        </w:rPr>
        <w:t xml:space="preserve"> a</w:t>
      </w:r>
      <w:r w:rsidR="00062BFA">
        <w:rPr>
          <w:noProof/>
        </w:rPr>
        <w:t> </w:t>
      </w:r>
      <w:r w:rsidR="00062BFA" w:rsidRPr="004F6DAA">
        <w:rPr>
          <w:noProof/>
        </w:rPr>
        <w:t>tym</w:t>
      </w:r>
      <w:r w:rsidRPr="004F6DAA">
        <w:rPr>
          <w:noProof/>
        </w:rPr>
        <w:t xml:space="preserve"> samym ograniczyć go do znikomego poziomu. Jeżeli ograniczenie ryzyka do znikomego poziomu nie jest możliwe, podmiot nie wprowadza odnośnych towarów lub produktów do obrotu w UE [</w:t>
      </w:r>
      <w:r w:rsidRPr="00062BFA">
        <w:rPr>
          <w:noProof/>
        </w:rPr>
        <w:t>art.</w:t>
      </w:r>
      <w:r w:rsidR="00062BFA" w:rsidRPr="00062BFA">
        <w:rPr>
          <w:noProof/>
        </w:rPr>
        <w:t> </w:t>
      </w:r>
      <w:r w:rsidRPr="00062BFA">
        <w:rPr>
          <w:noProof/>
        </w:rPr>
        <w:t>1</w:t>
      </w:r>
      <w:r w:rsidRPr="004F6DAA">
        <w:rPr>
          <w:noProof/>
        </w:rPr>
        <w:t xml:space="preserve">0 </w:t>
      </w:r>
      <w:r w:rsidRPr="00062BFA">
        <w:rPr>
          <w:noProof/>
        </w:rPr>
        <w:t>ust.</w:t>
      </w:r>
      <w:r w:rsidR="00062BFA" w:rsidRPr="00062BFA">
        <w:rPr>
          <w:noProof/>
        </w:rPr>
        <w:t> </w:t>
      </w:r>
      <w:r w:rsidRPr="00062BFA">
        <w:rPr>
          <w:noProof/>
        </w:rPr>
        <w:t>1</w:t>
      </w:r>
      <w:r w:rsidRPr="004F6DAA">
        <w:rPr>
          <w:noProof/>
        </w:rPr>
        <w:t>].</w:t>
      </w:r>
    </w:p>
    <w:p w14:paraId="15415D19" w14:textId="77777777" w:rsidR="009A3168" w:rsidRPr="004F6DAA" w:rsidRDefault="009A3168" w:rsidP="00445504">
      <w:pPr>
        <w:pStyle w:val="Bullet1"/>
        <w:rPr>
          <w:i/>
          <w:noProof/>
        </w:rPr>
      </w:pPr>
      <w:r w:rsidRPr="004F6DAA">
        <w:rPr>
          <w:i/>
          <w:noProof/>
        </w:rPr>
        <w:t>Artykuł 9: Wymóg informacyjny</w:t>
      </w:r>
    </w:p>
    <w:p w14:paraId="079D471A" w14:textId="77777777" w:rsidR="00C71DEA" w:rsidRPr="004F6DAA" w:rsidRDefault="00C71DEA" w:rsidP="00C71DEA">
      <w:pPr>
        <w:rPr>
          <w:noProof/>
        </w:rPr>
      </w:pPr>
      <w:r w:rsidRPr="004F6DAA">
        <w:rPr>
          <w:noProof/>
        </w:rPr>
        <w:t>Główną innowacją</w:t>
      </w:r>
      <w:r w:rsidR="00062BFA" w:rsidRPr="004F6DAA">
        <w:rPr>
          <w:noProof/>
        </w:rPr>
        <w:t xml:space="preserve"> w</w:t>
      </w:r>
      <w:r w:rsidR="00062BFA">
        <w:rPr>
          <w:noProof/>
        </w:rPr>
        <w:t> </w:t>
      </w:r>
      <w:r w:rsidR="00062BFA" w:rsidRPr="004F6DAA">
        <w:rPr>
          <w:noProof/>
        </w:rPr>
        <w:t>sto</w:t>
      </w:r>
      <w:r w:rsidRPr="004F6DAA">
        <w:rPr>
          <w:noProof/>
        </w:rPr>
        <w:t>sunku do rozporządzenia</w:t>
      </w:r>
      <w:r w:rsidR="00062BFA" w:rsidRPr="004F6DAA">
        <w:rPr>
          <w:noProof/>
        </w:rPr>
        <w:t xml:space="preserve"> w</w:t>
      </w:r>
      <w:r w:rsidR="00062BFA">
        <w:rPr>
          <w:noProof/>
        </w:rPr>
        <w:t> </w:t>
      </w:r>
      <w:r w:rsidR="00062BFA" w:rsidRPr="004F6DAA">
        <w:rPr>
          <w:noProof/>
        </w:rPr>
        <w:t>spr</w:t>
      </w:r>
      <w:r w:rsidRPr="004F6DAA">
        <w:rPr>
          <w:noProof/>
        </w:rPr>
        <w:t>awie drewna jest obowiązek informacji geograficznej ustanowiony</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9</w:t>
      </w:r>
      <w:r w:rsidRPr="004F6DAA">
        <w:rPr>
          <w:noProof/>
        </w:rPr>
        <w:t>, który wymaga od podmiotów gromadzenia współrzędnych geograficznych (lub geolokalizacji na podstawie szerokości</w:t>
      </w:r>
      <w:r w:rsidR="00062BFA" w:rsidRPr="004F6DAA">
        <w:rPr>
          <w:noProof/>
        </w:rPr>
        <w:t xml:space="preserve"> i</w:t>
      </w:r>
      <w:r w:rsidR="00062BFA">
        <w:rPr>
          <w:noProof/>
        </w:rPr>
        <w:t> </w:t>
      </w:r>
      <w:r w:rsidR="00062BFA" w:rsidRPr="004F6DAA">
        <w:rPr>
          <w:noProof/>
        </w:rPr>
        <w:t>dłu</w:t>
      </w:r>
      <w:r w:rsidRPr="004F6DAA">
        <w:rPr>
          <w:noProof/>
        </w:rPr>
        <w:t>gości geograficznej) wszystkich działek, na których wyprodukowano odnośne towary</w:t>
      </w:r>
      <w:r w:rsidR="00062BFA" w:rsidRPr="004F6DAA">
        <w:rPr>
          <w:noProof/>
        </w:rPr>
        <w:t xml:space="preserve"> i</w:t>
      </w:r>
      <w:r w:rsidR="00062BFA">
        <w:rPr>
          <w:noProof/>
        </w:rPr>
        <w:t> </w:t>
      </w:r>
      <w:r w:rsidR="00062BFA" w:rsidRPr="004F6DAA">
        <w:rPr>
          <w:noProof/>
        </w:rPr>
        <w:t>pro</w:t>
      </w:r>
      <w:r w:rsidRPr="004F6DAA">
        <w:rPr>
          <w:noProof/>
        </w:rPr>
        <w:t>dukty. Ponieważ wylesianie jest związane ze zmianą użytkowania gruntów, monitorowanie wylesiania wymaga dokładnego powiązania towaru lub produktu wprowadzanego do obrotu w UE lub wywożonego</w:t>
      </w:r>
      <w:r w:rsidR="00062BFA" w:rsidRPr="004F6DAA">
        <w:rPr>
          <w:noProof/>
        </w:rPr>
        <w:t xml:space="preserve"> z</w:t>
      </w:r>
      <w:r w:rsidR="00062BFA">
        <w:rPr>
          <w:noProof/>
        </w:rPr>
        <w:t> </w:t>
      </w:r>
      <w:r w:rsidR="00062BFA" w:rsidRPr="004F6DAA">
        <w:rPr>
          <w:noProof/>
        </w:rPr>
        <w:t>ryn</w:t>
      </w:r>
      <w:r w:rsidRPr="004F6DAA">
        <w:rPr>
          <w:noProof/>
        </w:rPr>
        <w:t>ku unijnego</w:t>
      </w:r>
      <w:r w:rsidR="00062BFA" w:rsidRPr="004F6DAA">
        <w:rPr>
          <w:noProof/>
        </w:rPr>
        <w:t xml:space="preserve"> z</w:t>
      </w:r>
      <w:r w:rsidR="00062BFA">
        <w:rPr>
          <w:noProof/>
        </w:rPr>
        <w:t> </w:t>
      </w:r>
      <w:r w:rsidR="00062BFA" w:rsidRPr="004F6DAA">
        <w:rPr>
          <w:noProof/>
        </w:rPr>
        <w:t>dzi</w:t>
      </w:r>
      <w:r w:rsidRPr="004F6DAA">
        <w:rPr>
          <w:noProof/>
        </w:rPr>
        <w:t xml:space="preserve">ałką, na której był uprawiany lub hodowany. </w:t>
      </w:r>
    </w:p>
    <w:p w14:paraId="37BD5AB5" w14:textId="77777777" w:rsidR="00C71DEA" w:rsidRPr="004F6DAA" w:rsidRDefault="00C71DEA" w:rsidP="00C71DEA">
      <w:pPr>
        <w:rPr>
          <w:noProof/>
        </w:rPr>
      </w:pPr>
      <w:r w:rsidRPr="004F6DAA">
        <w:rPr>
          <w:noProof/>
        </w:rPr>
        <w:t>Wymóg wskazania działki lub gospodarstwa, na której lub</w:t>
      </w:r>
      <w:r w:rsidR="00062BFA" w:rsidRPr="004F6DAA">
        <w:rPr>
          <w:noProof/>
        </w:rPr>
        <w:t xml:space="preserve"> w</w:t>
      </w:r>
      <w:r w:rsidR="00062BFA">
        <w:rPr>
          <w:noProof/>
        </w:rPr>
        <w:t> </w:t>
      </w:r>
      <w:r w:rsidR="00062BFA" w:rsidRPr="004F6DAA">
        <w:rPr>
          <w:noProof/>
        </w:rPr>
        <w:t>któ</w:t>
      </w:r>
      <w:r w:rsidRPr="004F6DAA">
        <w:rPr>
          <w:noProof/>
        </w:rPr>
        <w:t>rym wyprodukowano towar, umożliwia wykorzystanie zdjęć satelitarnych</w:t>
      </w:r>
      <w:r w:rsidR="00062BFA" w:rsidRPr="004F6DAA">
        <w:rPr>
          <w:noProof/>
        </w:rPr>
        <w:t xml:space="preserve"> i</w:t>
      </w:r>
      <w:r w:rsidR="00062BFA">
        <w:rPr>
          <w:noProof/>
        </w:rPr>
        <w:t> </w:t>
      </w:r>
      <w:r w:rsidR="00062BFA" w:rsidRPr="004F6DAA">
        <w:rPr>
          <w:noProof/>
        </w:rPr>
        <w:t>poz</w:t>
      </w:r>
      <w:r w:rsidRPr="004F6DAA">
        <w:rPr>
          <w:noProof/>
        </w:rPr>
        <w:t>ycjonowania – powszechnie dostępnych</w:t>
      </w:r>
      <w:r w:rsidR="00062BFA" w:rsidRPr="004F6DAA">
        <w:rPr>
          <w:noProof/>
        </w:rPr>
        <w:t xml:space="preserve"> i</w:t>
      </w:r>
      <w:r w:rsidR="00062BFA">
        <w:rPr>
          <w:noProof/>
        </w:rPr>
        <w:t> </w:t>
      </w:r>
      <w:r w:rsidR="00062BFA" w:rsidRPr="004F6DAA">
        <w:rPr>
          <w:noProof/>
        </w:rPr>
        <w:t>bez</w:t>
      </w:r>
      <w:r w:rsidRPr="004F6DAA">
        <w:rPr>
          <w:noProof/>
        </w:rPr>
        <w:t>płatnych narzędzi cyfrowych – do sprawdzenia, czy produkt lub towar jest zgodny</w:t>
      </w:r>
      <w:r w:rsidR="00062BFA" w:rsidRPr="004F6DAA">
        <w:rPr>
          <w:noProof/>
        </w:rPr>
        <w:t xml:space="preserve"> z</w:t>
      </w:r>
      <w:r w:rsidR="00062BFA">
        <w:rPr>
          <w:noProof/>
        </w:rPr>
        <w:t> </w:t>
      </w:r>
      <w:r w:rsidR="00062BFA" w:rsidRPr="004F6DAA">
        <w:rPr>
          <w:noProof/>
        </w:rPr>
        <w:t>wym</w:t>
      </w:r>
      <w:r w:rsidRPr="004F6DAA">
        <w:rPr>
          <w:noProof/>
        </w:rPr>
        <w:t>ogami. Informacje geograficzne dotyczące działki</w:t>
      </w:r>
      <w:r w:rsidR="00062BFA" w:rsidRPr="004F6DAA">
        <w:rPr>
          <w:noProof/>
        </w:rPr>
        <w:t xml:space="preserve"> i</w:t>
      </w:r>
      <w:r w:rsidR="00062BFA">
        <w:rPr>
          <w:noProof/>
        </w:rPr>
        <w:t> </w:t>
      </w:r>
      <w:r w:rsidR="00062BFA" w:rsidRPr="004F6DAA">
        <w:rPr>
          <w:noProof/>
        </w:rPr>
        <w:t>mon</w:t>
      </w:r>
      <w:r w:rsidRPr="004F6DAA">
        <w:rPr>
          <w:noProof/>
        </w:rPr>
        <w:t>itorowanie satelitarne to sprawdzone</w:t>
      </w:r>
      <w:r w:rsidR="00062BFA" w:rsidRPr="004F6DAA">
        <w:rPr>
          <w:noProof/>
        </w:rPr>
        <w:t xml:space="preserve"> w</w:t>
      </w:r>
      <w:r w:rsidR="00062BFA">
        <w:rPr>
          <w:noProof/>
        </w:rPr>
        <w:t> </w:t>
      </w:r>
      <w:r w:rsidR="00062BFA" w:rsidRPr="004F6DAA">
        <w:rPr>
          <w:noProof/>
        </w:rPr>
        <w:t>pra</w:t>
      </w:r>
      <w:r w:rsidRPr="004F6DAA">
        <w:rPr>
          <w:noProof/>
        </w:rPr>
        <w:t>ktyce połączenie, które</w:t>
      </w:r>
      <w:r w:rsidR="00062BFA" w:rsidRPr="004F6DAA">
        <w:rPr>
          <w:noProof/>
        </w:rPr>
        <w:t xml:space="preserve"> w</w:t>
      </w:r>
      <w:r w:rsidR="00062BFA">
        <w:rPr>
          <w:noProof/>
        </w:rPr>
        <w:t> </w:t>
      </w:r>
      <w:r w:rsidR="00062BFA" w:rsidRPr="004F6DAA">
        <w:rPr>
          <w:noProof/>
        </w:rPr>
        <w:t>prz</w:t>
      </w:r>
      <w:r w:rsidRPr="004F6DAA">
        <w:rPr>
          <w:noProof/>
        </w:rPr>
        <w:t>eszłości dowiodło, że jest</w:t>
      </w:r>
      <w:r w:rsidR="00062BFA" w:rsidRPr="004F6DAA">
        <w:rPr>
          <w:noProof/>
        </w:rPr>
        <w:t xml:space="preserve"> w</w:t>
      </w:r>
      <w:r w:rsidR="00062BFA">
        <w:rPr>
          <w:noProof/>
        </w:rPr>
        <w:t> </w:t>
      </w:r>
      <w:r w:rsidR="00062BFA" w:rsidRPr="004F6DAA">
        <w:rPr>
          <w:noProof/>
        </w:rPr>
        <w:t>sta</w:t>
      </w:r>
      <w:r w:rsidRPr="004F6DAA">
        <w:rPr>
          <w:noProof/>
        </w:rPr>
        <w:t>nie ograniczyć wylesianie na danym obszarze,</w:t>
      </w:r>
      <w:r w:rsidR="00062BFA" w:rsidRPr="004F6DAA">
        <w:rPr>
          <w:noProof/>
        </w:rPr>
        <w:t xml:space="preserve"> i</w:t>
      </w:r>
      <w:r w:rsidR="00062BFA">
        <w:rPr>
          <w:noProof/>
        </w:rPr>
        <w:t> </w:t>
      </w:r>
      <w:r w:rsidR="00062BFA" w:rsidRPr="004F6DAA">
        <w:rPr>
          <w:noProof/>
        </w:rPr>
        <w:t>ocz</w:t>
      </w:r>
      <w:r w:rsidRPr="004F6DAA">
        <w:rPr>
          <w:noProof/>
        </w:rPr>
        <w:t>ekuje się, że zwiększy skuteczność interwencji politycznej, przy czym utrudni również popełnianie oszustw</w:t>
      </w:r>
      <w:r w:rsidR="00062BFA" w:rsidRPr="004F6DAA">
        <w:rPr>
          <w:noProof/>
        </w:rPr>
        <w:t xml:space="preserve"> w</w:t>
      </w:r>
      <w:r w:rsidR="00062BFA">
        <w:rPr>
          <w:noProof/>
        </w:rPr>
        <w:t> </w:t>
      </w:r>
      <w:r w:rsidR="00062BFA" w:rsidRPr="004F6DAA">
        <w:rPr>
          <w:noProof/>
        </w:rPr>
        <w:t>łań</w:t>
      </w:r>
      <w:r w:rsidRPr="004F6DAA">
        <w:rPr>
          <w:noProof/>
        </w:rPr>
        <w:t>cuchach dostaw</w:t>
      </w:r>
      <w:r w:rsidR="00062BFA" w:rsidRPr="004F6DAA">
        <w:rPr>
          <w:noProof/>
        </w:rPr>
        <w:t xml:space="preserve"> i</w:t>
      </w:r>
      <w:r w:rsidR="00062BFA">
        <w:rPr>
          <w:noProof/>
        </w:rPr>
        <w:t> </w:t>
      </w:r>
      <w:r w:rsidR="00062BFA" w:rsidRPr="004F6DAA">
        <w:rPr>
          <w:noProof/>
        </w:rPr>
        <w:t>spr</w:t>
      </w:r>
      <w:r w:rsidRPr="004F6DAA">
        <w:rPr>
          <w:noProof/>
        </w:rPr>
        <w:t>awi, że będą łatwiejsze do wykrycia. Unia opracowała własną satelitarną technologię pozycjonowania, nawigacji</w:t>
      </w:r>
      <w:r w:rsidR="00062BFA" w:rsidRPr="004F6DAA">
        <w:rPr>
          <w:noProof/>
        </w:rPr>
        <w:t xml:space="preserve"> i</w:t>
      </w:r>
      <w:r w:rsidR="00062BFA">
        <w:rPr>
          <w:noProof/>
        </w:rPr>
        <w:t> </w:t>
      </w:r>
      <w:r w:rsidR="00062BFA" w:rsidRPr="004F6DAA">
        <w:rPr>
          <w:noProof/>
        </w:rPr>
        <w:t>pom</w:t>
      </w:r>
      <w:r w:rsidRPr="004F6DAA">
        <w:rPr>
          <w:noProof/>
        </w:rPr>
        <w:t>iaru czasu (EGNOS/Galileo) oraz własny system obserwacji</w:t>
      </w:r>
      <w:r w:rsidR="00062BFA" w:rsidRPr="004F6DAA">
        <w:rPr>
          <w:noProof/>
        </w:rPr>
        <w:t xml:space="preserve"> i</w:t>
      </w:r>
      <w:r w:rsidR="00062BFA">
        <w:rPr>
          <w:noProof/>
        </w:rPr>
        <w:t> </w:t>
      </w:r>
      <w:r w:rsidR="00062BFA" w:rsidRPr="004F6DAA">
        <w:rPr>
          <w:noProof/>
        </w:rPr>
        <w:t>mon</w:t>
      </w:r>
      <w:r w:rsidRPr="004F6DAA">
        <w:rPr>
          <w:noProof/>
        </w:rPr>
        <w:t>itorowania Ziemi (Copernicus). Zarówno EGNOS/Galileo, jak</w:t>
      </w:r>
      <w:r w:rsidR="00062BFA" w:rsidRPr="004F6DAA">
        <w:rPr>
          <w:noProof/>
        </w:rPr>
        <w:t xml:space="preserve"> i</w:t>
      </w:r>
      <w:r w:rsidR="00062BFA">
        <w:rPr>
          <w:noProof/>
        </w:rPr>
        <w:t> </w:t>
      </w:r>
      <w:r w:rsidR="00062BFA" w:rsidRPr="004F6DAA">
        <w:rPr>
          <w:noProof/>
        </w:rPr>
        <w:t>pro</w:t>
      </w:r>
      <w:r w:rsidRPr="004F6DAA">
        <w:rPr>
          <w:noProof/>
        </w:rPr>
        <w:t>gram Copernicus oferują zaawansowane usługi, które przynoszą istotne korzyści ekonomiczne użytkownikom publicznym</w:t>
      </w:r>
      <w:r w:rsidR="00062BFA" w:rsidRPr="004F6DAA">
        <w:rPr>
          <w:noProof/>
        </w:rPr>
        <w:t xml:space="preserve"> i</w:t>
      </w:r>
      <w:r w:rsidR="00062BFA">
        <w:rPr>
          <w:noProof/>
        </w:rPr>
        <w:t> </w:t>
      </w:r>
      <w:r w:rsidR="00062BFA" w:rsidRPr="004F6DAA">
        <w:rPr>
          <w:noProof/>
        </w:rPr>
        <w:t>pry</w:t>
      </w:r>
      <w:r w:rsidRPr="004F6DAA">
        <w:rPr>
          <w:noProof/>
        </w:rPr>
        <w:t>watnym</w:t>
      </w:r>
      <w:r w:rsidR="00062BFA" w:rsidRPr="004F6DAA">
        <w:rPr>
          <w:noProof/>
        </w:rPr>
        <w:t>.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tym</w:t>
      </w:r>
      <w:r w:rsidRPr="004F6DAA">
        <w:rPr>
          <w:noProof/>
        </w:rPr>
        <w:t xml:space="preserve"> obrazy satelitarne</w:t>
      </w:r>
      <w:r w:rsidR="00062BFA" w:rsidRPr="004F6DAA">
        <w:rPr>
          <w:noProof/>
        </w:rPr>
        <w:t xml:space="preserve"> i</w:t>
      </w:r>
      <w:r w:rsidR="00062BFA">
        <w:rPr>
          <w:noProof/>
        </w:rPr>
        <w:t> </w:t>
      </w:r>
      <w:r w:rsidR="00062BFA" w:rsidRPr="004F6DAA">
        <w:rPr>
          <w:noProof/>
        </w:rPr>
        <w:t>poz</w:t>
      </w:r>
      <w:r w:rsidRPr="004F6DAA">
        <w:rPr>
          <w:noProof/>
        </w:rPr>
        <w:t>ycjonowanie wynikające</w:t>
      </w:r>
      <w:r w:rsidR="00062BFA" w:rsidRPr="004F6DAA">
        <w:rPr>
          <w:noProof/>
        </w:rPr>
        <w:t xml:space="preserve"> z</w:t>
      </w:r>
      <w:r w:rsidR="00062BFA">
        <w:rPr>
          <w:noProof/>
        </w:rPr>
        <w:t> </w:t>
      </w:r>
      <w:r w:rsidR="00062BFA" w:rsidRPr="004F6DAA">
        <w:rPr>
          <w:noProof/>
        </w:rPr>
        <w:t>zas</w:t>
      </w:r>
      <w:r w:rsidRPr="004F6DAA">
        <w:rPr>
          <w:noProof/>
        </w:rPr>
        <w:t>tosowania systemów EGNOS/Galileo</w:t>
      </w:r>
      <w:r w:rsidR="00062BFA" w:rsidRPr="004F6DAA">
        <w:rPr>
          <w:noProof/>
        </w:rPr>
        <w:t xml:space="preserve"> i</w:t>
      </w:r>
      <w:r w:rsidR="00062BFA">
        <w:rPr>
          <w:noProof/>
        </w:rPr>
        <w:t> </w:t>
      </w:r>
      <w:r w:rsidR="00062BFA" w:rsidRPr="004F6DAA">
        <w:rPr>
          <w:noProof/>
        </w:rPr>
        <w:t>Cop</w:t>
      </w:r>
      <w:r w:rsidRPr="004F6DAA">
        <w:rPr>
          <w:noProof/>
        </w:rPr>
        <w:t>ernicus mogą stanowić część informacji wykorzystywanych do kontroli zgodności.</w:t>
      </w:r>
    </w:p>
    <w:p w14:paraId="764D964F" w14:textId="77777777" w:rsidR="00C71DEA" w:rsidRPr="004F6DAA" w:rsidRDefault="00C71DEA" w:rsidP="00C71DEA">
      <w:pPr>
        <w:rPr>
          <w:noProof/>
        </w:rPr>
      </w:pPr>
      <w:r w:rsidRPr="004F6DAA">
        <w:rPr>
          <w:noProof/>
        </w:rPr>
        <w:t>Informacje geograficzne umożliwiające powiązanie produktów</w:t>
      </w:r>
      <w:r w:rsidR="00062BFA" w:rsidRPr="004F6DAA">
        <w:rPr>
          <w:noProof/>
        </w:rPr>
        <w:t xml:space="preserve"> z</w:t>
      </w:r>
      <w:r w:rsidR="00062BFA">
        <w:rPr>
          <w:noProof/>
        </w:rPr>
        <w:t> </w:t>
      </w:r>
      <w:r w:rsidR="00062BFA" w:rsidRPr="004F6DAA">
        <w:rPr>
          <w:noProof/>
        </w:rPr>
        <w:t>dzi</w:t>
      </w:r>
      <w:r w:rsidRPr="004F6DAA">
        <w:rPr>
          <w:noProof/>
        </w:rPr>
        <w:t>ałką są już wykorzystywane przez przemysł</w:t>
      </w:r>
      <w:r w:rsidR="00062BFA" w:rsidRPr="004F6DAA">
        <w:rPr>
          <w:noProof/>
        </w:rPr>
        <w:t xml:space="preserve"> i</w:t>
      </w:r>
      <w:r w:rsidR="00062BFA">
        <w:rPr>
          <w:noProof/>
        </w:rPr>
        <w:t> </w:t>
      </w:r>
      <w:r w:rsidR="00062BFA" w:rsidRPr="004F6DAA">
        <w:rPr>
          <w:noProof/>
        </w:rPr>
        <w:t>org</w:t>
      </w:r>
      <w:r w:rsidRPr="004F6DAA">
        <w:rPr>
          <w:noProof/>
        </w:rPr>
        <w:t>anizacje zajmujące się certyfikacją,</w:t>
      </w:r>
      <w:r w:rsidR="00062BFA" w:rsidRPr="004F6DAA">
        <w:rPr>
          <w:noProof/>
        </w:rPr>
        <w:t xml:space="preserve"> a</w:t>
      </w:r>
      <w:r w:rsidR="00062BFA">
        <w:rPr>
          <w:noProof/>
        </w:rPr>
        <w:t> </w:t>
      </w:r>
      <w:r w:rsidR="00062BFA" w:rsidRPr="004F6DAA">
        <w:rPr>
          <w:noProof/>
        </w:rPr>
        <w:t>tak</w:t>
      </w:r>
      <w:r w:rsidRPr="004F6DAA">
        <w:rPr>
          <w:noProof/>
        </w:rPr>
        <w:t>że</w:t>
      </w:r>
      <w:r w:rsidR="00062BFA" w:rsidRPr="004F6DAA">
        <w:rPr>
          <w:noProof/>
        </w:rPr>
        <w:t xml:space="preserve"> w</w:t>
      </w:r>
      <w:r w:rsidR="00062BFA">
        <w:rPr>
          <w:noProof/>
        </w:rPr>
        <w:t> </w:t>
      </w:r>
      <w:r w:rsidR="00062BFA" w:rsidRPr="004F6DAA">
        <w:rPr>
          <w:noProof/>
        </w:rPr>
        <w:t>odp</w:t>
      </w:r>
      <w:r w:rsidRPr="004F6DAA">
        <w:rPr>
          <w:noProof/>
        </w:rPr>
        <w:t>owiednich przepisach UE</w:t>
      </w:r>
      <w:r w:rsidR="00062BFA" w:rsidRPr="004F6DAA">
        <w:rPr>
          <w:noProof/>
        </w:rPr>
        <w:t>. W</w:t>
      </w:r>
      <w:r w:rsidR="00062BFA">
        <w:rPr>
          <w:noProof/>
        </w:rPr>
        <w:t> </w:t>
      </w:r>
      <w:r w:rsidR="00062BFA" w:rsidRPr="004F6DAA">
        <w:rPr>
          <w:noProof/>
        </w:rPr>
        <w:t>dyr</w:t>
      </w:r>
      <w:r w:rsidRPr="004F6DAA">
        <w:rPr>
          <w:noProof/>
        </w:rPr>
        <w:t>ektywie (UE) 2018/2001 zawarto wymóg informacyjny dotyczący „obszaru pozyskiwania”</w:t>
      </w:r>
      <w:r w:rsidR="00062BFA" w:rsidRPr="004F6DAA">
        <w:rPr>
          <w:noProof/>
        </w:rPr>
        <w:t xml:space="preserve"> w</w:t>
      </w:r>
      <w:r w:rsidR="00062BFA">
        <w:rPr>
          <w:noProof/>
        </w:rPr>
        <w:t> </w:t>
      </w:r>
      <w:r w:rsidR="00062BFA" w:rsidRPr="004F6DAA">
        <w:rPr>
          <w:noProof/>
        </w:rPr>
        <w:t>prz</w:t>
      </w:r>
      <w:r w:rsidRPr="004F6DAA">
        <w:rPr>
          <w:noProof/>
        </w:rPr>
        <w:t>ypadku krajów problematycznych. Szereg przepisów UE zapewnia identyfikowalność wołowiny „od urodzenia do śmierci”,</w:t>
      </w:r>
      <w:r w:rsidR="00062BFA" w:rsidRPr="004F6DAA">
        <w:rPr>
          <w:noProof/>
        </w:rPr>
        <w:t xml:space="preserve"> w</w:t>
      </w:r>
      <w:r w:rsidR="00062BFA">
        <w:rPr>
          <w:noProof/>
        </w:rPr>
        <w:t> </w:t>
      </w:r>
      <w:r w:rsidR="00062BFA" w:rsidRPr="004F6DAA">
        <w:rPr>
          <w:noProof/>
        </w:rPr>
        <w:t>tym</w:t>
      </w:r>
      <w:r w:rsidRPr="004F6DAA">
        <w:rPr>
          <w:noProof/>
        </w:rPr>
        <w:t xml:space="preserve"> za pośrednictwem takich środków jak kolczyki, paszporty bydła</w:t>
      </w:r>
      <w:r w:rsidR="00062BFA" w:rsidRPr="004F6DAA">
        <w:rPr>
          <w:noProof/>
        </w:rPr>
        <w:t xml:space="preserve"> i</w:t>
      </w:r>
      <w:r w:rsidR="00062BFA">
        <w:rPr>
          <w:noProof/>
        </w:rPr>
        <w:t> </w:t>
      </w:r>
      <w:r w:rsidR="00062BFA" w:rsidRPr="004F6DAA">
        <w:rPr>
          <w:noProof/>
        </w:rPr>
        <w:t>sko</w:t>
      </w:r>
      <w:r w:rsidRPr="004F6DAA">
        <w:rPr>
          <w:noProof/>
        </w:rPr>
        <w:t>mputeryzowana baza danych.</w:t>
      </w:r>
    </w:p>
    <w:p w14:paraId="198C5C9F" w14:textId="77777777" w:rsidR="009A3168" w:rsidRPr="004F6DAA" w:rsidRDefault="009A3168" w:rsidP="00445504">
      <w:pPr>
        <w:pStyle w:val="Bullet1"/>
        <w:rPr>
          <w:i/>
          <w:noProof/>
        </w:rPr>
      </w:pPr>
      <w:r w:rsidRPr="004F6DAA">
        <w:rPr>
          <w:i/>
          <w:noProof/>
        </w:rPr>
        <w:t>Artykuł 10: Ocena</w:t>
      </w:r>
      <w:r w:rsidR="00062BFA" w:rsidRPr="004F6DAA">
        <w:rPr>
          <w:i/>
          <w:noProof/>
        </w:rPr>
        <w:t xml:space="preserve"> i</w:t>
      </w:r>
      <w:r w:rsidR="00062BFA">
        <w:rPr>
          <w:i/>
          <w:noProof/>
        </w:rPr>
        <w:t> </w:t>
      </w:r>
      <w:r w:rsidR="00062BFA" w:rsidRPr="004F6DAA">
        <w:rPr>
          <w:i/>
          <w:noProof/>
        </w:rPr>
        <w:t>ogr</w:t>
      </w:r>
      <w:r w:rsidRPr="004F6DAA">
        <w:rPr>
          <w:i/>
          <w:noProof/>
        </w:rPr>
        <w:t>aniczanie ryzyka</w:t>
      </w:r>
    </w:p>
    <w:p w14:paraId="38CA066B" w14:textId="77777777" w:rsidR="006125C2" w:rsidRPr="004F6DAA" w:rsidRDefault="006125C2" w:rsidP="006125C2">
      <w:pPr>
        <w:rPr>
          <w:rFonts w:eastAsia="Calibri"/>
          <w:noProof/>
        </w:rPr>
      </w:pPr>
      <w:r w:rsidRPr="004F6DAA">
        <w:rPr>
          <w:noProof/>
        </w:rPr>
        <w:t xml:space="preserve">W </w:t>
      </w:r>
      <w:r w:rsidRPr="00062BFA">
        <w:rPr>
          <w:noProof/>
        </w:rPr>
        <w:t>art.</w:t>
      </w:r>
      <w:r w:rsidR="00062BFA" w:rsidRPr="00062BFA">
        <w:rPr>
          <w:noProof/>
        </w:rPr>
        <w:t> </w:t>
      </w:r>
      <w:r w:rsidRPr="00062BFA">
        <w:rPr>
          <w:noProof/>
        </w:rPr>
        <w:t>1</w:t>
      </w:r>
      <w:r w:rsidRPr="004F6DAA">
        <w:rPr>
          <w:noProof/>
        </w:rPr>
        <w:t>0 określono kroki, które należy podjąć, aby ocenić</w:t>
      </w:r>
      <w:r w:rsidR="00062BFA" w:rsidRPr="004F6DAA">
        <w:rPr>
          <w:noProof/>
        </w:rPr>
        <w:t xml:space="preserve"> i</w:t>
      </w:r>
      <w:r w:rsidR="00062BFA">
        <w:rPr>
          <w:noProof/>
        </w:rPr>
        <w:t> </w:t>
      </w:r>
      <w:r w:rsidR="00062BFA" w:rsidRPr="004F6DAA">
        <w:rPr>
          <w:noProof/>
        </w:rPr>
        <w:t>zmn</w:t>
      </w:r>
      <w:r w:rsidRPr="004F6DAA">
        <w:rPr>
          <w:noProof/>
        </w:rPr>
        <w:t>iejszyć ryzyko wprowadzenia do obrotu odnośnych towarów</w:t>
      </w:r>
      <w:r w:rsidR="00062BFA" w:rsidRPr="004F6DAA">
        <w:rPr>
          <w:noProof/>
        </w:rPr>
        <w:t xml:space="preserve"> i</w:t>
      </w:r>
      <w:r w:rsidR="00062BFA">
        <w:rPr>
          <w:noProof/>
        </w:rPr>
        <w:t> </w:t>
      </w:r>
      <w:r w:rsidR="00062BFA" w:rsidRPr="004F6DAA">
        <w:rPr>
          <w:noProof/>
        </w:rPr>
        <w:t>pro</w:t>
      </w:r>
      <w:r w:rsidRPr="004F6DAA">
        <w:rPr>
          <w:noProof/>
        </w:rPr>
        <w:t>duktów związanych</w:t>
      </w:r>
      <w:r w:rsidR="00062BFA" w:rsidRPr="004F6DAA">
        <w:rPr>
          <w:noProof/>
        </w:rPr>
        <w:t xml:space="preserve"> z</w:t>
      </w:r>
      <w:r w:rsidR="00062BFA">
        <w:rPr>
          <w:noProof/>
        </w:rPr>
        <w:t> </w:t>
      </w:r>
      <w:r w:rsidR="00062BFA" w:rsidRPr="004F6DAA">
        <w:rPr>
          <w:noProof/>
        </w:rPr>
        <w:t>wyl</w:t>
      </w:r>
      <w:r w:rsidRPr="004F6DAA">
        <w:rPr>
          <w:noProof/>
        </w:rPr>
        <w:t>esianiem</w:t>
      </w:r>
      <w:r w:rsidR="00062BFA" w:rsidRPr="004F6DAA">
        <w:rPr>
          <w:noProof/>
        </w:rPr>
        <w:t xml:space="preserve"> i</w:t>
      </w:r>
      <w:r w:rsidR="00062BFA">
        <w:rPr>
          <w:noProof/>
        </w:rPr>
        <w:t> </w:t>
      </w:r>
      <w:r w:rsidR="00062BFA" w:rsidRPr="004F6DAA">
        <w:rPr>
          <w:noProof/>
        </w:rPr>
        <w:t>deg</w:t>
      </w:r>
      <w:r w:rsidRPr="004F6DAA">
        <w:rPr>
          <w:noProof/>
        </w:rPr>
        <w:t>radacją lasów</w:t>
      </w:r>
      <w:r w:rsidR="00062BFA" w:rsidRPr="004F6DAA">
        <w:rPr>
          <w:noProof/>
        </w:rPr>
        <w:t>.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tym w</w:t>
      </w:r>
      <w:r w:rsidR="00062BFA">
        <w:rPr>
          <w:noProof/>
        </w:rPr>
        <w:t> </w:t>
      </w:r>
      <w:r w:rsidR="00062BFA" w:rsidRPr="004F6DAA">
        <w:rPr>
          <w:noProof/>
        </w:rPr>
        <w:t>prz</w:t>
      </w:r>
      <w:r w:rsidRPr="004F6DAA">
        <w:rPr>
          <w:noProof/>
        </w:rPr>
        <w:t>edmiotowym artykule szczegółowo opisano kryteria</w:t>
      </w:r>
      <w:r w:rsidR="00062BFA" w:rsidRPr="004F6DAA">
        <w:rPr>
          <w:noProof/>
        </w:rPr>
        <w:t xml:space="preserve"> i</w:t>
      </w:r>
      <w:r w:rsidR="00062BFA">
        <w:rPr>
          <w:noProof/>
        </w:rPr>
        <w:t> </w:t>
      </w:r>
      <w:r w:rsidR="00062BFA" w:rsidRPr="004F6DAA">
        <w:rPr>
          <w:noProof/>
        </w:rPr>
        <w:t>spo</w:t>
      </w:r>
      <w:r w:rsidRPr="004F6DAA">
        <w:rPr>
          <w:noProof/>
        </w:rPr>
        <w:t>soby przeprowadzania oceny ryzyka</w:t>
      </w:r>
      <w:r w:rsidR="00062BFA" w:rsidRPr="004F6DAA">
        <w:rPr>
          <w:noProof/>
        </w:rPr>
        <w:t xml:space="preserve"> i</w:t>
      </w:r>
      <w:r w:rsidR="00062BFA">
        <w:rPr>
          <w:noProof/>
        </w:rPr>
        <w:t> </w:t>
      </w:r>
      <w:r w:rsidR="00062BFA" w:rsidRPr="004F6DAA">
        <w:rPr>
          <w:noProof/>
        </w:rPr>
        <w:t>ogr</w:t>
      </w:r>
      <w:r w:rsidRPr="004F6DAA">
        <w:rPr>
          <w:noProof/>
        </w:rPr>
        <w:t>aniczania ryzyka – odpowiednio krok 2</w:t>
      </w:r>
      <w:r w:rsidR="00062BFA" w:rsidRPr="004F6DAA">
        <w:rPr>
          <w:noProof/>
        </w:rPr>
        <w:t xml:space="preserve"> i</w:t>
      </w:r>
      <w:r w:rsidR="00062BFA">
        <w:rPr>
          <w:noProof/>
        </w:rPr>
        <w:t> </w:t>
      </w:r>
      <w:r w:rsidR="00062BFA" w:rsidRPr="004F6DAA">
        <w:rPr>
          <w:noProof/>
        </w:rPr>
        <w:t>kro</w:t>
      </w:r>
      <w:r w:rsidRPr="004F6DAA">
        <w:rPr>
          <w:noProof/>
        </w:rPr>
        <w:t>k 3 procedury należytej staranności wprowadzonej</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8</w:t>
      </w:r>
      <w:r w:rsidR="00062BFA" w:rsidRPr="004F6DAA">
        <w:rPr>
          <w:noProof/>
        </w:rPr>
        <w:t>. W</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 xml:space="preserve">0 </w:t>
      </w:r>
      <w:r w:rsidRPr="00062BFA">
        <w:rPr>
          <w:noProof/>
        </w:rPr>
        <w:t>ust.</w:t>
      </w:r>
      <w:r w:rsidR="00062BFA" w:rsidRPr="00062BFA">
        <w:rPr>
          <w:noProof/>
        </w:rPr>
        <w:t> </w:t>
      </w:r>
      <w:r w:rsidRPr="00062BFA">
        <w:rPr>
          <w:noProof/>
        </w:rPr>
        <w:t>1</w:t>
      </w:r>
      <w:r w:rsidRPr="004F6DAA">
        <w:rPr>
          <w:noProof/>
        </w:rPr>
        <w:t xml:space="preserve"> wyjaśniono cel oceny ryzyka, tj. wykrycie ewentualnej niezgodności odnośnych towarów</w:t>
      </w:r>
      <w:r w:rsidR="00062BFA" w:rsidRPr="004F6DAA">
        <w:rPr>
          <w:noProof/>
        </w:rPr>
        <w:t xml:space="preserve"> i</w:t>
      </w:r>
      <w:r w:rsidR="00062BFA">
        <w:rPr>
          <w:noProof/>
        </w:rPr>
        <w:t> </w:t>
      </w:r>
      <w:r w:rsidR="00062BFA" w:rsidRPr="004F6DAA">
        <w:rPr>
          <w:noProof/>
        </w:rPr>
        <w:t>pro</w:t>
      </w:r>
      <w:r w:rsidRPr="004F6DAA">
        <w:rPr>
          <w:noProof/>
        </w:rPr>
        <w:t>duktów</w:t>
      </w:r>
      <w:r w:rsidR="00062BFA" w:rsidRPr="004F6DAA">
        <w:rPr>
          <w:noProof/>
        </w:rPr>
        <w:t xml:space="preserve"> z</w:t>
      </w:r>
      <w:r w:rsidR="00062BFA">
        <w:rPr>
          <w:noProof/>
        </w:rPr>
        <w:t> </w:t>
      </w:r>
      <w:r w:rsidR="00062BFA" w:rsidRPr="004F6DAA">
        <w:rPr>
          <w:noProof/>
        </w:rPr>
        <w:t>nin</w:t>
      </w:r>
      <w:r w:rsidRPr="004F6DAA">
        <w:rPr>
          <w:noProof/>
        </w:rPr>
        <w:t>iejszym rozporządzeniem, oraz ustanowiono główny obowiązek podmiotów dotyczący niewprowadzania odnośnych towarów lub produktów do obrotu,</w:t>
      </w:r>
      <w:r w:rsidR="00062BFA" w:rsidRPr="004F6DAA">
        <w:rPr>
          <w:noProof/>
        </w:rPr>
        <w:t xml:space="preserve"> o</w:t>
      </w:r>
      <w:r w:rsidR="00062BFA">
        <w:rPr>
          <w:noProof/>
        </w:rPr>
        <w:t> </w:t>
      </w:r>
      <w:r w:rsidR="00062BFA" w:rsidRPr="004F6DAA">
        <w:rPr>
          <w:noProof/>
        </w:rPr>
        <w:t>ile</w:t>
      </w:r>
      <w:r w:rsidRPr="004F6DAA">
        <w:rPr>
          <w:noProof/>
        </w:rPr>
        <w:t xml:space="preserve"> są one</w:t>
      </w:r>
      <w:r w:rsidR="00062BFA" w:rsidRPr="004F6DAA">
        <w:rPr>
          <w:noProof/>
        </w:rPr>
        <w:t xml:space="preserve"> w</w:t>
      </w:r>
      <w:r w:rsidR="00062BFA">
        <w:rPr>
          <w:noProof/>
        </w:rPr>
        <w:t> </w:t>
      </w:r>
      <w:r w:rsidR="00062BFA" w:rsidRPr="004F6DAA">
        <w:rPr>
          <w:noProof/>
        </w:rPr>
        <w:t>sta</w:t>
      </w:r>
      <w:r w:rsidRPr="004F6DAA">
        <w:rPr>
          <w:noProof/>
        </w:rPr>
        <w:t>nie wykazać, że ryzyko niezgodności jest znikome. Pojęcie znikomego ryzyka zdefiniowano</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2</w:t>
      </w:r>
      <w:r w:rsidRPr="004F6DAA">
        <w:rPr>
          <w:noProof/>
        </w:rPr>
        <w:t xml:space="preserve"> </w:t>
      </w:r>
      <w:r w:rsidRPr="00062BFA">
        <w:rPr>
          <w:noProof/>
        </w:rPr>
        <w:t>pkt</w:t>
      </w:r>
      <w:r w:rsidR="00062BFA" w:rsidRPr="00062BFA">
        <w:rPr>
          <w:noProof/>
        </w:rPr>
        <w:t> </w:t>
      </w:r>
      <w:r w:rsidRPr="00062BFA">
        <w:rPr>
          <w:noProof/>
        </w:rPr>
        <w:t>1</w:t>
      </w:r>
      <w:r w:rsidRPr="004F6DAA">
        <w:rPr>
          <w:noProof/>
        </w:rPr>
        <w:t>8 jako sytuację,</w:t>
      </w:r>
      <w:r w:rsidR="00062BFA" w:rsidRPr="004F6DAA">
        <w:rPr>
          <w:noProof/>
        </w:rPr>
        <w:t xml:space="preserve"> w</w:t>
      </w:r>
      <w:r w:rsidR="00062BFA">
        <w:rPr>
          <w:noProof/>
        </w:rPr>
        <w:t> </w:t>
      </w:r>
      <w:r w:rsidR="00062BFA" w:rsidRPr="004F6DAA">
        <w:rPr>
          <w:noProof/>
        </w:rPr>
        <w:t>któ</w:t>
      </w:r>
      <w:r w:rsidRPr="004F6DAA">
        <w:rPr>
          <w:noProof/>
        </w:rPr>
        <w:t>rej pełna ocena zarówno specyficznych dla danego produktu, jak</w:t>
      </w:r>
      <w:r w:rsidR="00062BFA" w:rsidRPr="004F6DAA">
        <w:rPr>
          <w:noProof/>
        </w:rPr>
        <w:t xml:space="preserve"> i</w:t>
      </w:r>
      <w:r w:rsidR="00062BFA">
        <w:rPr>
          <w:noProof/>
        </w:rPr>
        <w:t> </w:t>
      </w:r>
      <w:r w:rsidR="00062BFA" w:rsidRPr="004F6DAA">
        <w:rPr>
          <w:noProof/>
        </w:rPr>
        <w:t>ogó</w:t>
      </w:r>
      <w:r w:rsidRPr="004F6DAA">
        <w:rPr>
          <w:noProof/>
        </w:rPr>
        <w:t>lnych informacji dotyczących zgodności</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 xml:space="preserve"> </w:t>
      </w:r>
      <w:r w:rsidRPr="00062BFA">
        <w:rPr>
          <w:noProof/>
        </w:rPr>
        <w:t>lit.</w:t>
      </w:r>
      <w:r w:rsidR="00062BFA" w:rsidRPr="00062BFA">
        <w:rPr>
          <w:noProof/>
        </w:rPr>
        <w:t> </w:t>
      </w:r>
      <w:r w:rsidRPr="00062BFA">
        <w:rPr>
          <w:noProof/>
        </w:rPr>
        <w:t>a)</w:t>
      </w:r>
      <w:r w:rsidRPr="004F6DAA">
        <w:rPr>
          <w:noProof/>
        </w:rPr>
        <w:t xml:space="preserve"> i b) odnośnych towarów lub produktów nie stwarza powodów do obaw. </w:t>
      </w:r>
    </w:p>
    <w:p w14:paraId="39651BBA" w14:textId="77777777" w:rsidR="006125C2" w:rsidRPr="004F6DAA" w:rsidRDefault="006125C2" w:rsidP="006125C2">
      <w:pPr>
        <w:rPr>
          <w:noProof/>
        </w:rPr>
      </w:pPr>
      <w:r w:rsidRPr="004F6DAA">
        <w:rPr>
          <w:noProof/>
        </w:rPr>
        <w:t>Opierając się na kryteriach oceny ryzyka ustanowionych</w:t>
      </w:r>
      <w:r w:rsidR="00062BFA" w:rsidRPr="004F6DAA">
        <w:rPr>
          <w:noProof/>
        </w:rPr>
        <w:t xml:space="preserve"> w</w:t>
      </w:r>
      <w:r w:rsidR="00062BFA">
        <w:rPr>
          <w:noProof/>
        </w:rPr>
        <w:t> </w:t>
      </w:r>
      <w:r w:rsidR="00062BFA" w:rsidRPr="004F6DAA">
        <w:rPr>
          <w:noProof/>
        </w:rPr>
        <w:t>roz</w:t>
      </w:r>
      <w:r w:rsidRPr="004F6DAA">
        <w:rPr>
          <w:noProof/>
        </w:rPr>
        <w:t>porządzeniu</w:t>
      </w:r>
      <w:r w:rsidR="00062BFA" w:rsidRPr="004F6DAA">
        <w:rPr>
          <w:noProof/>
        </w:rPr>
        <w:t xml:space="preserve"> w</w:t>
      </w:r>
      <w:r w:rsidR="00062BFA">
        <w:rPr>
          <w:noProof/>
        </w:rPr>
        <w:t> </w:t>
      </w:r>
      <w:r w:rsidR="00062BFA" w:rsidRPr="004F6DAA">
        <w:rPr>
          <w:noProof/>
        </w:rPr>
        <w:t>spr</w:t>
      </w:r>
      <w:r w:rsidRPr="004F6DAA">
        <w:rPr>
          <w:noProof/>
        </w:rPr>
        <w:t>awie drewna,</w:t>
      </w:r>
      <w:r w:rsidR="00062BFA" w:rsidRPr="004F6DAA">
        <w:rPr>
          <w:noProof/>
        </w:rPr>
        <w:t xml:space="preserve"> w</w:t>
      </w:r>
      <w:r w:rsidR="00062BFA">
        <w:rPr>
          <w:noProof/>
        </w:rPr>
        <w:t> </w:t>
      </w:r>
      <w:r w:rsidR="00062BFA" w:rsidRPr="00062BFA">
        <w:rPr>
          <w:noProof/>
        </w:rPr>
        <w:t>ust</w:t>
      </w:r>
      <w:r w:rsidRPr="00062BFA">
        <w:rPr>
          <w:noProof/>
        </w:rPr>
        <w:t>.</w:t>
      </w:r>
      <w:r w:rsidR="00062BFA" w:rsidRPr="00062BFA">
        <w:rPr>
          <w:noProof/>
        </w:rPr>
        <w:t> </w:t>
      </w:r>
      <w:r w:rsidRPr="00062BFA">
        <w:rPr>
          <w:noProof/>
        </w:rPr>
        <w:t>2</w:t>
      </w:r>
      <w:r w:rsidRPr="004F6DAA">
        <w:rPr>
          <w:noProof/>
        </w:rPr>
        <w:t xml:space="preserve"> dokonano ich dalszej kwalifikacji</w:t>
      </w:r>
      <w:r w:rsidR="00062BFA" w:rsidRPr="004F6DAA">
        <w:rPr>
          <w:noProof/>
        </w:rPr>
        <w:t xml:space="preserve"> i</w:t>
      </w:r>
      <w:r w:rsidR="00062BFA">
        <w:rPr>
          <w:noProof/>
        </w:rPr>
        <w:t> </w:t>
      </w:r>
      <w:r w:rsidR="00062BFA" w:rsidRPr="004F6DAA">
        <w:rPr>
          <w:noProof/>
        </w:rPr>
        <w:t>prz</w:t>
      </w:r>
      <w:r w:rsidRPr="004F6DAA">
        <w:rPr>
          <w:noProof/>
        </w:rPr>
        <w:t>edstawiono podmiotom dodatkowe wytyczne dotyczące elementów, które należy wziąć pod uwagę, co odzwierciedla fakt, że niniejsze rozporządzenie koncentruje się zarówno na legalności, jak i na zrównoważonym rozwoju (tj. niepowodowaniu wylesiania). Poza poziomem ryzyka określonym za pośrednictwem systemu wskaźników dla poszczególnych krajów wykaz zawiera informacje na temat kraju/obszaru produkcji, cech odnośnego towaru</w:t>
      </w:r>
      <w:r w:rsidR="00062BFA" w:rsidRPr="004F6DAA">
        <w:rPr>
          <w:noProof/>
        </w:rPr>
        <w:t xml:space="preserve"> i</w:t>
      </w:r>
      <w:r w:rsidR="00062BFA">
        <w:rPr>
          <w:noProof/>
        </w:rPr>
        <w:t> </w:t>
      </w:r>
      <w:r w:rsidR="00062BFA" w:rsidRPr="004F6DAA">
        <w:rPr>
          <w:noProof/>
        </w:rPr>
        <w:t>pro</w:t>
      </w:r>
      <w:r w:rsidRPr="004F6DAA">
        <w:rPr>
          <w:noProof/>
        </w:rPr>
        <w:t>duktu oraz łańcucha dostaw,</w:t>
      </w:r>
      <w:r w:rsidR="00062BFA" w:rsidRPr="004F6DAA">
        <w:rPr>
          <w:noProof/>
        </w:rPr>
        <w:t xml:space="preserve"> a</w:t>
      </w:r>
      <w:r w:rsidR="00062BFA">
        <w:rPr>
          <w:noProof/>
        </w:rPr>
        <w:t> </w:t>
      </w:r>
      <w:r w:rsidR="00062BFA" w:rsidRPr="004F6DAA">
        <w:rPr>
          <w:noProof/>
        </w:rPr>
        <w:t>tak</w:t>
      </w:r>
      <w:r w:rsidRPr="004F6DAA">
        <w:rPr>
          <w:noProof/>
        </w:rPr>
        <w:t>że inne istotne informacje uzupełniające, takie jak certyfikacja lub inne narzędzia służące weryfikacji przez osoby trzecie, pod warunkiem że spełniają one wymogi informacyjne określone</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9</w:t>
      </w:r>
      <w:r w:rsidRPr="004F6DAA">
        <w:rPr>
          <w:noProof/>
        </w:rPr>
        <w:t>.</w:t>
      </w:r>
    </w:p>
    <w:p w14:paraId="76E574C6" w14:textId="77777777" w:rsidR="009A3168" w:rsidRPr="004F6DAA" w:rsidRDefault="009A3168" w:rsidP="00445504">
      <w:pPr>
        <w:pStyle w:val="Bullet1"/>
        <w:rPr>
          <w:i/>
          <w:noProof/>
        </w:rPr>
      </w:pPr>
      <w:r w:rsidRPr="004F6DAA">
        <w:rPr>
          <w:i/>
          <w:noProof/>
        </w:rPr>
        <w:t>Artykuł 12: Uproszczona należyta staranność</w:t>
      </w:r>
    </w:p>
    <w:p w14:paraId="5BBDD7B3" w14:textId="77777777" w:rsidR="00DE3BCD" w:rsidRPr="004F6DAA" w:rsidRDefault="00DE3BCD" w:rsidP="00DE3BCD">
      <w:pPr>
        <w:pBdr>
          <w:top w:val="nil"/>
          <w:left w:val="nil"/>
          <w:bottom w:val="nil"/>
          <w:right w:val="nil"/>
          <w:between w:val="nil"/>
          <w:bar w:val="nil"/>
        </w:pBdr>
        <w:spacing w:before="0"/>
        <w:rPr>
          <w:rFonts w:eastAsia="Calibri"/>
          <w:noProof/>
        </w:rPr>
      </w:pPr>
      <w:r w:rsidRPr="004F6DAA">
        <w:rPr>
          <w:noProof/>
        </w:rPr>
        <w:t xml:space="preserve">W </w:t>
      </w:r>
      <w:r w:rsidRPr="00062BFA">
        <w:rPr>
          <w:noProof/>
        </w:rPr>
        <w:t>art.</w:t>
      </w:r>
      <w:r w:rsidR="00062BFA" w:rsidRPr="00062BFA">
        <w:rPr>
          <w:noProof/>
        </w:rPr>
        <w:t> </w:t>
      </w:r>
      <w:r w:rsidRPr="00062BFA">
        <w:rPr>
          <w:noProof/>
        </w:rPr>
        <w:t>1</w:t>
      </w:r>
      <w:r w:rsidRPr="004F6DAA">
        <w:rPr>
          <w:noProof/>
        </w:rPr>
        <w:t>2 opisano obowiązki wynikające</w:t>
      </w:r>
      <w:r w:rsidR="00062BFA" w:rsidRPr="004F6DAA">
        <w:rPr>
          <w:noProof/>
        </w:rPr>
        <w:t xml:space="preserve"> z</w:t>
      </w:r>
      <w:r w:rsidR="00062BFA">
        <w:rPr>
          <w:noProof/>
        </w:rPr>
        <w:t> </w:t>
      </w:r>
      <w:r w:rsidR="00062BFA" w:rsidRPr="004F6DAA">
        <w:rPr>
          <w:noProof/>
        </w:rPr>
        <w:t>poz</w:t>
      </w:r>
      <w:r w:rsidRPr="004F6DAA">
        <w:rPr>
          <w:noProof/>
        </w:rPr>
        <w:t>yskiwania odnośnych towarów</w:t>
      </w:r>
      <w:r w:rsidR="00062BFA" w:rsidRPr="004F6DAA">
        <w:rPr>
          <w:noProof/>
        </w:rPr>
        <w:t xml:space="preserve"> i</w:t>
      </w:r>
      <w:r w:rsidR="00062BFA">
        <w:rPr>
          <w:noProof/>
        </w:rPr>
        <w:t> </w:t>
      </w:r>
      <w:r w:rsidR="00062BFA" w:rsidRPr="004F6DAA">
        <w:rPr>
          <w:noProof/>
        </w:rPr>
        <w:t>pro</w:t>
      </w:r>
      <w:r w:rsidRPr="004F6DAA">
        <w:rPr>
          <w:noProof/>
        </w:rPr>
        <w:t>duktów</w:t>
      </w:r>
      <w:r w:rsidR="00062BFA" w:rsidRPr="004F6DAA">
        <w:rPr>
          <w:noProof/>
        </w:rPr>
        <w:t xml:space="preserve"> z</w:t>
      </w:r>
      <w:r w:rsidR="00062BFA">
        <w:rPr>
          <w:noProof/>
        </w:rPr>
        <w:t> </w:t>
      </w:r>
      <w:r w:rsidR="00062BFA" w:rsidRPr="004F6DAA">
        <w:rPr>
          <w:noProof/>
        </w:rPr>
        <w:t>kra</w:t>
      </w:r>
      <w:r w:rsidRPr="004F6DAA">
        <w:rPr>
          <w:noProof/>
        </w:rPr>
        <w:t>ju lub jego części, które oceniono jako obarczone niskim ryzykiem zgodnie</w:t>
      </w:r>
      <w:r w:rsidR="00062BFA" w:rsidRPr="004F6DAA">
        <w:rPr>
          <w:noProof/>
        </w:rPr>
        <w:t xml:space="preserve"> z</w:t>
      </w:r>
      <w:r w:rsidR="00062BFA">
        <w:rPr>
          <w:noProof/>
        </w:rPr>
        <w:t> </w:t>
      </w:r>
      <w:r w:rsidR="00062BFA" w:rsidRPr="004F6DAA">
        <w:rPr>
          <w:noProof/>
        </w:rPr>
        <w:t>sys</w:t>
      </w:r>
      <w:r w:rsidRPr="004F6DAA">
        <w:rPr>
          <w:noProof/>
        </w:rPr>
        <w:t>temem wskaźników dla poszczególnych krajów przedstawionym</w:t>
      </w:r>
      <w:r w:rsidR="00062BFA" w:rsidRPr="004F6DAA">
        <w:rPr>
          <w:noProof/>
        </w:rPr>
        <w:t xml:space="preserve"> w</w:t>
      </w:r>
      <w:r w:rsidR="00062BFA">
        <w:rPr>
          <w:noProof/>
        </w:rPr>
        <w:t> </w:t>
      </w:r>
      <w:r w:rsidR="00062BFA" w:rsidRPr="004F6DAA">
        <w:rPr>
          <w:noProof/>
        </w:rPr>
        <w:t>roz</w:t>
      </w:r>
      <w:r w:rsidRPr="004F6DAA">
        <w:rPr>
          <w:noProof/>
        </w:rPr>
        <w:t>dziale 4. Jeżeli kraj produkcji lub jego części charakteryzują się niskim poziomem ryzyka</w:t>
      </w:r>
      <w:r w:rsidR="00062BFA" w:rsidRPr="004F6DAA">
        <w:rPr>
          <w:noProof/>
        </w:rPr>
        <w:t xml:space="preserve"> w</w:t>
      </w:r>
      <w:r w:rsidR="00062BFA">
        <w:rPr>
          <w:noProof/>
        </w:rPr>
        <w:t> </w:t>
      </w:r>
      <w:r w:rsidR="00062BFA" w:rsidRPr="004F6DAA">
        <w:rPr>
          <w:noProof/>
        </w:rPr>
        <w:t>ram</w:t>
      </w:r>
      <w:r w:rsidRPr="004F6DAA">
        <w:rPr>
          <w:noProof/>
        </w:rPr>
        <w:t>ach systemu wskaźników, podmioty nadal podlegają obowiązkowi przewidzianemu</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9</w:t>
      </w:r>
      <w:r w:rsidRPr="004F6DAA">
        <w:rPr>
          <w:noProof/>
        </w:rPr>
        <w:t xml:space="preserve"> – krok 1 procedury należytej staranności, tj. gromadzenie informacji, dokumentów</w:t>
      </w:r>
      <w:r w:rsidR="00062BFA" w:rsidRPr="004F6DAA">
        <w:rPr>
          <w:noProof/>
        </w:rPr>
        <w:t xml:space="preserve"> i</w:t>
      </w:r>
      <w:r w:rsidR="00062BFA">
        <w:rPr>
          <w:noProof/>
        </w:rPr>
        <w:t> </w:t>
      </w:r>
      <w:r w:rsidR="00062BFA" w:rsidRPr="004F6DAA">
        <w:rPr>
          <w:noProof/>
        </w:rPr>
        <w:t>dan</w:t>
      </w:r>
      <w:r w:rsidRPr="004F6DAA">
        <w:rPr>
          <w:noProof/>
        </w:rPr>
        <w:t>ych wykazujących, że odnośne towary</w:t>
      </w:r>
      <w:r w:rsidR="00062BFA" w:rsidRPr="004F6DAA">
        <w:rPr>
          <w:noProof/>
        </w:rPr>
        <w:t xml:space="preserve"> i</w:t>
      </w:r>
      <w:r w:rsidR="00062BFA">
        <w:rPr>
          <w:noProof/>
        </w:rPr>
        <w:t> </w:t>
      </w:r>
      <w:r w:rsidR="00062BFA" w:rsidRPr="004F6DAA">
        <w:rPr>
          <w:noProof/>
        </w:rPr>
        <w:t>pro</w:t>
      </w:r>
      <w:r w:rsidRPr="004F6DAA">
        <w:rPr>
          <w:noProof/>
        </w:rPr>
        <w:t>dukty są zgodne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 xml:space="preserve"> niniejszego rozporządzenia. Są one jednak zwolnione</w:t>
      </w:r>
      <w:r w:rsidR="00062BFA" w:rsidRPr="004F6DAA">
        <w:rPr>
          <w:noProof/>
        </w:rPr>
        <w:t xml:space="preserve"> z</w:t>
      </w:r>
      <w:r w:rsidR="00062BFA">
        <w:rPr>
          <w:noProof/>
        </w:rPr>
        <w:t> </w:t>
      </w:r>
      <w:r w:rsidR="00062BFA" w:rsidRPr="004F6DAA">
        <w:rPr>
          <w:noProof/>
        </w:rPr>
        <w:t>wyk</w:t>
      </w:r>
      <w:r w:rsidRPr="004F6DAA">
        <w:rPr>
          <w:noProof/>
        </w:rPr>
        <w:t>onania drugiego</w:t>
      </w:r>
      <w:r w:rsidR="00062BFA" w:rsidRPr="004F6DAA">
        <w:rPr>
          <w:noProof/>
        </w:rPr>
        <w:t xml:space="preserve"> i</w:t>
      </w:r>
      <w:r w:rsidR="00062BFA">
        <w:rPr>
          <w:noProof/>
        </w:rPr>
        <w:t> </w:t>
      </w:r>
      <w:r w:rsidR="00062BFA" w:rsidRPr="004F6DAA">
        <w:rPr>
          <w:noProof/>
        </w:rPr>
        <w:t>trz</w:t>
      </w:r>
      <w:r w:rsidRPr="004F6DAA">
        <w:rPr>
          <w:noProof/>
        </w:rPr>
        <w:t>eciego kroku</w:t>
      </w:r>
      <w:r w:rsidR="00062BFA" w:rsidRPr="004F6DAA">
        <w:rPr>
          <w:noProof/>
        </w:rPr>
        <w:t xml:space="preserve"> w</w:t>
      </w:r>
      <w:r w:rsidR="00062BFA">
        <w:rPr>
          <w:noProof/>
        </w:rPr>
        <w:t> </w:t>
      </w:r>
      <w:r w:rsidR="00062BFA" w:rsidRPr="004F6DAA">
        <w:rPr>
          <w:noProof/>
        </w:rPr>
        <w:t>pro</w:t>
      </w:r>
      <w:r w:rsidRPr="004F6DAA">
        <w:rPr>
          <w:noProof/>
        </w:rPr>
        <w:t>cesie należytej staranności, tj. oceny ryzyka</w:t>
      </w:r>
      <w:r w:rsidR="00062BFA" w:rsidRPr="004F6DAA">
        <w:rPr>
          <w:noProof/>
        </w:rPr>
        <w:t xml:space="preserve"> i</w:t>
      </w:r>
      <w:r w:rsidR="00062BFA">
        <w:rPr>
          <w:noProof/>
        </w:rPr>
        <w:t> </w:t>
      </w:r>
      <w:r w:rsidR="00062BFA" w:rsidRPr="004F6DAA">
        <w:rPr>
          <w:noProof/>
        </w:rPr>
        <w:t>jeg</w:t>
      </w:r>
      <w:r w:rsidRPr="004F6DAA">
        <w:rPr>
          <w:noProof/>
        </w:rPr>
        <w:t>o zmniejszania, jak opisano</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0. Dlatego</w:t>
      </w:r>
      <w:r w:rsidR="00062BFA" w:rsidRPr="004F6DAA">
        <w:rPr>
          <w:noProof/>
        </w:rPr>
        <w:t xml:space="preserve"> w</w:t>
      </w:r>
      <w:r w:rsidR="00062BFA">
        <w:rPr>
          <w:noProof/>
        </w:rPr>
        <w:t> </w:t>
      </w:r>
      <w:r w:rsidR="00062BFA" w:rsidRPr="004F6DAA">
        <w:rPr>
          <w:noProof/>
        </w:rPr>
        <w:t>tym</w:t>
      </w:r>
      <w:r w:rsidRPr="004F6DAA">
        <w:rPr>
          <w:noProof/>
        </w:rPr>
        <w:t xml:space="preserve"> przypadku podmioty zasadniczo nie są zobowiązane do wykazania, że ryzyko niezgodności jest znikome. </w:t>
      </w:r>
    </w:p>
    <w:p w14:paraId="1D08CCF7" w14:textId="77777777" w:rsidR="00DE3BCD" w:rsidRPr="004F6DAA" w:rsidRDefault="00DE3BCD" w:rsidP="00DE3BCD">
      <w:pPr>
        <w:pBdr>
          <w:top w:val="nil"/>
          <w:left w:val="nil"/>
          <w:bottom w:val="nil"/>
          <w:right w:val="nil"/>
          <w:between w:val="nil"/>
          <w:bar w:val="nil"/>
        </w:pBdr>
        <w:spacing w:before="0"/>
        <w:rPr>
          <w:noProof/>
          <w:szCs w:val="24"/>
        </w:rPr>
      </w:pPr>
      <w:r w:rsidRPr="004F6DAA">
        <w:rPr>
          <w:noProof/>
        </w:rPr>
        <w:t>Jeżeli jednak podmiot, na przykład</w:t>
      </w:r>
      <w:r w:rsidR="00062BFA" w:rsidRPr="004F6DAA">
        <w:rPr>
          <w:noProof/>
        </w:rPr>
        <w:t xml:space="preserve"> w</w:t>
      </w:r>
      <w:r w:rsidR="00062BFA">
        <w:rPr>
          <w:noProof/>
        </w:rPr>
        <w:t> </w:t>
      </w:r>
      <w:r w:rsidR="00062BFA" w:rsidRPr="004F6DAA">
        <w:rPr>
          <w:noProof/>
        </w:rPr>
        <w:t>ram</w:t>
      </w:r>
      <w:r w:rsidRPr="004F6DAA">
        <w:rPr>
          <w:noProof/>
        </w:rPr>
        <w:t>ach gromadzenia informacji, uzyska jakąkolwiek informację dotyczącą szczególnego ryzyka niezgodności, należy wypełnić wszystkie obowiązki wynikające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8</w:t>
      </w:r>
      <w:r w:rsidRPr="004F6DAA">
        <w:rPr>
          <w:noProof/>
        </w:rPr>
        <w:t>,</w:t>
      </w:r>
      <w:r w:rsidR="00062BFA" w:rsidRPr="004F6DAA">
        <w:rPr>
          <w:noProof/>
        </w:rPr>
        <w:t xml:space="preserve"> a</w:t>
      </w:r>
      <w:r w:rsidR="00062BFA">
        <w:rPr>
          <w:noProof/>
        </w:rPr>
        <w:t> </w:t>
      </w:r>
      <w:r w:rsidR="00062BFA" w:rsidRPr="004F6DAA">
        <w:rPr>
          <w:noProof/>
        </w:rPr>
        <w:t>zat</w:t>
      </w:r>
      <w:r w:rsidRPr="004F6DAA">
        <w:rPr>
          <w:noProof/>
        </w:rPr>
        <w:t>em wykonać wszystkie trzy kroki</w:t>
      </w:r>
      <w:r w:rsidR="00062BFA" w:rsidRPr="004F6DAA">
        <w:rPr>
          <w:noProof/>
        </w:rPr>
        <w:t xml:space="preserve"> w</w:t>
      </w:r>
      <w:r w:rsidR="00062BFA">
        <w:rPr>
          <w:noProof/>
        </w:rPr>
        <w:t> </w:t>
      </w:r>
      <w:r w:rsidR="00062BFA" w:rsidRPr="004F6DAA">
        <w:rPr>
          <w:noProof/>
        </w:rPr>
        <w:t>pro</w:t>
      </w:r>
      <w:r w:rsidRPr="004F6DAA">
        <w:rPr>
          <w:noProof/>
        </w:rPr>
        <w:t>cedurze należytej staranności [</w:t>
      </w:r>
      <w:r w:rsidRPr="00062BFA">
        <w:rPr>
          <w:noProof/>
        </w:rPr>
        <w:t>art.</w:t>
      </w:r>
      <w:r w:rsidR="00062BFA" w:rsidRPr="00062BFA">
        <w:rPr>
          <w:noProof/>
        </w:rPr>
        <w:t> </w:t>
      </w:r>
      <w:r w:rsidRPr="00062BFA">
        <w:rPr>
          <w:noProof/>
        </w:rPr>
        <w:t>1</w:t>
      </w:r>
      <w:r w:rsidRPr="004F6DAA">
        <w:rPr>
          <w:noProof/>
        </w:rPr>
        <w:t xml:space="preserve">2 </w:t>
      </w:r>
      <w:r w:rsidRPr="00062BFA">
        <w:rPr>
          <w:noProof/>
        </w:rPr>
        <w:t>ust.</w:t>
      </w:r>
      <w:r w:rsidR="00062BFA" w:rsidRPr="00062BFA">
        <w:rPr>
          <w:noProof/>
        </w:rPr>
        <w:t> </w:t>
      </w:r>
      <w:r w:rsidRPr="00062BFA">
        <w:rPr>
          <w:noProof/>
        </w:rPr>
        <w:t>2</w:t>
      </w:r>
      <w:r w:rsidRPr="004F6DAA">
        <w:rPr>
          <w:noProof/>
        </w:rPr>
        <w:t>].</w:t>
      </w:r>
    </w:p>
    <w:p w14:paraId="75ABD886" w14:textId="77777777" w:rsidR="00DE3BCD" w:rsidRPr="004F6DAA" w:rsidRDefault="00DE3BCD" w:rsidP="00DE3BCD">
      <w:pPr>
        <w:pStyle w:val="Bullet1"/>
        <w:rPr>
          <w:i/>
          <w:noProof/>
        </w:rPr>
      </w:pPr>
      <w:r w:rsidRPr="004F6DAA">
        <w:rPr>
          <w:i/>
          <w:noProof/>
        </w:rPr>
        <w:t>Artykuł 14: Obowiązki dotyczące przeprowadzania kontroli</w:t>
      </w:r>
    </w:p>
    <w:p w14:paraId="5C9E80BE" w14:textId="77777777" w:rsidR="00DE3BCD" w:rsidRPr="004F6DAA" w:rsidRDefault="00DE3BCD" w:rsidP="00DE3BCD">
      <w:pPr>
        <w:pBdr>
          <w:top w:val="nil"/>
          <w:left w:val="nil"/>
          <w:bottom w:val="nil"/>
          <w:right w:val="nil"/>
          <w:between w:val="nil"/>
          <w:bar w:val="nil"/>
        </w:pBdr>
        <w:spacing w:before="0"/>
        <w:rPr>
          <w:noProof/>
        </w:rPr>
      </w:pPr>
      <w:r w:rsidRPr="004F6DAA">
        <w:rPr>
          <w:noProof/>
        </w:rPr>
        <w:t xml:space="preserve">W </w:t>
      </w:r>
      <w:r w:rsidRPr="00062BFA">
        <w:rPr>
          <w:noProof/>
        </w:rPr>
        <w:t>art.</w:t>
      </w:r>
      <w:r w:rsidR="00062BFA" w:rsidRPr="00062BFA">
        <w:rPr>
          <w:noProof/>
        </w:rPr>
        <w:t> </w:t>
      </w:r>
      <w:r w:rsidRPr="00062BFA">
        <w:rPr>
          <w:noProof/>
        </w:rPr>
        <w:t>1</w:t>
      </w:r>
      <w:r w:rsidRPr="004F6DAA">
        <w:rPr>
          <w:noProof/>
        </w:rPr>
        <w:t>4 określono ogólne obowiązki właściwych organów wynikające</w:t>
      </w:r>
      <w:r w:rsidR="00062BFA" w:rsidRPr="004F6DAA">
        <w:rPr>
          <w:noProof/>
        </w:rPr>
        <w:t xml:space="preserve"> z</w:t>
      </w:r>
      <w:r w:rsidR="00062BFA">
        <w:rPr>
          <w:noProof/>
        </w:rPr>
        <w:t> </w:t>
      </w:r>
      <w:r w:rsidR="00062BFA" w:rsidRPr="004F6DAA">
        <w:rPr>
          <w:noProof/>
        </w:rPr>
        <w:t>roz</w:t>
      </w:r>
      <w:r w:rsidRPr="004F6DAA">
        <w:rPr>
          <w:noProof/>
        </w:rPr>
        <w:t>porządzenia</w:t>
      </w:r>
      <w:r w:rsidR="00062BFA" w:rsidRPr="004F6DAA">
        <w:rPr>
          <w:noProof/>
        </w:rPr>
        <w:t>. W</w:t>
      </w:r>
      <w:r w:rsidR="00062BFA">
        <w:rPr>
          <w:noProof/>
        </w:rPr>
        <w:t> </w:t>
      </w:r>
      <w:r w:rsidR="00062BFA" w:rsidRPr="00062BFA">
        <w:rPr>
          <w:noProof/>
        </w:rPr>
        <w:t>ust</w:t>
      </w:r>
      <w:r w:rsidRPr="00062BFA">
        <w:rPr>
          <w:noProof/>
        </w:rPr>
        <w:t>.</w:t>
      </w:r>
      <w:r w:rsidR="00062BFA" w:rsidRPr="00062BFA">
        <w:rPr>
          <w:noProof/>
        </w:rPr>
        <w:t> </w:t>
      </w:r>
      <w:r w:rsidRPr="00062BFA">
        <w:rPr>
          <w:noProof/>
        </w:rPr>
        <w:t>1</w:t>
      </w:r>
      <w:r w:rsidR="00062BFA" w:rsidRPr="004F6DAA">
        <w:rPr>
          <w:noProof/>
        </w:rPr>
        <w:t xml:space="preserve"> i</w:t>
      </w:r>
      <w:r w:rsidR="00062BFA">
        <w:rPr>
          <w:noProof/>
        </w:rPr>
        <w:t> </w:t>
      </w:r>
      <w:r w:rsidR="00062BFA" w:rsidRPr="004F6DAA">
        <w:rPr>
          <w:noProof/>
        </w:rPr>
        <w:t>2</w:t>
      </w:r>
      <w:r w:rsidRPr="004F6DAA">
        <w:rPr>
          <w:noProof/>
        </w:rPr>
        <w:t xml:space="preserve"> ustanowiono główny obowiązek właściwych organów dotyczący przeprowadzania kontroli podmiotów</w:t>
      </w:r>
      <w:r w:rsidR="00062BFA" w:rsidRPr="004F6DAA">
        <w:rPr>
          <w:noProof/>
        </w:rPr>
        <w:t xml:space="preserve"> i</w:t>
      </w:r>
      <w:r w:rsidR="00062BFA">
        <w:rPr>
          <w:noProof/>
        </w:rPr>
        <w:t> </w:t>
      </w:r>
      <w:r w:rsidR="00062BFA" w:rsidRPr="004F6DAA">
        <w:rPr>
          <w:noProof/>
        </w:rPr>
        <w:t>pod</w:t>
      </w:r>
      <w:r w:rsidRPr="004F6DAA">
        <w:rPr>
          <w:noProof/>
        </w:rPr>
        <w:t>miotów handlowych</w:t>
      </w:r>
      <w:r w:rsidR="00062BFA" w:rsidRPr="004F6DAA">
        <w:rPr>
          <w:noProof/>
        </w:rPr>
        <w:t xml:space="preserve"> w</w:t>
      </w:r>
      <w:r w:rsidR="00062BFA">
        <w:rPr>
          <w:noProof/>
        </w:rPr>
        <w:t> </w:t>
      </w:r>
      <w:r w:rsidR="00062BFA" w:rsidRPr="004F6DAA">
        <w:rPr>
          <w:noProof/>
        </w:rPr>
        <w:t>cel</w:t>
      </w:r>
      <w:r w:rsidRPr="004F6DAA">
        <w:rPr>
          <w:noProof/>
        </w:rPr>
        <w:t>u oceny przestrzegania przez nie wymogów należytej staranności,</w:t>
      </w:r>
      <w:r w:rsidR="00062BFA" w:rsidRPr="004F6DAA">
        <w:rPr>
          <w:noProof/>
        </w:rPr>
        <w:t xml:space="preserve"> a</w:t>
      </w:r>
      <w:r w:rsidR="00062BFA">
        <w:rPr>
          <w:noProof/>
        </w:rPr>
        <w:t> </w:t>
      </w:r>
      <w:r w:rsidR="00062BFA" w:rsidRPr="004F6DAA">
        <w:rPr>
          <w:noProof/>
        </w:rPr>
        <w:t>tak</w:t>
      </w:r>
      <w:r w:rsidRPr="004F6DAA">
        <w:rPr>
          <w:noProof/>
        </w:rPr>
        <w:t>że</w:t>
      </w:r>
      <w:r w:rsidR="00062BFA" w:rsidRPr="004F6DAA">
        <w:rPr>
          <w:noProof/>
        </w:rPr>
        <w:t xml:space="preserve"> w</w:t>
      </w:r>
      <w:r w:rsidR="00062BFA">
        <w:rPr>
          <w:noProof/>
        </w:rPr>
        <w:t> </w:t>
      </w:r>
      <w:r w:rsidR="00062BFA" w:rsidRPr="004F6DAA">
        <w:rPr>
          <w:noProof/>
        </w:rPr>
        <w:t>cel</w:t>
      </w:r>
      <w:r w:rsidRPr="004F6DAA">
        <w:rPr>
          <w:noProof/>
        </w:rPr>
        <w:t>u ustalenia, czy odnośne towary</w:t>
      </w:r>
      <w:r w:rsidR="00062BFA" w:rsidRPr="004F6DAA">
        <w:rPr>
          <w:noProof/>
        </w:rPr>
        <w:t xml:space="preserve"> i</w:t>
      </w:r>
      <w:r w:rsidR="00062BFA">
        <w:rPr>
          <w:noProof/>
        </w:rPr>
        <w:t> </w:t>
      </w:r>
      <w:r w:rsidR="00062BFA" w:rsidRPr="004F6DAA">
        <w:rPr>
          <w:noProof/>
        </w:rPr>
        <w:t>pro</w:t>
      </w:r>
      <w:r w:rsidRPr="004F6DAA">
        <w:rPr>
          <w:noProof/>
        </w:rPr>
        <w:t>dukty wprowadzane do obrotu w UE lub udostępniane na rynku unijnym bądź</w:t>
      </w:r>
      <w:r w:rsidR="00062BFA" w:rsidRPr="004F6DAA">
        <w:rPr>
          <w:noProof/>
        </w:rPr>
        <w:t xml:space="preserve"> z</w:t>
      </w:r>
      <w:r w:rsidR="00062BFA">
        <w:rPr>
          <w:noProof/>
        </w:rPr>
        <w:t> </w:t>
      </w:r>
      <w:r w:rsidR="00062BFA" w:rsidRPr="004F6DAA">
        <w:rPr>
          <w:noProof/>
        </w:rPr>
        <w:t>nie</w:t>
      </w:r>
      <w:r w:rsidRPr="004F6DAA">
        <w:rPr>
          <w:noProof/>
        </w:rPr>
        <w:t>go wywożone są zgodne</w:t>
      </w:r>
      <w:r w:rsidR="00062BFA" w:rsidRPr="004F6DAA">
        <w:rPr>
          <w:noProof/>
        </w:rPr>
        <w:t xml:space="preserve"> z</w:t>
      </w:r>
      <w:r w:rsidR="00062BFA">
        <w:rPr>
          <w:noProof/>
        </w:rPr>
        <w:t> </w:t>
      </w:r>
      <w:r w:rsidR="00062BFA" w:rsidRPr="004F6DAA">
        <w:rPr>
          <w:noProof/>
        </w:rPr>
        <w:t>roz</w:t>
      </w:r>
      <w:r w:rsidRPr="004F6DAA">
        <w:rPr>
          <w:noProof/>
        </w:rPr>
        <w:t>porządzeniem. Ust. 3 dotyczy planu opartego na analizie ryzyka, kluczowego narzędzia, które powinno służyć przeprowadzaniu kontroli przez właściwy organ</w:t>
      </w:r>
      <w:r w:rsidR="00062BFA" w:rsidRPr="004F6DAA">
        <w:rPr>
          <w:noProof/>
        </w:rPr>
        <w:t>. W</w:t>
      </w:r>
      <w:r w:rsidR="00062BFA">
        <w:rPr>
          <w:noProof/>
        </w:rPr>
        <w:t> </w:t>
      </w:r>
      <w:r w:rsidR="00062BFA" w:rsidRPr="004F6DAA">
        <w:rPr>
          <w:noProof/>
        </w:rPr>
        <w:t>pla</w:t>
      </w:r>
      <w:r w:rsidRPr="004F6DAA">
        <w:rPr>
          <w:noProof/>
        </w:rPr>
        <w:t>nach kontroli należy zawrzeć kryteria ryzyka</w:t>
      </w:r>
      <w:r w:rsidR="00062BFA" w:rsidRPr="004F6DAA">
        <w:rPr>
          <w:noProof/>
        </w:rPr>
        <w:t xml:space="preserve"> w</w:t>
      </w:r>
      <w:r w:rsidR="00062BFA">
        <w:rPr>
          <w:noProof/>
        </w:rPr>
        <w:t> </w:t>
      </w:r>
      <w:r w:rsidR="00062BFA" w:rsidRPr="004F6DAA">
        <w:rPr>
          <w:noProof/>
        </w:rPr>
        <w:t>cel</w:t>
      </w:r>
      <w:r w:rsidRPr="004F6DAA">
        <w:rPr>
          <w:noProof/>
        </w:rPr>
        <w:t>u przeprowadzania analizy ryzyka</w:t>
      </w:r>
      <w:r w:rsidR="00062BFA" w:rsidRPr="004F6DAA">
        <w:rPr>
          <w:noProof/>
        </w:rPr>
        <w:t xml:space="preserve"> w</w:t>
      </w:r>
      <w:r w:rsidR="00062BFA">
        <w:rPr>
          <w:noProof/>
        </w:rPr>
        <w:t> </w:t>
      </w:r>
      <w:r w:rsidR="00062BFA" w:rsidRPr="004F6DAA">
        <w:rPr>
          <w:noProof/>
        </w:rPr>
        <w:t>odn</w:t>
      </w:r>
      <w:r w:rsidRPr="004F6DAA">
        <w:rPr>
          <w:noProof/>
        </w:rPr>
        <w:t>iesieniu do oświadczeń</w:t>
      </w:r>
      <w:r w:rsidR="00062BFA" w:rsidRPr="004F6DAA">
        <w:rPr>
          <w:noProof/>
        </w:rPr>
        <w:t xml:space="preserve"> o</w:t>
      </w:r>
      <w:r w:rsidR="00062BFA">
        <w:rPr>
          <w:noProof/>
        </w:rPr>
        <w:t> </w:t>
      </w:r>
      <w:r w:rsidR="00062BFA" w:rsidRPr="004F6DAA">
        <w:rPr>
          <w:noProof/>
        </w:rPr>
        <w:t>zac</w:t>
      </w:r>
      <w:r w:rsidRPr="004F6DAA">
        <w:rPr>
          <w:noProof/>
        </w:rPr>
        <w:t>howaniu należytej staranności. Plany te należy poddawać regularnym przeglądom</w:t>
      </w:r>
      <w:r w:rsidR="00062BFA" w:rsidRPr="004F6DAA">
        <w:rPr>
          <w:noProof/>
        </w:rPr>
        <w:t xml:space="preserve"> w</w:t>
      </w:r>
      <w:r w:rsidR="00062BFA">
        <w:rPr>
          <w:noProof/>
        </w:rPr>
        <w:t> </w:t>
      </w:r>
      <w:r w:rsidR="00062BFA" w:rsidRPr="004F6DAA">
        <w:rPr>
          <w:noProof/>
        </w:rPr>
        <w:t>świ</w:t>
      </w:r>
      <w:r w:rsidRPr="004F6DAA">
        <w:rPr>
          <w:noProof/>
        </w:rPr>
        <w:t>etle wyników dotyczących ich realizacji. Podmioty</w:t>
      </w:r>
      <w:r w:rsidR="00062BFA" w:rsidRPr="004F6DAA">
        <w:rPr>
          <w:noProof/>
        </w:rPr>
        <w:t xml:space="preserve"> i</w:t>
      </w:r>
      <w:r w:rsidR="00062BFA">
        <w:rPr>
          <w:noProof/>
        </w:rPr>
        <w:t> </w:t>
      </w:r>
      <w:r w:rsidR="00062BFA" w:rsidRPr="004F6DAA">
        <w:rPr>
          <w:noProof/>
        </w:rPr>
        <w:t>pod</w:t>
      </w:r>
      <w:r w:rsidRPr="004F6DAA">
        <w:rPr>
          <w:noProof/>
        </w:rPr>
        <w:t>mioty handlowe, które stale osiągają dobre wyniki</w:t>
      </w:r>
      <w:r w:rsidR="00062BFA" w:rsidRPr="004F6DAA">
        <w:rPr>
          <w:noProof/>
        </w:rPr>
        <w:t xml:space="preserve"> w</w:t>
      </w:r>
      <w:r w:rsidR="00062BFA">
        <w:rPr>
          <w:noProof/>
        </w:rPr>
        <w:t> </w:t>
      </w:r>
      <w:r w:rsidR="00062BFA" w:rsidRPr="004F6DAA">
        <w:rPr>
          <w:noProof/>
        </w:rPr>
        <w:t>zak</w:t>
      </w:r>
      <w:r w:rsidRPr="004F6DAA">
        <w:rPr>
          <w:noProof/>
        </w:rPr>
        <w:t xml:space="preserve">resie przestrzegania przepisów, należy rzadziej poddawać kontrolom. </w:t>
      </w:r>
    </w:p>
    <w:p w14:paraId="47BDE0CD" w14:textId="77777777" w:rsidR="00DE3BCD" w:rsidRPr="004F6DAA" w:rsidRDefault="00DE3BCD" w:rsidP="00DE3BCD">
      <w:pPr>
        <w:pBdr>
          <w:top w:val="nil"/>
          <w:left w:val="nil"/>
          <w:bottom w:val="nil"/>
          <w:right w:val="nil"/>
          <w:between w:val="nil"/>
          <w:bar w:val="nil"/>
        </w:pBdr>
        <w:spacing w:before="0"/>
        <w:rPr>
          <w:noProof/>
        </w:rPr>
      </w:pPr>
      <w:r w:rsidRPr="004F6DAA">
        <w:rPr>
          <w:noProof/>
        </w:rPr>
        <w:t xml:space="preserve">W </w:t>
      </w:r>
      <w:r w:rsidRPr="00062BFA">
        <w:rPr>
          <w:noProof/>
        </w:rPr>
        <w:t>ust.</w:t>
      </w:r>
      <w:r w:rsidR="00062BFA" w:rsidRPr="00062BFA">
        <w:rPr>
          <w:noProof/>
        </w:rPr>
        <w:t> </w:t>
      </w:r>
      <w:r w:rsidRPr="00062BFA">
        <w:rPr>
          <w:noProof/>
        </w:rPr>
        <w:t>4</w:t>
      </w:r>
      <w:r w:rsidRPr="004F6DAA">
        <w:rPr>
          <w:noProof/>
        </w:rPr>
        <w:t xml:space="preserve"> nałożono na właściwe organy obowiązek przeprowadzania analizy ryzyka związanego</w:t>
      </w:r>
      <w:r w:rsidR="00062BFA" w:rsidRPr="004F6DAA">
        <w:rPr>
          <w:noProof/>
        </w:rPr>
        <w:t xml:space="preserve"> z</w:t>
      </w:r>
      <w:r w:rsidR="00062BFA">
        <w:rPr>
          <w:noProof/>
        </w:rPr>
        <w:t> </w:t>
      </w:r>
      <w:r w:rsidR="00062BFA" w:rsidRPr="004F6DAA">
        <w:rPr>
          <w:noProof/>
        </w:rPr>
        <w:t>ośw</w:t>
      </w:r>
      <w:r w:rsidRPr="004F6DAA">
        <w:rPr>
          <w:noProof/>
        </w:rPr>
        <w:t>iadczeniami</w:t>
      </w:r>
      <w:r w:rsidR="00062BFA" w:rsidRPr="004F6DAA">
        <w:rPr>
          <w:noProof/>
        </w:rPr>
        <w:t xml:space="preserve"> o</w:t>
      </w:r>
      <w:r w:rsidR="00062BFA">
        <w:rPr>
          <w:noProof/>
        </w:rPr>
        <w:t> </w:t>
      </w:r>
      <w:r w:rsidR="00062BFA" w:rsidRPr="004F6DAA">
        <w:rPr>
          <w:noProof/>
        </w:rPr>
        <w:t>zac</w:t>
      </w:r>
      <w:r w:rsidRPr="004F6DAA">
        <w:rPr>
          <w:noProof/>
        </w:rPr>
        <w:t>howaniu należytej staranności przy użyciu technik elektronicznego przetwarzania danych, które włączono do systemu informacyjnego ustanowionego</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 xml:space="preserve">1. </w:t>
      </w:r>
    </w:p>
    <w:p w14:paraId="5A65E1E7" w14:textId="77777777" w:rsidR="00DE3BCD" w:rsidRPr="004F6DAA" w:rsidRDefault="00DE3BCD" w:rsidP="00DE3BCD">
      <w:pPr>
        <w:pBdr>
          <w:top w:val="nil"/>
          <w:left w:val="nil"/>
          <w:bottom w:val="nil"/>
          <w:right w:val="nil"/>
          <w:between w:val="nil"/>
          <w:bar w:val="nil"/>
        </w:pBdr>
        <w:spacing w:before="0"/>
        <w:rPr>
          <w:noProof/>
        </w:rPr>
      </w:pPr>
      <w:r w:rsidRPr="004F6DAA">
        <w:rPr>
          <w:noProof/>
        </w:rPr>
        <w:t xml:space="preserve">W </w:t>
      </w:r>
      <w:r w:rsidRPr="00062BFA">
        <w:rPr>
          <w:noProof/>
        </w:rPr>
        <w:t>ust.</w:t>
      </w:r>
      <w:r w:rsidR="00062BFA" w:rsidRPr="00062BFA">
        <w:rPr>
          <w:noProof/>
        </w:rPr>
        <w:t> </w:t>
      </w:r>
      <w:r w:rsidRPr="00062BFA">
        <w:rPr>
          <w:noProof/>
        </w:rPr>
        <w:t>5</w:t>
      </w:r>
      <w:r w:rsidRPr="004F6DAA">
        <w:rPr>
          <w:noProof/>
        </w:rPr>
        <w:t xml:space="preserve"> określono, że analiza ryzyka powinna umożliwić właściwym organom identyfikowanie podmiotów lub podmiotów handlowych bądź odnośnych towarów</w:t>
      </w:r>
      <w:r w:rsidR="00062BFA" w:rsidRPr="004F6DAA">
        <w:rPr>
          <w:noProof/>
        </w:rPr>
        <w:t xml:space="preserve"> i</w:t>
      </w:r>
      <w:r w:rsidR="00062BFA">
        <w:rPr>
          <w:noProof/>
        </w:rPr>
        <w:t> </w:t>
      </w:r>
      <w:r w:rsidR="00062BFA" w:rsidRPr="004F6DAA">
        <w:rPr>
          <w:noProof/>
        </w:rPr>
        <w:t>pro</w:t>
      </w:r>
      <w:r w:rsidRPr="004F6DAA">
        <w:rPr>
          <w:noProof/>
        </w:rPr>
        <w:t>duktów, które należy poddać kontroli.</w:t>
      </w:r>
    </w:p>
    <w:p w14:paraId="1198350F" w14:textId="77777777" w:rsidR="00DE3BCD" w:rsidRPr="004F6DAA" w:rsidRDefault="00DE3BCD" w:rsidP="00DE3BCD">
      <w:pPr>
        <w:pBdr>
          <w:top w:val="nil"/>
          <w:left w:val="nil"/>
          <w:bottom w:val="nil"/>
          <w:right w:val="nil"/>
          <w:between w:val="nil"/>
          <w:bar w:val="nil"/>
        </w:pBdr>
        <w:spacing w:before="0"/>
        <w:rPr>
          <w:noProof/>
        </w:rPr>
      </w:pPr>
      <w:r w:rsidRPr="004F6DAA">
        <w:rPr>
          <w:noProof/>
        </w:rPr>
        <w:t xml:space="preserve">W </w:t>
      </w:r>
      <w:r w:rsidRPr="00062BFA">
        <w:rPr>
          <w:noProof/>
        </w:rPr>
        <w:t>ust.</w:t>
      </w:r>
      <w:r w:rsidR="00062BFA" w:rsidRPr="00062BFA">
        <w:rPr>
          <w:noProof/>
        </w:rPr>
        <w:t> </w:t>
      </w:r>
      <w:r w:rsidRPr="00062BFA">
        <w:rPr>
          <w:noProof/>
        </w:rPr>
        <w:t>6</w:t>
      </w:r>
      <w:r w:rsidRPr="004F6DAA">
        <w:rPr>
          <w:noProof/>
        </w:rPr>
        <w:t xml:space="preserve"> nałożono na właściwe organy obowiązek podjęcia natychmiastowych działań, jeżeli analiza ryzyka wykaże, że niektóre towary</w:t>
      </w:r>
      <w:r w:rsidR="00062BFA" w:rsidRPr="004F6DAA">
        <w:rPr>
          <w:noProof/>
        </w:rPr>
        <w:t xml:space="preserve"> i</w:t>
      </w:r>
      <w:r w:rsidR="00062BFA">
        <w:rPr>
          <w:noProof/>
        </w:rPr>
        <w:t> </w:t>
      </w:r>
      <w:r w:rsidR="00062BFA" w:rsidRPr="004F6DAA">
        <w:rPr>
          <w:noProof/>
        </w:rPr>
        <w:t>pro</w:t>
      </w:r>
      <w:r w:rsidRPr="004F6DAA">
        <w:rPr>
          <w:noProof/>
        </w:rPr>
        <w:t>dukty są obarczone wysokim ryzykiem niezgodności. Działania te mogą obejmować wprowadzenie środków tymczasowych zawieszających wprowadzanie towarów</w:t>
      </w:r>
      <w:r w:rsidR="00062BFA" w:rsidRPr="004F6DAA">
        <w:rPr>
          <w:noProof/>
        </w:rPr>
        <w:t xml:space="preserve"> i</w:t>
      </w:r>
      <w:r w:rsidR="00062BFA">
        <w:rPr>
          <w:noProof/>
        </w:rPr>
        <w:t> </w:t>
      </w:r>
      <w:r w:rsidR="00062BFA" w:rsidRPr="004F6DAA">
        <w:rPr>
          <w:noProof/>
        </w:rPr>
        <w:t>pro</w:t>
      </w:r>
      <w:r w:rsidRPr="004F6DAA">
        <w:rPr>
          <w:noProof/>
        </w:rPr>
        <w:t>duktów do obrotu lub ich udostępnianie na rynku</w:t>
      </w:r>
      <w:r w:rsidR="00062BFA" w:rsidRPr="004F6DAA">
        <w:rPr>
          <w:noProof/>
        </w:rPr>
        <w:t>. W</w:t>
      </w:r>
      <w:r w:rsidR="00062BFA">
        <w:rPr>
          <w:noProof/>
        </w:rPr>
        <w:t> </w:t>
      </w:r>
      <w:r w:rsidR="00062BFA" w:rsidRPr="004F6DAA">
        <w:rPr>
          <w:noProof/>
        </w:rPr>
        <w:t>prz</w:t>
      </w:r>
      <w:r w:rsidRPr="004F6DAA">
        <w:rPr>
          <w:noProof/>
        </w:rPr>
        <w:t>ypadku towarów wprowadzanych na rynek unijny lub</w:t>
      </w:r>
      <w:r w:rsidR="00062BFA" w:rsidRPr="004F6DAA">
        <w:rPr>
          <w:noProof/>
        </w:rPr>
        <w:t xml:space="preserve"> z</w:t>
      </w:r>
      <w:r w:rsidR="00062BFA">
        <w:rPr>
          <w:noProof/>
        </w:rPr>
        <w:t> </w:t>
      </w:r>
      <w:r w:rsidR="00062BFA" w:rsidRPr="004F6DAA">
        <w:rPr>
          <w:noProof/>
        </w:rPr>
        <w:t>nie</w:t>
      </w:r>
      <w:r w:rsidRPr="004F6DAA">
        <w:rPr>
          <w:noProof/>
        </w:rPr>
        <w:t>go wyprowadzanych oraz po uruchomieniu elektronicznego interfejsu określonego</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2</w:t>
      </w:r>
      <w:r w:rsidRPr="004F6DAA">
        <w:rPr>
          <w:noProof/>
        </w:rPr>
        <w:t xml:space="preserve">6 </w:t>
      </w:r>
      <w:r w:rsidRPr="00062BFA">
        <w:rPr>
          <w:noProof/>
        </w:rPr>
        <w:t>ust.</w:t>
      </w:r>
      <w:r w:rsidR="00062BFA" w:rsidRPr="00062BFA">
        <w:rPr>
          <w:noProof/>
        </w:rPr>
        <w:t> </w:t>
      </w:r>
      <w:r w:rsidRPr="00062BFA">
        <w:rPr>
          <w:noProof/>
        </w:rPr>
        <w:t>1</w:t>
      </w:r>
      <w:r w:rsidRPr="004F6DAA">
        <w:rPr>
          <w:noProof/>
        </w:rPr>
        <w:t xml:space="preserve"> właściwe organy mogą zwrócić się do organów celnych</w:t>
      </w:r>
      <w:r w:rsidR="00062BFA" w:rsidRPr="004F6DAA">
        <w:rPr>
          <w:noProof/>
        </w:rPr>
        <w:t xml:space="preserve"> o</w:t>
      </w:r>
      <w:r w:rsidR="00062BFA">
        <w:rPr>
          <w:noProof/>
        </w:rPr>
        <w:t> </w:t>
      </w:r>
      <w:r w:rsidR="00062BFA" w:rsidRPr="004F6DAA">
        <w:rPr>
          <w:noProof/>
        </w:rPr>
        <w:t>zaw</w:t>
      </w:r>
      <w:r w:rsidRPr="004F6DAA">
        <w:rPr>
          <w:noProof/>
        </w:rPr>
        <w:t xml:space="preserve">ieszenie dopuszczenia do obrotu lub wywozu towarów obarczonych wysokim ryzykiem. </w:t>
      </w:r>
    </w:p>
    <w:p w14:paraId="173847A2" w14:textId="77777777" w:rsidR="00DE3BCD" w:rsidRPr="004F6DAA" w:rsidRDefault="00DE3BCD" w:rsidP="00DE3BCD">
      <w:pPr>
        <w:pBdr>
          <w:top w:val="nil"/>
          <w:left w:val="nil"/>
          <w:bottom w:val="nil"/>
          <w:right w:val="nil"/>
          <w:between w:val="nil"/>
          <w:bar w:val="nil"/>
        </w:pBdr>
        <w:spacing w:before="0"/>
        <w:rPr>
          <w:noProof/>
        </w:rPr>
      </w:pPr>
      <w:r w:rsidRPr="004F6DAA">
        <w:rPr>
          <w:noProof/>
        </w:rPr>
        <w:t>Czasowe zawieszenie dotyczące towarów</w:t>
      </w:r>
      <w:r w:rsidR="00062BFA" w:rsidRPr="004F6DAA">
        <w:rPr>
          <w:noProof/>
        </w:rPr>
        <w:t xml:space="preserve"> i</w:t>
      </w:r>
      <w:r w:rsidR="00062BFA">
        <w:rPr>
          <w:noProof/>
        </w:rPr>
        <w:t> </w:t>
      </w:r>
      <w:r w:rsidR="00062BFA" w:rsidRPr="004F6DAA">
        <w:rPr>
          <w:noProof/>
        </w:rPr>
        <w:t>pro</w:t>
      </w:r>
      <w:r w:rsidRPr="004F6DAA">
        <w:rPr>
          <w:noProof/>
        </w:rPr>
        <w:t>duktów obarczonych wysokim ryzykiem powinno umożliwić właściwym organom przeprowadzenie niezbędnych kontroli zgodności takich towarów</w:t>
      </w:r>
      <w:r w:rsidR="00062BFA" w:rsidRPr="004F6DAA">
        <w:rPr>
          <w:noProof/>
        </w:rPr>
        <w:t xml:space="preserve"> i</w:t>
      </w:r>
      <w:r w:rsidR="00062BFA">
        <w:rPr>
          <w:noProof/>
        </w:rPr>
        <w:t> </w:t>
      </w:r>
      <w:r w:rsidR="00062BFA" w:rsidRPr="004F6DAA">
        <w:rPr>
          <w:noProof/>
        </w:rPr>
        <w:t>pro</w:t>
      </w:r>
      <w:r w:rsidRPr="004F6DAA">
        <w:rPr>
          <w:noProof/>
        </w:rPr>
        <w:t>duktów</w:t>
      </w:r>
      <w:r w:rsidR="00062BFA" w:rsidRPr="004F6DAA">
        <w:rPr>
          <w:noProof/>
        </w:rPr>
        <w:t>. W</w:t>
      </w:r>
      <w:r w:rsidR="00062BFA">
        <w:rPr>
          <w:noProof/>
        </w:rPr>
        <w:t> </w:t>
      </w:r>
      <w:r w:rsidR="00062BFA" w:rsidRPr="00062BFA">
        <w:rPr>
          <w:noProof/>
        </w:rPr>
        <w:t>ust</w:t>
      </w:r>
      <w:r w:rsidRPr="00062BFA">
        <w:rPr>
          <w:noProof/>
        </w:rPr>
        <w:t>.</w:t>
      </w:r>
      <w:r w:rsidR="00062BFA" w:rsidRPr="00062BFA">
        <w:rPr>
          <w:noProof/>
        </w:rPr>
        <w:t> </w:t>
      </w:r>
      <w:r w:rsidRPr="00062BFA">
        <w:rPr>
          <w:noProof/>
        </w:rPr>
        <w:t>7</w:t>
      </w:r>
      <w:r w:rsidRPr="004F6DAA">
        <w:rPr>
          <w:noProof/>
        </w:rPr>
        <w:t xml:space="preserve"> ustanowiono wstępny okres zawieszenia wynoszący 3 dni robocze, który można przedłużyć, jeżeli właściwe organy będą potrzebowały dodatkowego czasu. </w:t>
      </w:r>
    </w:p>
    <w:p w14:paraId="6520DAC1" w14:textId="77777777" w:rsidR="00DE3BCD" w:rsidRPr="004F6DAA" w:rsidRDefault="00DE3BCD" w:rsidP="00DE3BCD">
      <w:pPr>
        <w:pBdr>
          <w:top w:val="nil"/>
          <w:left w:val="nil"/>
          <w:bottom w:val="nil"/>
          <w:right w:val="nil"/>
          <w:between w:val="nil"/>
          <w:bar w:val="nil"/>
        </w:pBdr>
        <w:spacing w:before="0"/>
        <w:rPr>
          <w:noProof/>
        </w:rPr>
      </w:pPr>
      <w:r w:rsidRPr="004F6DAA">
        <w:rPr>
          <w:noProof/>
        </w:rPr>
        <w:t xml:space="preserve">W </w:t>
      </w:r>
      <w:r w:rsidRPr="00062BFA">
        <w:rPr>
          <w:noProof/>
        </w:rPr>
        <w:t>ust.</w:t>
      </w:r>
      <w:r w:rsidR="00062BFA" w:rsidRPr="00062BFA">
        <w:rPr>
          <w:noProof/>
        </w:rPr>
        <w:t> </w:t>
      </w:r>
      <w:r w:rsidRPr="00062BFA">
        <w:rPr>
          <w:noProof/>
        </w:rPr>
        <w:t>8</w:t>
      </w:r>
      <w:r w:rsidRPr="004F6DAA">
        <w:rPr>
          <w:noProof/>
        </w:rPr>
        <w:t xml:space="preserve"> nałożono na właściwe organy obowiązek wymiany informacji</w:t>
      </w:r>
      <w:r w:rsidR="00062BFA" w:rsidRPr="004F6DAA">
        <w:rPr>
          <w:noProof/>
        </w:rPr>
        <w:t xml:space="preserve"> i</w:t>
      </w:r>
      <w:r w:rsidR="00062BFA">
        <w:rPr>
          <w:noProof/>
        </w:rPr>
        <w:t> </w:t>
      </w:r>
      <w:r w:rsidR="00062BFA" w:rsidRPr="004F6DAA">
        <w:rPr>
          <w:noProof/>
        </w:rPr>
        <w:t>koo</w:t>
      </w:r>
      <w:r w:rsidRPr="004F6DAA">
        <w:rPr>
          <w:noProof/>
        </w:rPr>
        <w:t>rdynowania opracowywania kryteriów ryzyka zawartych</w:t>
      </w:r>
      <w:r w:rsidR="00062BFA" w:rsidRPr="004F6DAA">
        <w:rPr>
          <w:noProof/>
        </w:rPr>
        <w:t xml:space="preserve"> w</w:t>
      </w:r>
      <w:r w:rsidR="00062BFA">
        <w:rPr>
          <w:noProof/>
        </w:rPr>
        <w:t> </w:t>
      </w:r>
      <w:r w:rsidR="00062BFA" w:rsidRPr="004F6DAA">
        <w:rPr>
          <w:noProof/>
        </w:rPr>
        <w:t>pla</w:t>
      </w:r>
      <w:r w:rsidRPr="004F6DAA">
        <w:rPr>
          <w:noProof/>
        </w:rPr>
        <w:t>nach kontroli. Powinno to ułatwić jednolite stosowanie rozporządzenia</w:t>
      </w:r>
      <w:r w:rsidR="00062BFA" w:rsidRPr="004F6DAA">
        <w:rPr>
          <w:noProof/>
        </w:rPr>
        <w:t xml:space="preserve"> i</w:t>
      </w:r>
      <w:r w:rsidR="00062BFA">
        <w:rPr>
          <w:noProof/>
        </w:rPr>
        <w:t> </w:t>
      </w:r>
      <w:r w:rsidR="00062BFA" w:rsidRPr="004F6DAA">
        <w:rPr>
          <w:noProof/>
        </w:rPr>
        <w:t>pop</w:t>
      </w:r>
      <w:r w:rsidRPr="004F6DAA">
        <w:rPr>
          <w:noProof/>
        </w:rPr>
        <w:t xml:space="preserve">rawić jego skuteczność. </w:t>
      </w:r>
    </w:p>
    <w:p w14:paraId="38751433" w14:textId="77777777" w:rsidR="00DE3BCD" w:rsidRPr="004F6DAA" w:rsidRDefault="00DE3BCD" w:rsidP="00DE3BCD">
      <w:pPr>
        <w:pBdr>
          <w:top w:val="nil"/>
          <w:left w:val="nil"/>
          <w:bottom w:val="nil"/>
          <w:right w:val="nil"/>
          <w:between w:val="nil"/>
          <w:bar w:val="nil"/>
        </w:pBdr>
        <w:spacing w:before="0"/>
        <w:rPr>
          <w:noProof/>
        </w:rPr>
      </w:pPr>
      <w:r w:rsidRPr="004F6DAA">
        <w:rPr>
          <w:noProof/>
        </w:rPr>
        <w:t xml:space="preserve">W </w:t>
      </w:r>
      <w:r w:rsidRPr="00062BFA">
        <w:rPr>
          <w:noProof/>
        </w:rPr>
        <w:t>ust.</w:t>
      </w:r>
      <w:r w:rsidR="00062BFA" w:rsidRPr="00062BFA">
        <w:rPr>
          <w:noProof/>
        </w:rPr>
        <w:t> </w:t>
      </w:r>
      <w:r w:rsidRPr="00062BFA">
        <w:rPr>
          <w:noProof/>
        </w:rPr>
        <w:t>9</w:t>
      </w:r>
      <w:r w:rsidRPr="004F6DAA">
        <w:rPr>
          <w:noProof/>
        </w:rPr>
        <w:t xml:space="preserve"> nałożono na państwa członkowskie istotny obowiązek zapewnienia skutecznych kontroli przeprowadzanych przez ich właściwe organy. Dwa stosowane parametry zapewniają, by określona liczba podmiotów</w:t>
      </w:r>
      <w:r w:rsidR="00062BFA" w:rsidRPr="004F6DAA">
        <w:rPr>
          <w:noProof/>
        </w:rPr>
        <w:t xml:space="preserve"> i</w:t>
      </w:r>
      <w:r w:rsidR="00062BFA">
        <w:rPr>
          <w:noProof/>
        </w:rPr>
        <w:t> </w:t>
      </w:r>
      <w:r w:rsidR="00062BFA" w:rsidRPr="004F6DAA">
        <w:rPr>
          <w:noProof/>
        </w:rPr>
        <w:t>pod</w:t>
      </w:r>
      <w:r w:rsidRPr="004F6DAA">
        <w:rPr>
          <w:noProof/>
        </w:rPr>
        <w:t>miotów handlowych została poddana kontroli, przy jednoczesnym wymogu określonego odsetka wartości rynkowej</w:t>
      </w:r>
      <w:r w:rsidR="00062BFA" w:rsidRPr="004F6DAA">
        <w:rPr>
          <w:noProof/>
        </w:rPr>
        <w:t xml:space="preserve"> w</w:t>
      </w:r>
      <w:r w:rsidR="00062BFA">
        <w:rPr>
          <w:noProof/>
        </w:rPr>
        <w:t> </w:t>
      </w:r>
      <w:r w:rsidR="00062BFA" w:rsidRPr="004F6DAA">
        <w:rPr>
          <w:noProof/>
        </w:rPr>
        <w:t>każ</w:t>
      </w:r>
      <w:r w:rsidRPr="004F6DAA">
        <w:rPr>
          <w:noProof/>
        </w:rPr>
        <w:t>dej kategorii towarów</w:t>
      </w:r>
      <w:r w:rsidR="00062BFA" w:rsidRPr="004F6DAA">
        <w:rPr>
          <w:noProof/>
        </w:rPr>
        <w:t xml:space="preserve"> i</w:t>
      </w:r>
      <w:r w:rsidR="00062BFA">
        <w:rPr>
          <w:noProof/>
        </w:rPr>
        <w:t> </w:t>
      </w:r>
      <w:r w:rsidR="00062BFA" w:rsidRPr="004F6DAA">
        <w:rPr>
          <w:noProof/>
        </w:rPr>
        <w:t>pro</w:t>
      </w:r>
      <w:r w:rsidRPr="004F6DAA">
        <w:rPr>
          <w:noProof/>
        </w:rPr>
        <w:t>duktów. Podejścia jednowymiarowe, takie jak kontrola kilku podmiotów</w:t>
      </w:r>
      <w:r w:rsidR="00062BFA" w:rsidRPr="004F6DAA">
        <w:rPr>
          <w:noProof/>
        </w:rPr>
        <w:t xml:space="preserve"> i</w:t>
      </w:r>
      <w:r w:rsidR="00062BFA">
        <w:rPr>
          <w:noProof/>
        </w:rPr>
        <w:t> </w:t>
      </w:r>
      <w:r w:rsidR="00062BFA" w:rsidRPr="004F6DAA">
        <w:rPr>
          <w:noProof/>
        </w:rPr>
        <w:t>pod</w:t>
      </w:r>
      <w:r w:rsidRPr="004F6DAA">
        <w:rPr>
          <w:noProof/>
        </w:rPr>
        <w:t>miotów handlowych mających duży udział</w:t>
      </w:r>
      <w:r w:rsidR="00062BFA" w:rsidRPr="004F6DAA">
        <w:rPr>
          <w:noProof/>
        </w:rPr>
        <w:t xml:space="preserve"> w</w:t>
      </w:r>
      <w:r w:rsidR="00062BFA">
        <w:rPr>
          <w:noProof/>
        </w:rPr>
        <w:t> </w:t>
      </w:r>
      <w:r w:rsidR="00062BFA" w:rsidRPr="004F6DAA">
        <w:rPr>
          <w:noProof/>
        </w:rPr>
        <w:t>ryn</w:t>
      </w:r>
      <w:r w:rsidRPr="004F6DAA">
        <w:rPr>
          <w:noProof/>
        </w:rPr>
        <w:t>ku lub kontrola większej liczby małych podmiotów</w:t>
      </w:r>
      <w:r w:rsidR="00062BFA" w:rsidRPr="004F6DAA">
        <w:rPr>
          <w:noProof/>
        </w:rPr>
        <w:t xml:space="preserve"> i</w:t>
      </w:r>
      <w:r w:rsidR="00062BFA">
        <w:rPr>
          <w:noProof/>
        </w:rPr>
        <w:t> </w:t>
      </w:r>
      <w:r w:rsidR="00062BFA" w:rsidRPr="004F6DAA">
        <w:rPr>
          <w:noProof/>
        </w:rPr>
        <w:t>pod</w:t>
      </w:r>
      <w:r w:rsidRPr="004F6DAA">
        <w:rPr>
          <w:noProof/>
        </w:rPr>
        <w:t>miotów handlowych</w:t>
      </w:r>
      <w:r w:rsidR="00062BFA" w:rsidRPr="004F6DAA">
        <w:rPr>
          <w:noProof/>
        </w:rPr>
        <w:t xml:space="preserve"> o</w:t>
      </w:r>
      <w:r w:rsidR="00062BFA">
        <w:rPr>
          <w:noProof/>
        </w:rPr>
        <w:t> </w:t>
      </w:r>
      <w:r w:rsidR="00062BFA" w:rsidRPr="004F6DAA">
        <w:rPr>
          <w:noProof/>
        </w:rPr>
        <w:t>zni</w:t>
      </w:r>
      <w:r w:rsidRPr="004F6DAA">
        <w:rPr>
          <w:noProof/>
        </w:rPr>
        <w:t>komym udziale</w:t>
      </w:r>
      <w:r w:rsidR="00062BFA" w:rsidRPr="004F6DAA">
        <w:rPr>
          <w:noProof/>
        </w:rPr>
        <w:t xml:space="preserve"> w</w:t>
      </w:r>
      <w:r w:rsidR="00062BFA">
        <w:rPr>
          <w:noProof/>
        </w:rPr>
        <w:t> </w:t>
      </w:r>
      <w:r w:rsidR="00062BFA" w:rsidRPr="004F6DAA">
        <w:rPr>
          <w:noProof/>
        </w:rPr>
        <w:t>ryn</w:t>
      </w:r>
      <w:r w:rsidRPr="004F6DAA">
        <w:rPr>
          <w:noProof/>
        </w:rPr>
        <w:t>ku, nie zapewniłyby niniejszemu rozporządzeniu niezbędnej skuteczności</w:t>
      </w:r>
      <w:r w:rsidR="00062BFA" w:rsidRPr="004F6DAA">
        <w:rPr>
          <w:noProof/>
        </w:rPr>
        <w:t xml:space="preserve"> i</w:t>
      </w:r>
      <w:r w:rsidR="00062BFA">
        <w:rPr>
          <w:noProof/>
        </w:rPr>
        <w:t> </w:t>
      </w:r>
      <w:r w:rsidR="00062BFA" w:rsidRPr="004F6DAA">
        <w:rPr>
          <w:noProof/>
        </w:rPr>
        <w:t>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tym</w:t>
      </w:r>
      <w:r w:rsidRPr="004F6DAA">
        <w:rPr>
          <w:noProof/>
        </w:rPr>
        <w:t xml:space="preserve"> zostały wykluczone</w:t>
      </w:r>
      <w:r w:rsidR="00062BFA" w:rsidRPr="004F6DAA">
        <w:rPr>
          <w:noProof/>
        </w:rPr>
        <w:t xml:space="preserve"> w</w:t>
      </w:r>
      <w:r w:rsidR="00062BFA">
        <w:rPr>
          <w:noProof/>
        </w:rPr>
        <w:t> </w:t>
      </w:r>
      <w:r w:rsidR="00062BFA" w:rsidRPr="00062BFA">
        <w:rPr>
          <w:noProof/>
        </w:rPr>
        <w:t>ust</w:t>
      </w:r>
      <w:r w:rsidRPr="00062BFA">
        <w:rPr>
          <w:noProof/>
        </w:rPr>
        <w:t>.</w:t>
      </w:r>
      <w:r w:rsidR="00062BFA" w:rsidRPr="00062BFA">
        <w:rPr>
          <w:noProof/>
        </w:rPr>
        <w:t> </w:t>
      </w:r>
      <w:r w:rsidRPr="00062BFA">
        <w:rPr>
          <w:noProof/>
        </w:rPr>
        <w:t>5</w:t>
      </w:r>
      <w:r w:rsidRPr="004F6DAA">
        <w:rPr>
          <w:noProof/>
        </w:rPr>
        <w:t xml:space="preserve">. Odsetkowy zakres jest konieczny, aby umożliwić kompleksową kontrolę rynku zniechęcającą do potencjalnych naruszeń. </w:t>
      </w:r>
    </w:p>
    <w:p w14:paraId="7E94CC8E" w14:textId="77777777" w:rsidR="00DE3BCD" w:rsidRPr="004F6DAA" w:rsidRDefault="00DE3BCD" w:rsidP="00DE3BCD">
      <w:pPr>
        <w:pBdr>
          <w:top w:val="nil"/>
          <w:left w:val="nil"/>
          <w:bottom w:val="nil"/>
          <w:right w:val="nil"/>
          <w:between w:val="nil"/>
          <w:bar w:val="nil"/>
        </w:pBdr>
        <w:spacing w:before="0"/>
        <w:rPr>
          <w:noProof/>
        </w:rPr>
      </w:pPr>
      <w:r w:rsidRPr="004F6DAA">
        <w:rPr>
          <w:noProof/>
        </w:rPr>
        <w:t>Ust. 10 odnosi się do systemu wskaźników dla poszczególnych krajów</w:t>
      </w:r>
      <w:r w:rsidR="00062BFA" w:rsidRPr="004F6DAA">
        <w:rPr>
          <w:noProof/>
        </w:rPr>
        <w:t xml:space="preserve"> i</w:t>
      </w:r>
      <w:r w:rsidR="00062BFA">
        <w:rPr>
          <w:noProof/>
        </w:rPr>
        <w:t> </w:t>
      </w:r>
      <w:r w:rsidR="00062BFA" w:rsidRPr="004F6DAA">
        <w:rPr>
          <w:noProof/>
        </w:rPr>
        <w:t>prz</w:t>
      </w:r>
      <w:r w:rsidRPr="004F6DAA">
        <w:rPr>
          <w:noProof/>
        </w:rPr>
        <w:t>ewiduje konieczność wzmocnionej kontroli (</w:t>
      </w:r>
      <w:r w:rsidRPr="00062BFA">
        <w:rPr>
          <w:noProof/>
        </w:rPr>
        <w:t>art.</w:t>
      </w:r>
      <w:r w:rsidR="00062BFA" w:rsidRPr="00062BFA">
        <w:rPr>
          <w:noProof/>
        </w:rPr>
        <w:t> </w:t>
      </w:r>
      <w:r w:rsidRPr="00062BFA">
        <w:rPr>
          <w:noProof/>
        </w:rPr>
        <w:t>2</w:t>
      </w:r>
      <w:r w:rsidRPr="004F6DAA">
        <w:rPr>
          <w:noProof/>
        </w:rPr>
        <w:t>0) przeprowadzanej przez właściwe organy</w:t>
      </w:r>
      <w:r w:rsidR="00062BFA" w:rsidRPr="004F6DAA">
        <w:rPr>
          <w:noProof/>
        </w:rPr>
        <w:t xml:space="preserve"> w</w:t>
      </w:r>
      <w:r w:rsidR="00062BFA">
        <w:rPr>
          <w:noProof/>
        </w:rPr>
        <w:t> </w:t>
      </w:r>
      <w:r w:rsidR="00062BFA" w:rsidRPr="004F6DAA">
        <w:rPr>
          <w:noProof/>
        </w:rPr>
        <w:t>odn</w:t>
      </w:r>
      <w:r w:rsidRPr="004F6DAA">
        <w:rPr>
          <w:noProof/>
        </w:rPr>
        <w:t>iesieniu do towarów</w:t>
      </w:r>
      <w:r w:rsidR="00062BFA" w:rsidRPr="004F6DAA">
        <w:rPr>
          <w:noProof/>
        </w:rPr>
        <w:t xml:space="preserve"> i</w:t>
      </w:r>
      <w:r w:rsidR="00062BFA">
        <w:rPr>
          <w:noProof/>
        </w:rPr>
        <w:t> </w:t>
      </w:r>
      <w:r w:rsidR="00062BFA" w:rsidRPr="004F6DAA">
        <w:rPr>
          <w:noProof/>
        </w:rPr>
        <w:t>pro</w:t>
      </w:r>
      <w:r w:rsidRPr="004F6DAA">
        <w:rPr>
          <w:noProof/>
        </w:rPr>
        <w:t>duktów wyprodukowanych</w:t>
      </w:r>
      <w:r w:rsidR="00062BFA" w:rsidRPr="004F6DAA">
        <w:rPr>
          <w:noProof/>
        </w:rPr>
        <w:t xml:space="preserve"> w</w:t>
      </w:r>
      <w:r w:rsidR="00062BFA">
        <w:rPr>
          <w:noProof/>
        </w:rPr>
        <w:t> </w:t>
      </w:r>
      <w:r w:rsidR="00062BFA" w:rsidRPr="004F6DAA">
        <w:rPr>
          <w:noProof/>
        </w:rPr>
        <w:t>kra</w:t>
      </w:r>
      <w:r w:rsidRPr="004F6DAA">
        <w:rPr>
          <w:noProof/>
        </w:rPr>
        <w:t>jach wysokiego ryzyka lub ich częściach</w:t>
      </w:r>
      <w:r w:rsidR="00062BFA" w:rsidRPr="004F6DAA">
        <w:rPr>
          <w:noProof/>
        </w:rPr>
        <w:t>. W</w:t>
      </w:r>
      <w:r w:rsidR="00062BFA">
        <w:rPr>
          <w:noProof/>
        </w:rPr>
        <w:t> </w:t>
      </w:r>
      <w:r w:rsidR="00062BFA" w:rsidRPr="004F6DAA">
        <w:rPr>
          <w:noProof/>
        </w:rPr>
        <w:t>ten</w:t>
      </w:r>
      <w:r w:rsidRPr="004F6DAA">
        <w:rPr>
          <w:noProof/>
        </w:rPr>
        <w:t xml:space="preserve"> sposób łączy obowiązki właściwych organów</w:t>
      </w:r>
      <w:r w:rsidR="00062BFA" w:rsidRPr="004F6DAA">
        <w:rPr>
          <w:noProof/>
        </w:rPr>
        <w:t xml:space="preserve"> z</w:t>
      </w:r>
      <w:r w:rsidR="00062BFA">
        <w:rPr>
          <w:noProof/>
        </w:rPr>
        <w:t> </w:t>
      </w:r>
      <w:r w:rsidR="00062BFA" w:rsidRPr="004F6DAA">
        <w:rPr>
          <w:noProof/>
        </w:rPr>
        <w:t>trz</w:t>
      </w:r>
      <w:r w:rsidRPr="004F6DAA">
        <w:rPr>
          <w:noProof/>
        </w:rPr>
        <w:t>ystopniowym systemem wskaźników (o którym mowa</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2</w:t>
      </w:r>
      <w:r w:rsidRPr="004F6DAA">
        <w:rPr>
          <w:noProof/>
        </w:rPr>
        <w:t>7).</w:t>
      </w:r>
    </w:p>
    <w:p w14:paraId="2D78503C" w14:textId="77777777" w:rsidR="00DE3BCD" w:rsidRPr="004F6DAA" w:rsidRDefault="00DE3BCD" w:rsidP="00DE3BCD">
      <w:pPr>
        <w:pBdr>
          <w:top w:val="nil"/>
          <w:left w:val="nil"/>
          <w:bottom w:val="nil"/>
          <w:right w:val="nil"/>
          <w:between w:val="nil"/>
          <w:bar w:val="nil"/>
        </w:pBdr>
        <w:rPr>
          <w:noProof/>
        </w:rPr>
      </w:pPr>
      <w:r w:rsidRPr="004F6DAA">
        <w:rPr>
          <w:noProof/>
        </w:rPr>
        <w:t>Niezależnie od znaczenia kontroli przeprowadzanych zgodnie</w:t>
      </w:r>
      <w:r w:rsidR="00062BFA" w:rsidRPr="004F6DAA">
        <w:rPr>
          <w:noProof/>
        </w:rPr>
        <w:t xml:space="preserve"> z</w:t>
      </w:r>
      <w:r w:rsidR="00062BFA">
        <w:rPr>
          <w:noProof/>
        </w:rPr>
        <w:t> </w:t>
      </w:r>
      <w:r w:rsidR="00062BFA" w:rsidRPr="004F6DAA">
        <w:rPr>
          <w:noProof/>
        </w:rPr>
        <w:t>ich</w:t>
      </w:r>
      <w:r w:rsidRPr="004F6DAA">
        <w:rPr>
          <w:noProof/>
        </w:rPr>
        <w:t xml:space="preserve"> planem opartym na analizie ryzyka,</w:t>
      </w:r>
      <w:r w:rsidR="00062BFA" w:rsidRPr="004F6DAA">
        <w:rPr>
          <w:noProof/>
        </w:rPr>
        <w:t xml:space="preserve"> w</w:t>
      </w:r>
      <w:r w:rsidR="00062BFA">
        <w:rPr>
          <w:noProof/>
        </w:rPr>
        <w:t> </w:t>
      </w:r>
      <w:r w:rsidR="00062BFA" w:rsidRPr="00062BFA">
        <w:rPr>
          <w:noProof/>
        </w:rPr>
        <w:t>ust</w:t>
      </w:r>
      <w:r w:rsidRPr="00062BFA">
        <w:rPr>
          <w:noProof/>
        </w:rPr>
        <w:t>.</w:t>
      </w:r>
      <w:r w:rsidR="00062BFA" w:rsidRPr="00062BFA">
        <w:rPr>
          <w:noProof/>
        </w:rPr>
        <w:t> </w:t>
      </w:r>
      <w:r w:rsidRPr="00062BFA">
        <w:rPr>
          <w:noProof/>
        </w:rPr>
        <w:t>1</w:t>
      </w:r>
      <w:r w:rsidRPr="004F6DAA">
        <w:rPr>
          <w:noProof/>
        </w:rPr>
        <w:t>1 wyjaśniono, że właściwe organy przeprowadzają również kontrole poza zakresem tych planów, jeżeli wejdą one</w:t>
      </w:r>
      <w:r w:rsidR="00062BFA" w:rsidRPr="004F6DAA">
        <w:rPr>
          <w:noProof/>
        </w:rPr>
        <w:t xml:space="preserve"> w</w:t>
      </w:r>
      <w:r w:rsidR="00062BFA">
        <w:rPr>
          <w:noProof/>
        </w:rPr>
        <w:t> </w:t>
      </w:r>
      <w:r w:rsidR="00062BFA" w:rsidRPr="004F6DAA">
        <w:rPr>
          <w:noProof/>
        </w:rPr>
        <w:t>pos</w:t>
      </w:r>
      <w:r w:rsidRPr="004F6DAA">
        <w:rPr>
          <w:noProof/>
        </w:rPr>
        <w:t>iadanie dowodów lub innych istotnych informacji dotyczących potencjalnej niezgodności</w:t>
      </w:r>
      <w:r w:rsidR="00062BFA" w:rsidRPr="004F6DAA">
        <w:rPr>
          <w:noProof/>
        </w:rPr>
        <w:t xml:space="preserve"> z</w:t>
      </w:r>
      <w:r w:rsidR="00062BFA">
        <w:rPr>
          <w:noProof/>
        </w:rPr>
        <w:t> </w:t>
      </w:r>
      <w:r w:rsidR="00062BFA" w:rsidRPr="004F6DAA">
        <w:rPr>
          <w:noProof/>
        </w:rPr>
        <w:t>nin</w:t>
      </w:r>
      <w:r w:rsidRPr="004F6DAA">
        <w:rPr>
          <w:noProof/>
        </w:rPr>
        <w:t>iejszym rozporządzeniem.</w:t>
      </w:r>
    </w:p>
    <w:p w14:paraId="7BAACFF5" w14:textId="77777777" w:rsidR="00DE3BCD" w:rsidRPr="004F6DAA" w:rsidRDefault="00DE3BCD" w:rsidP="00DE3BCD">
      <w:pPr>
        <w:pStyle w:val="Bullet1"/>
        <w:rPr>
          <w:i/>
          <w:noProof/>
        </w:rPr>
      </w:pPr>
      <w:r w:rsidRPr="004F6DAA">
        <w:rPr>
          <w:i/>
          <w:noProof/>
        </w:rPr>
        <w:t>Artykuł 15: Kontrole podmiotów</w:t>
      </w:r>
    </w:p>
    <w:p w14:paraId="62F8D2C0" w14:textId="77777777" w:rsidR="00DE3BCD" w:rsidRPr="004F6DAA" w:rsidRDefault="00DE3BCD" w:rsidP="00DE3BCD">
      <w:pPr>
        <w:pBdr>
          <w:top w:val="nil"/>
          <w:left w:val="nil"/>
          <w:bottom w:val="nil"/>
          <w:right w:val="nil"/>
          <w:between w:val="nil"/>
          <w:bar w:val="nil"/>
        </w:pBdr>
        <w:spacing w:before="0"/>
        <w:rPr>
          <w:noProof/>
        </w:rPr>
      </w:pPr>
      <w:r w:rsidRPr="004F6DAA">
        <w:rPr>
          <w:noProof/>
        </w:rPr>
        <w:t>W artykule tym wprowadzono obowiązek właściwych organów dotyczący kontroli, które należy przeprowadzać</w:t>
      </w:r>
      <w:r w:rsidR="00062BFA" w:rsidRPr="004F6DAA">
        <w:rPr>
          <w:noProof/>
        </w:rPr>
        <w:t xml:space="preserve"> w</w:t>
      </w:r>
      <w:r w:rsidR="00062BFA">
        <w:rPr>
          <w:noProof/>
        </w:rPr>
        <w:t> </w:t>
      </w:r>
      <w:r w:rsidR="00062BFA" w:rsidRPr="004F6DAA">
        <w:rPr>
          <w:noProof/>
        </w:rPr>
        <w:t>sto</w:t>
      </w:r>
      <w:r w:rsidRPr="004F6DAA">
        <w:rPr>
          <w:noProof/>
        </w:rPr>
        <w:t xml:space="preserve">sunku do podmiotów. Opiera się on na </w:t>
      </w:r>
      <w:r w:rsidRPr="00062BFA">
        <w:rPr>
          <w:noProof/>
        </w:rPr>
        <w:t>art.</w:t>
      </w:r>
      <w:r w:rsidR="00062BFA" w:rsidRPr="00062BFA">
        <w:rPr>
          <w:noProof/>
        </w:rPr>
        <w:t> </w:t>
      </w:r>
      <w:r w:rsidRPr="00062BFA">
        <w:rPr>
          <w:noProof/>
        </w:rPr>
        <w:t>1</w:t>
      </w:r>
      <w:r w:rsidRPr="004F6DAA">
        <w:rPr>
          <w:noProof/>
        </w:rPr>
        <w:t xml:space="preserve">0 </w:t>
      </w:r>
      <w:r w:rsidRPr="00062BFA">
        <w:rPr>
          <w:noProof/>
        </w:rPr>
        <w:t>ust.</w:t>
      </w:r>
      <w:r w:rsidR="00062BFA" w:rsidRPr="00062BFA">
        <w:rPr>
          <w:noProof/>
        </w:rPr>
        <w:t> </w:t>
      </w:r>
      <w:r w:rsidRPr="00062BFA">
        <w:rPr>
          <w:noProof/>
        </w:rPr>
        <w:t>3</w:t>
      </w:r>
      <w:r w:rsidRPr="004F6DAA">
        <w:rPr>
          <w:noProof/>
        </w:rPr>
        <w:t xml:space="preserve"> rozporządzenia</w:t>
      </w:r>
      <w:r w:rsidR="00062BFA" w:rsidRPr="004F6DAA">
        <w:rPr>
          <w:noProof/>
        </w:rPr>
        <w:t xml:space="preserve"> w</w:t>
      </w:r>
      <w:r w:rsidR="00062BFA">
        <w:rPr>
          <w:noProof/>
        </w:rPr>
        <w:t> </w:t>
      </w:r>
      <w:r w:rsidR="00062BFA" w:rsidRPr="004F6DAA">
        <w:rPr>
          <w:noProof/>
        </w:rPr>
        <w:t>spr</w:t>
      </w:r>
      <w:r w:rsidRPr="004F6DAA">
        <w:rPr>
          <w:noProof/>
        </w:rPr>
        <w:t>awie drewna, jednak zapewnia dodatkową przejrzystość</w:t>
      </w:r>
      <w:r w:rsidR="00062BFA" w:rsidRPr="004F6DAA">
        <w:rPr>
          <w:noProof/>
        </w:rPr>
        <w:t xml:space="preserve"> i</w:t>
      </w:r>
      <w:r w:rsidR="00062BFA">
        <w:rPr>
          <w:noProof/>
        </w:rPr>
        <w:t> </w:t>
      </w:r>
      <w:r w:rsidR="00062BFA" w:rsidRPr="004F6DAA">
        <w:rPr>
          <w:noProof/>
        </w:rPr>
        <w:t>wyt</w:t>
      </w:r>
      <w:r w:rsidRPr="004F6DAA">
        <w:rPr>
          <w:noProof/>
        </w:rPr>
        <w:t>yczne dotyczące szczegółowych kryteriów kontroli przeprowadzanych przez właściwy organ</w:t>
      </w:r>
      <w:r w:rsidR="00062BFA" w:rsidRPr="004F6DAA">
        <w:rPr>
          <w:noProof/>
        </w:rPr>
        <w:t xml:space="preserve"> w</w:t>
      </w:r>
      <w:r w:rsidR="00062BFA">
        <w:rPr>
          <w:noProof/>
        </w:rPr>
        <w:t> </w:t>
      </w:r>
      <w:r w:rsidR="00062BFA" w:rsidRPr="004F6DAA">
        <w:rPr>
          <w:noProof/>
        </w:rPr>
        <w:t>cel</w:t>
      </w:r>
      <w:r w:rsidRPr="004F6DAA">
        <w:rPr>
          <w:noProof/>
        </w:rPr>
        <w:t>u skuteczniejszej analizy odpowiedniej dokumentacji stosowanego systemu zasad należytej staranności oraz lepszej oceny ryzyka niezgodności. Jasne standardy kontroli zgodności dla właściwych organów stanowią zasadniczy element zapewniający skuteczne</w:t>
      </w:r>
      <w:r w:rsidR="00062BFA" w:rsidRPr="004F6DAA">
        <w:rPr>
          <w:noProof/>
        </w:rPr>
        <w:t xml:space="preserve"> i</w:t>
      </w:r>
      <w:r w:rsidR="00062BFA">
        <w:rPr>
          <w:noProof/>
        </w:rPr>
        <w:t> </w:t>
      </w:r>
      <w:r w:rsidR="00062BFA" w:rsidRPr="004F6DAA">
        <w:rPr>
          <w:noProof/>
        </w:rPr>
        <w:t>jed</w:t>
      </w:r>
      <w:r w:rsidRPr="004F6DAA">
        <w:rPr>
          <w:noProof/>
        </w:rPr>
        <w:t>nolite stosowanie niniejszego rozporządzenia</w:t>
      </w:r>
      <w:r w:rsidR="00062BFA" w:rsidRPr="004F6DAA">
        <w:rPr>
          <w:noProof/>
        </w:rPr>
        <w:t xml:space="preserve"> w</w:t>
      </w:r>
      <w:r w:rsidR="00062BFA">
        <w:rPr>
          <w:noProof/>
        </w:rPr>
        <w:t> </w:t>
      </w:r>
      <w:r w:rsidR="00062BFA" w:rsidRPr="004F6DAA">
        <w:rPr>
          <w:noProof/>
        </w:rPr>
        <w:t>cał</w:t>
      </w:r>
      <w:r w:rsidRPr="004F6DAA">
        <w:rPr>
          <w:noProof/>
        </w:rPr>
        <w:t>ej Unii.</w:t>
      </w:r>
    </w:p>
    <w:p w14:paraId="7EBA0D8D" w14:textId="77777777" w:rsidR="00DE3BCD" w:rsidRPr="004F6DAA" w:rsidRDefault="00DE3BCD" w:rsidP="00DE3BCD">
      <w:pPr>
        <w:pBdr>
          <w:top w:val="nil"/>
          <w:left w:val="nil"/>
          <w:bottom w:val="nil"/>
          <w:right w:val="nil"/>
          <w:between w:val="nil"/>
          <w:bar w:val="nil"/>
        </w:pBdr>
        <w:spacing w:before="0"/>
        <w:rPr>
          <w:noProof/>
        </w:rPr>
      </w:pPr>
      <w:r w:rsidRPr="004F6DAA">
        <w:rPr>
          <w:noProof/>
        </w:rPr>
        <w:t xml:space="preserve">W </w:t>
      </w:r>
      <w:r w:rsidRPr="00062BFA">
        <w:rPr>
          <w:noProof/>
        </w:rPr>
        <w:t>ust.</w:t>
      </w:r>
      <w:r w:rsidR="00062BFA" w:rsidRPr="00062BFA">
        <w:rPr>
          <w:noProof/>
        </w:rPr>
        <w:t> </w:t>
      </w:r>
      <w:r w:rsidRPr="00062BFA">
        <w:rPr>
          <w:noProof/>
        </w:rPr>
        <w:t>2</w:t>
      </w:r>
      <w:r w:rsidRPr="004F6DAA">
        <w:rPr>
          <w:noProof/>
        </w:rPr>
        <w:t xml:space="preserve"> wyróżniono środki obowiązkowe</w:t>
      </w:r>
      <w:r w:rsidR="00062BFA" w:rsidRPr="004F6DAA">
        <w:rPr>
          <w:noProof/>
        </w:rPr>
        <w:t xml:space="preserve"> i</w:t>
      </w:r>
      <w:r w:rsidR="00062BFA">
        <w:rPr>
          <w:noProof/>
        </w:rPr>
        <w:t> </w:t>
      </w:r>
      <w:r w:rsidR="00062BFA" w:rsidRPr="004F6DAA">
        <w:rPr>
          <w:noProof/>
        </w:rPr>
        <w:t>fak</w:t>
      </w:r>
      <w:r w:rsidRPr="004F6DAA">
        <w:rPr>
          <w:noProof/>
        </w:rPr>
        <w:t>ultatywne. Środki obowiązkowe,</w:t>
      </w:r>
      <w:r w:rsidR="00062BFA" w:rsidRPr="004F6DAA">
        <w:rPr>
          <w:noProof/>
        </w:rPr>
        <w:t xml:space="preserve"> o</w:t>
      </w:r>
      <w:r w:rsidR="00062BFA">
        <w:rPr>
          <w:noProof/>
        </w:rPr>
        <w:t> </w:t>
      </w:r>
      <w:r w:rsidR="00062BFA" w:rsidRPr="004F6DAA">
        <w:rPr>
          <w:noProof/>
        </w:rPr>
        <w:t>któ</w:t>
      </w:r>
      <w:r w:rsidRPr="004F6DAA">
        <w:rPr>
          <w:noProof/>
        </w:rPr>
        <w:t>rych mowa</w:t>
      </w:r>
      <w:r w:rsidR="00062BFA" w:rsidRPr="004F6DAA">
        <w:rPr>
          <w:noProof/>
        </w:rPr>
        <w:t xml:space="preserve"> w</w:t>
      </w:r>
      <w:r w:rsidR="00062BFA">
        <w:rPr>
          <w:noProof/>
        </w:rPr>
        <w:t> </w:t>
      </w:r>
      <w:r w:rsidR="00062BFA" w:rsidRPr="00062BFA">
        <w:rPr>
          <w:noProof/>
        </w:rPr>
        <w:t>lit</w:t>
      </w:r>
      <w:r w:rsidRPr="00062BFA">
        <w:rPr>
          <w:noProof/>
        </w:rPr>
        <w:t>.</w:t>
      </w:r>
      <w:r w:rsidR="00062BFA" w:rsidRPr="00062BFA">
        <w:rPr>
          <w:noProof/>
        </w:rPr>
        <w:t> </w:t>
      </w:r>
      <w:r w:rsidRPr="00062BFA">
        <w:rPr>
          <w:noProof/>
        </w:rPr>
        <w:t>a)</w:t>
      </w:r>
      <w:r w:rsidRPr="004F6DAA">
        <w:rPr>
          <w:noProof/>
        </w:rPr>
        <w:t>–d), obejmują kontrole dokumentacji</w:t>
      </w:r>
      <w:r w:rsidR="00062BFA" w:rsidRPr="004F6DAA">
        <w:rPr>
          <w:noProof/>
        </w:rPr>
        <w:t xml:space="preserve"> i</w:t>
      </w:r>
      <w:r w:rsidR="00062BFA">
        <w:rPr>
          <w:noProof/>
        </w:rPr>
        <w:t> </w:t>
      </w:r>
      <w:r w:rsidR="00062BFA" w:rsidRPr="004F6DAA">
        <w:rPr>
          <w:noProof/>
        </w:rPr>
        <w:t>pro</w:t>
      </w:r>
      <w:r w:rsidRPr="004F6DAA">
        <w:rPr>
          <w:noProof/>
        </w:rPr>
        <w:t>cedur należytej staranności, które nie wiążą się</w:t>
      </w:r>
      <w:r w:rsidR="00062BFA" w:rsidRPr="004F6DAA">
        <w:rPr>
          <w:noProof/>
        </w:rPr>
        <w:t xml:space="preserve"> z</w:t>
      </w:r>
      <w:r w:rsidR="00062BFA">
        <w:rPr>
          <w:noProof/>
        </w:rPr>
        <w:t> </w:t>
      </w:r>
      <w:r w:rsidR="00062BFA" w:rsidRPr="004F6DAA">
        <w:rPr>
          <w:noProof/>
        </w:rPr>
        <w:t>kon</w:t>
      </w:r>
      <w:r w:rsidRPr="004F6DAA">
        <w:rPr>
          <w:noProof/>
        </w:rPr>
        <w:t>iecznością przeprowadzania przez właściwe organy analiz technicznych produktów ani innych działań na miejscu. Środki fakultatywne określone</w:t>
      </w:r>
      <w:r w:rsidR="00062BFA" w:rsidRPr="004F6DAA">
        <w:rPr>
          <w:noProof/>
        </w:rPr>
        <w:t xml:space="preserve"> w</w:t>
      </w:r>
      <w:r w:rsidR="00062BFA">
        <w:rPr>
          <w:noProof/>
        </w:rPr>
        <w:t> </w:t>
      </w:r>
      <w:r w:rsidR="00062BFA" w:rsidRPr="00062BFA">
        <w:rPr>
          <w:noProof/>
        </w:rPr>
        <w:t>lit</w:t>
      </w:r>
      <w:r w:rsidRPr="00062BFA">
        <w:rPr>
          <w:noProof/>
        </w:rPr>
        <w:t>.</w:t>
      </w:r>
      <w:r w:rsidR="00062BFA" w:rsidRPr="00062BFA">
        <w:rPr>
          <w:noProof/>
        </w:rPr>
        <w:t> </w:t>
      </w:r>
      <w:r w:rsidRPr="00062BFA">
        <w:rPr>
          <w:noProof/>
        </w:rPr>
        <w:t>e)</w:t>
      </w:r>
      <w:r w:rsidRPr="004F6DAA">
        <w:rPr>
          <w:noProof/>
        </w:rPr>
        <w:t>–h) obejmują inspekcję na miejscu oraz kontrole techniczne</w:t>
      </w:r>
      <w:r w:rsidR="00062BFA" w:rsidRPr="004F6DAA">
        <w:rPr>
          <w:noProof/>
        </w:rPr>
        <w:t xml:space="preserve"> i</w:t>
      </w:r>
      <w:r w:rsidR="00062BFA">
        <w:rPr>
          <w:noProof/>
        </w:rPr>
        <w:t> </w:t>
      </w:r>
      <w:r w:rsidR="00062BFA" w:rsidRPr="004F6DAA">
        <w:rPr>
          <w:noProof/>
        </w:rPr>
        <w:t>nau</w:t>
      </w:r>
      <w:r w:rsidRPr="004F6DAA">
        <w:rPr>
          <w:noProof/>
        </w:rPr>
        <w:t>kowe odpowiednie do ustalenia dokładnego miejsca,</w:t>
      </w:r>
      <w:r w:rsidR="00062BFA" w:rsidRPr="004F6DAA">
        <w:rPr>
          <w:noProof/>
        </w:rPr>
        <w:t xml:space="preserve"> w</w:t>
      </w:r>
      <w:r w:rsidR="00062BFA">
        <w:rPr>
          <w:noProof/>
        </w:rPr>
        <w:t> </w:t>
      </w:r>
      <w:r w:rsidR="00062BFA" w:rsidRPr="004F6DAA">
        <w:rPr>
          <w:noProof/>
        </w:rPr>
        <w:t>któ</w:t>
      </w:r>
      <w:r w:rsidRPr="004F6DAA">
        <w:rPr>
          <w:noProof/>
        </w:rPr>
        <w:t>rym wyprodukowano odnośny towar lub produkt,</w:t>
      </w:r>
      <w:r w:rsidR="00062BFA" w:rsidRPr="004F6DAA">
        <w:rPr>
          <w:noProof/>
        </w:rPr>
        <w:t xml:space="preserve"> i</w:t>
      </w:r>
      <w:r w:rsidR="00062BFA">
        <w:rPr>
          <w:noProof/>
        </w:rPr>
        <w:t> </w:t>
      </w:r>
      <w:r w:rsidR="00062BFA" w:rsidRPr="004F6DAA">
        <w:rPr>
          <w:noProof/>
        </w:rPr>
        <w:t>stw</w:t>
      </w:r>
      <w:r w:rsidRPr="004F6DAA">
        <w:rPr>
          <w:noProof/>
        </w:rPr>
        <w:t xml:space="preserve">ierdzenia, czy nie powodował on wylesiania. </w:t>
      </w:r>
    </w:p>
    <w:p w14:paraId="42A6D973" w14:textId="77777777" w:rsidR="00DE3BCD" w:rsidRPr="004F6DAA" w:rsidRDefault="00DE3BCD" w:rsidP="00DE3BCD">
      <w:pPr>
        <w:pStyle w:val="Bullet1"/>
        <w:rPr>
          <w:i/>
          <w:noProof/>
        </w:rPr>
      </w:pPr>
      <w:r w:rsidRPr="004F6DAA">
        <w:rPr>
          <w:i/>
          <w:noProof/>
        </w:rPr>
        <w:t xml:space="preserve">Artykuł 19: Sprawozdawczość </w:t>
      </w:r>
    </w:p>
    <w:p w14:paraId="15F0FB1A" w14:textId="77777777" w:rsidR="00DE3BCD" w:rsidRPr="004F6DAA" w:rsidRDefault="00DE3BCD" w:rsidP="00DE3BCD">
      <w:pPr>
        <w:pBdr>
          <w:top w:val="nil"/>
          <w:left w:val="nil"/>
          <w:bottom w:val="nil"/>
          <w:right w:val="nil"/>
          <w:between w:val="nil"/>
          <w:bar w:val="nil"/>
        </w:pBdr>
        <w:spacing w:before="0"/>
        <w:rPr>
          <w:rFonts w:eastAsia="Arial Unicode MS"/>
          <w:noProof/>
        </w:rPr>
      </w:pPr>
      <w:r w:rsidRPr="004F6DAA">
        <w:rPr>
          <w:noProof/>
        </w:rPr>
        <w:t xml:space="preserve">W </w:t>
      </w:r>
      <w:r w:rsidRPr="00062BFA">
        <w:rPr>
          <w:noProof/>
        </w:rPr>
        <w:t>art.</w:t>
      </w:r>
      <w:r w:rsidR="00062BFA" w:rsidRPr="00062BFA">
        <w:rPr>
          <w:noProof/>
        </w:rPr>
        <w:t> </w:t>
      </w:r>
      <w:r w:rsidRPr="00062BFA">
        <w:rPr>
          <w:noProof/>
        </w:rPr>
        <w:t>1</w:t>
      </w:r>
      <w:r w:rsidRPr="004F6DAA">
        <w:rPr>
          <w:noProof/>
        </w:rPr>
        <w:t>9 nakreślono obowiązki sprawozdawcze państw członkowskich</w:t>
      </w:r>
      <w:r w:rsidR="00062BFA" w:rsidRPr="004F6DAA">
        <w:rPr>
          <w:noProof/>
        </w:rPr>
        <w:t xml:space="preserve"> w</w:t>
      </w:r>
      <w:r w:rsidR="00062BFA">
        <w:rPr>
          <w:noProof/>
        </w:rPr>
        <w:t> </w:t>
      </w:r>
      <w:r w:rsidR="00062BFA" w:rsidRPr="004F6DAA">
        <w:rPr>
          <w:noProof/>
        </w:rPr>
        <w:t>zak</w:t>
      </w:r>
      <w:r w:rsidRPr="004F6DAA">
        <w:rPr>
          <w:noProof/>
        </w:rPr>
        <w:t xml:space="preserve">resie wdrażania rozporządzenia, którego dotyczy niniejszy wniosek. Artykuł ten opiera się na </w:t>
      </w:r>
      <w:r w:rsidRPr="00062BFA">
        <w:rPr>
          <w:noProof/>
        </w:rPr>
        <w:t>art.</w:t>
      </w:r>
      <w:r w:rsidR="00062BFA" w:rsidRPr="00062BFA">
        <w:rPr>
          <w:noProof/>
        </w:rPr>
        <w:t> </w:t>
      </w:r>
      <w:r w:rsidRPr="00062BFA">
        <w:rPr>
          <w:noProof/>
        </w:rPr>
        <w:t>2</w:t>
      </w:r>
      <w:r w:rsidRPr="004F6DAA">
        <w:rPr>
          <w:noProof/>
        </w:rPr>
        <w:t>0 rozporządzenia</w:t>
      </w:r>
      <w:r w:rsidR="00062BFA" w:rsidRPr="004F6DAA">
        <w:rPr>
          <w:noProof/>
        </w:rPr>
        <w:t xml:space="preserve"> w</w:t>
      </w:r>
      <w:r w:rsidR="00062BFA">
        <w:rPr>
          <w:noProof/>
        </w:rPr>
        <w:t> </w:t>
      </w:r>
      <w:r w:rsidR="00062BFA" w:rsidRPr="004F6DAA">
        <w:rPr>
          <w:noProof/>
        </w:rPr>
        <w:t>spr</w:t>
      </w:r>
      <w:r w:rsidRPr="004F6DAA">
        <w:rPr>
          <w:noProof/>
        </w:rPr>
        <w:t>awie drewna (składanie sprawozdań), zmienionym następnie rozporządzeniem (UE) 2019/1010,</w:t>
      </w:r>
      <w:r w:rsidR="00062BFA" w:rsidRPr="004F6DAA">
        <w:rPr>
          <w:noProof/>
        </w:rPr>
        <w:t xml:space="preserve"> w</w:t>
      </w:r>
      <w:r w:rsidR="00062BFA">
        <w:rPr>
          <w:noProof/>
        </w:rPr>
        <w:t> </w:t>
      </w:r>
      <w:r w:rsidR="00062BFA" w:rsidRPr="004F6DAA">
        <w:rPr>
          <w:noProof/>
        </w:rPr>
        <w:t>któ</w:t>
      </w:r>
      <w:r w:rsidRPr="004F6DAA">
        <w:rPr>
          <w:noProof/>
        </w:rPr>
        <w:t>rym dostosowano obowiązki sprawozdawcze wynikające</w:t>
      </w:r>
      <w:r w:rsidR="00062BFA" w:rsidRPr="004F6DAA">
        <w:rPr>
          <w:noProof/>
        </w:rPr>
        <w:t xml:space="preserve"> z</w:t>
      </w:r>
      <w:r w:rsidR="00062BFA">
        <w:rPr>
          <w:noProof/>
        </w:rPr>
        <w:t> </w:t>
      </w:r>
      <w:r w:rsidR="00062BFA" w:rsidRPr="004F6DAA">
        <w:rPr>
          <w:noProof/>
        </w:rPr>
        <w:t>ust</w:t>
      </w:r>
      <w:r w:rsidRPr="004F6DAA">
        <w:rPr>
          <w:noProof/>
        </w:rPr>
        <w:t>awodawstwa</w:t>
      </w:r>
      <w:r w:rsidR="00062BFA" w:rsidRPr="004F6DAA">
        <w:rPr>
          <w:noProof/>
        </w:rPr>
        <w:t xml:space="preserve"> w</w:t>
      </w:r>
      <w:r w:rsidR="00062BFA">
        <w:rPr>
          <w:noProof/>
        </w:rPr>
        <w:t> </w:t>
      </w:r>
      <w:r w:rsidR="00062BFA" w:rsidRPr="004F6DAA">
        <w:rPr>
          <w:noProof/>
        </w:rPr>
        <w:t>dzi</w:t>
      </w:r>
      <w:r w:rsidRPr="004F6DAA">
        <w:rPr>
          <w:noProof/>
        </w:rPr>
        <w:t>edzinie środowiska</w:t>
      </w:r>
      <w:r w:rsidRPr="004F6DAA">
        <w:rPr>
          <w:rStyle w:val="Odwoanieprzypisudolnego"/>
          <w:rFonts w:eastAsia="Arial Unicode MS"/>
          <w:noProof/>
        </w:rPr>
        <w:footnoteReference w:id="12"/>
      </w:r>
      <w:r w:rsidR="00062BFA" w:rsidRPr="004F6DAA">
        <w:rPr>
          <w:noProof/>
        </w:rPr>
        <w:t>.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tym w</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9 potwierdzono, że państwa członkowskie co roku przedkładają sprawozdania ze stosowania niniejszego rozporządzenia (</w:t>
      </w:r>
      <w:r w:rsidRPr="00062BFA">
        <w:rPr>
          <w:noProof/>
        </w:rPr>
        <w:t>ust.</w:t>
      </w:r>
      <w:r w:rsidR="00062BFA" w:rsidRPr="00062BFA">
        <w:rPr>
          <w:noProof/>
        </w:rPr>
        <w:t> </w:t>
      </w:r>
      <w:r w:rsidRPr="00062BFA">
        <w:rPr>
          <w:noProof/>
        </w:rPr>
        <w:t>1</w:t>
      </w:r>
      <w:r w:rsidRPr="004F6DAA">
        <w:rPr>
          <w:noProof/>
        </w:rPr>
        <w:t>) oraz że służby Komisji co roku podają do publicznej wiadomości przegląd ogólnounijny</w:t>
      </w:r>
      <w:r w:rsidR="00062BFA" w:rsidRPr="004F6DAA">
        <w:rPr>
          <w:noProof/>
        </w:rPr>
        <w:t xml:space="preserve"> w</w:t>
      </w:r>
      <w:r w:rsidR="00062BFA">
        <w:rPr>
          <w:noProof/>
        </w:rPr>
        <w:t> </w:t>
      </w:r>
      <w:r w:rsidR="00062BFA" w:rsidRPr="004F6DAA">
        <w:rPr>
          <w:noProof/>
        </w:rPr>
        <w:t>opa</w:t>
      </w:r>
      <w:r w:rsidRPr="004F6DAA">
        <w:rPr>
          <w:noProof/>
        </w:rPr>
        <w:t>rciu</w:t>
      </w:r>
      <w:r w:rsidR="00062BFA" w:rsidRPr="004F6DAA">
        <w:rPr>
          <w:noProof/>
        </w:rPr>
        <w:t xml:space="preserve"> o</w:t>
      </w:r>
      <w:r w:rsidR="00062BFA">
        <w:rPr>
          <w:noProof/>
        </w:rPr>
        <w:t> </w:t>
      </w:r>
      <w:r w:rsidR="00062BFA" w:rsidRPr="004F6DAA">
        <w:rPr>
          <w:noProof/>
        </w:rPr>
        <w:t>dan</w:t>
      </w:r>
      <w:r w:rsidRPr="004F6DAA">
        <w:rPr>
          <w:noProof/>
        </w:rPr>
        <w:t>e przekazane przez państwa członkowskie (</w:t>
      </w:r>
      <w:r w:rsidRPr="00062BFA">
        <w:rPr>
          <w:noProof/>
        </w:rPr>
        <w:t>ust.</w:t>
      </w:r>
      <w:r w:rsidR="00062BFA" w:rsidRPr="00062BFA">
        <w:rPr>
          <w:noProof/>
        </w:rPr>
        <w:t> </w:t>
      </w:r>
      <w:r w:rsidRPr="00062BFA">
        <w:rPr>
          <w:noProof/>
        </w:rPr>
        <w:t>3</w:t>
      </w:r>
      <w:r w:rsidRPr="004F6DAA">
        <w:rPr>
          <w:noProof/>
        </w:rPr>
        <w:t xml:space="preserve">). </w:t>
      </w:r>
    </w:p>
    <w:p w14:paraId="58DDE49E" w14:textId="77777777" w:rsidR="00DE3BCD" w:rsidRPr="004F6DAA" w:rsidRDefault="00DE3BCD" w:rsidP="00DE3BCD">
      <w:pPr>
        <w:pBdr>
          <w:top w:val="nil"/>
          <w:left w:val="nil"/>
          <w:bottom w:val="nil"/>
          <w:right w:val="nil"/>
          <w:between w:val="nil"/>
          <w:bar w:val="nil"/>
        </w:pBdr>
        <w:spacing w:before="0"/>
        <w:rPr>
          <w:rFonts w:eastAsia="Arial Unicode MS"/>
          <w:noProof/>
        </w:rPr>
      </w:pPr>
      <w:r w:rsidRPr="004F6DAA">
        <w:rPr>
          <w:noProof/>
        </w:rPr>
        <w:t xml:space="preserve">W </w:t>
      </w:r>
      <w:r w:rsidRPr="00062BFA">
        <w:rPr>
          <w:noProof/>
        </w:rPr>
        <w:t>ust.</w:t>
      </w:r>
      <w:r w:rsidR="00062BFA" w:rsidRPr="00062BFA">
        <w:rPr>
          <w:noProof/>
        </w:rPr>
        <w:t> </w:t>
      </w:r>
      <w:r w:rsidRPr="00062BFA">
        <w:rPr>
          <w:noProof/>
        </w:rPr>
        <w:t>2</w:t>
      </w:r>
      <w:r w:rsidRPr="004F6DAA">
        <w:rPr>
          <w:noProof/>
        </w:rPr>
        <w:t xml:space="preserve"> dokonano dalszej klasyfikacji informacji, które państwa członkowskie mają przekazywać, aby wzmocnić obowiązki sprawozdawcze oraz umożliwić Komisji dokładniejszą analizę jakości działań państw członkowskich</w:t>
      </w:r>
      <w:r w:rsidR="00062BFA" w:rsidRPr="004F6DAA">
        <w:rPr>
          <w:noProof/>
        </w:rPr>
        <w:t xml:space="preserve"> w</w:t>
      </w:r>
      <w:r w:rsidR="00062BFA">
        <w:rPr>
          <w:noProof/>
        </w:rPr>
        <w:t> </w:t>
      </w:r>
      <w:r w:rsidR="00062BFA" w:rsidRPr="004F6DAA">
        <w:rPr>
          <w:noProof/>
        </w:rPr>
        <w:t>zak</w:t>
      </w:r>
      <w:r w:rsidRPr="004F6DAA">
        <w:rPr>
          <w:noProof/>
        </w:rPr>
        <w:t>resie monitorowania. Jest to zgodne</w:t>
      </w:r>
      <w:r w:rsidR="00062BFA" w:rsidRPr="004F6DAA">
        <w:rPr>
          <w:noProof/>
        </w:rPr>
        <w:t xml:space="preserve"> z</w:t>
      </w:r>
      <w:r w:rsidR="00062BFA">
        <w:rPr>
          <w:noProof/>
        </w:rPr>
        <w:t> </w:t>
      </w:r>
      <w:r w:rsidR="00062BFA" w:rsidRPr="004F6DAA">
        <w:rPr>
          <w:noProof/>
        </w:rPr>
        <w:t>ust</w:t>
      </w:r>
      <w:r w:rsidRPr="004F6DAA">
        <w:rPr>
          <w:noProof/>
        </w:rPr>
        <w:t>aleniami zawartymi</w:t>
      </w:r>
      <w:r w:rsidR="00062BFA" w:rsidRPr="004F6DAA">
        <w:rPr>
          <w:noProof/>
        </w:rPr>
        <w:t xml:space="preserve"> w</w:t>
      </w:r>
      <w:r w:rsidR="00062BFA">
        <w:rPr>
          <w:noProof/>
        </w:rPr>
        <w:t> </w:t>
      </w:r>
      <w:r w:rsidR="00062BFA" w:rsidRPr="004F6DAA">
        <w:rPr>
          <w:noProof/>
        </w:rPr>
        <w:t>spr</w:t>
      </w:r>
      <w:r w:rsidRPr="004F6DAA">
        <w:rPr>
          <w:noProof/>
        </w:rPr>
        <w:t xml:space="preserve">awozdaniu specjalnym Europejskiego Trybunału Obrachunkowego </w:t>
      </w:r>
      <w:r w:rsidRPr="00062BFA">
        <w:rPr>
          <w:noProof/>
        </w:rPr>
        <w:t>nr</w:t>
      </w:r>
      <w:r w:rsidR="00062BFA" w:rsidRPr="00062BFA">
        <w:rPr>
          <w:noProof/>
        </w:rPr>
        <w:t> </w:t>
      </w:r>
      <w:r w:rsidRPr="00062BFA">
        <w:rPr>
          <w:noProof/>
        </w:rPr>
        <w:t>2</w:t>
      </w:r>
      <w:r w:rsidRPr="004F6DAA">
        <w:rPr>
          <w:noProof/>
        </w:rPr>
        <w:t>1/2021,</w:t>
      </w:r>
      <w:r w:rsidR="00062BFA" w:rsidRPr="004F6DAA">
        <w:rPr>
          <w:noProof/>
        </w:rPr>
        <w:t xml:space="preserve"> w</w:t>
      </w:r>
      <w:r w:rsidR="00062BFA">
        <w:rPr>
          <w:noProof/>
        </w:rPr>
        <w:t> </w:t>
      </w:r>
      <w:r w:rsidR="00062BFA" w:rsidRPr="004F6DAA">
        <w:rPr>
          <w:noProof/>
        </w:rPr>
        <w:t>któ</w:t>
      </w:r>
      <w:r w:rsidRPr="004F6DAA">
        <w:rPr>
          <w:noProof/>
        </w:rPr>
        <w:t>rym podkreślono niedociągnięcia systemu sprawozdawczości przewidzianego</w:t>
      </w:r>
      <w:r w:rsidR="00062BFA" w:rsidRPr="004F6DAA">
        <w:rPr>
          <w:noProof/>
        </w:rPr>
        <w:t xml:space="preserve"> w</w:t>
      </w:r>
      <w:r w:rsidR="00062BFA">
        <w:rPr>
          <w:noProof/>
        </w:rPr>
        <w:t> </w:t>
      </w:r>
      <w:r w:rsidR="00062BFA" w:rsidRPr="004F6DAA">
        <w:rPr>
          <w:noProof/>
        </w:rPr>
        <w:t>roz</w:t>
      </w:r>
      <w:r w:rsidRPr="004F6DAA">
        <w:rPr>
          <w:noProof/>
        </w:rPr>
        <w:t>porządzeniu</w:t>
      </w:r>
      <w:r w:rsidR="00062BFA" w:rsidRPr="004F6DAA">
        <w:rPr>
          <w:noProof/>
        </w:rPr>
        <w:t xml:space="preserve"> w</w:t>
      </w:r>
      <w:r w:rsidR="00062BFA">
        <w:rPr>
          <w:noProof/>
        </w:rPr>
        <w:t> </w:t>
      </w:r>
      <w:r w:rsidR="00062BFA" w:rsidRPr="004F6DAA">
        <w:rPr>
          <w:noProof/>
        </w:rPr>
        <w:t>spr</w:t>
      </w:r>
      <w:r w:rsidRPr="004F6DAA">
        <w:rPr>
          <w:noProof/>
        </w:rPr>
        <w:t>awie drewna</w:t>
      </w:r>
      <w:r w:rsidRPr="004F6DAA">
        <w:rPr>
          <w:rStyle w:val="Odwoanieprzypisudolnego"/>
          <w:rFonts w:eastAsia="Arial Unicode MS"/>
          <w:noProof/>
        </w:rPr>
        <w:footnoteReference w:id="13"/>
      </w:r>
      <w:r w:rsidRPr="004F6DAA">
        <w:rPr>
          <w:noProof/>
        </w:rPr>
        <w:t>,</w:t>
      </w:r>
      <w:r w:rsidR="00062BFA" w:rsidRPr="004F6DAA">
        <w:rPr>
          <w:noProof/>
        </w:rPr>
        <w:t xml:space="preserve"> i</w:t>
      </w:r>
      <w:r w:rsidR="00062BFA">
        <w:rPr>
          <w:noProof/>
        </w:rPr>
        <w:t> </w:t>
      </w:r>
      <w:r w:rsidR="00062BFA" w:rsidRPr="004F6DAA">
        <w:rPr>
          <w:noProof/>
        </w:rPr>
        <w:t>umo</w:t>
      </w:r>
      <w:r w:rsidRPr="004F6DAA">
        <w:rPr>
          <w:noProof/>
        </w:rPr>
        <w:t>żliwi Komisji skuteczne zastosowanie się do zalecenia Trybunału dotyczącego skuteczniejszego weryfikowania kontroli przeprowadzanych przez państwa członkowskie</w:t>
      </w:r>
      <w:r w:rsidRPr="004F6DAA">
        <w:rPr>
          <w:rStyle w:val="Odwoanieprzypisudolnego"/>
          <w:noProof/>
        </w:rPr>
        <w:footnoteReference w:id="14"/>
      </w:r>
      <w:r w:rsidRPr="004F6DAA">
        <w:rPr>
          <w:noProof/>
        </w:rPr>
        <w:t>.</w:t>
      </w:r>
    </w:p>
    <w:p w14:paraId="539868E0" w14:textId="77777777" w:rsidR="00DE3BCD" w:rsidRPr="004F6DAA" w:rsidRDefault="00DE3BCD" w:rsidP="00DE3BCD">
      <w:pPr>
        <w:pStyle w:val="Bullet1"/>
        <w:rPr>
          <w:i/>
          <w:noProof/>
        </w:rPr>
      </w:pPr>
      <w:r w:rsidRPr="004F6DAA">
        <w:rPr>
          <w:i/>
          <w:noProof/>
        </w:rPr>
        <w:t xml:space="preserve">Artykuł 20: Wzmocniona kontrola </w:t>
      </w:r>
    </w:p>
    <w:p w14:paraId="18FC2D4C" w14:textId="77777777" w:rsidR="00DE3BCD" w:rsidRPr="004F6DAA" w:rsidRDefault="00DE3BCD" w:rsidP="00DE3BCD">
      <w:pPr>
        <w:pBdr>
          <w:top w:val="nil"/>
          <w:left w:val="nil"/>
          <w:bottom w:val="nil"/>
          <w:right w:val="nil"/>
          <w:between w:val="nil"/>
          <w:bar w:val="nil"/>
        </w:pBdr>
        <w:spacing w:before="0"/>
        <w:rPr>
          <w:noProof/>
          <w:szCs w:val="24"/>
        </w:rPr>
      </w:pPr>
      <w:r w:rsidRPr="004F6DAA">
        <w:rPr>
          <w:noProof/>
        </w:rPr>
        <w:t>Jeżeli odnośne towary</w:t>
      </w:r>
      <w:r w:rsidR="00062BFA" w:rsidRPr="004F6DAA">
        <w:rPr>
          <w:noProof/>
        </w:rPr>
        <w:t xml:space="preserve"> i</w:t>
      </w:r>
      <w:r w:rsidR="00062BFA">
        <w:rPr>
          <w:noProof/>
        </w:rPr>
        <w:t> </w:t>
      </w:r>
      <w:r w:rsidR="00062BFA" w:rsidRPr="004F6DAA">
        <w:rPr>
          <w:noProof/>
        </w:rPr>
        <w:t>pro</w:t>
      </w:r>
      <w:r w:rsidRPr="004F6DAA">
        <w:rPr>
          <w:noProof/>
        </w:rPr>
        <w:t>dukty pochodzą</w:t>
      </w:r>
      <w:r w:rsidR="00062BFA" w:rsidRPr="004F6DAA">
        <w:rPr>
          <w:noProof/>
        </w:rPr>
        <w:t xml:space="preserve"> z</w:t>
      </w:r>
      <w:r w:rsidR="00062BFA">
        <w:rPr>
          <w:noProof/>
        </w:rPr>
        <w:t> </w:t>
      </w:r>
      <w:r w:rsidR="00062BFA" w:rsidRPr="004F6DAA">
        <w:rPr>
          <w:noProof/>
        </w:rPr>
        <w:t>kra</w:t>
      </w:r>
      <w:r w:rsidRPr="004F6DAA">
        <w:rPr>
          <w:noProof/>
        </w:rPr>
        <w:t>ju lub jego części, które oceniono jako obarczone wysokim ryzykiem zgodnie</w:t>
      </w:r>
      <w:r w:rsidR="00062BFA" w:rsidRPr="004F6DAA">
        <w:rPr>
          <w:noProof/>
        </w:rPr>
        <w:t xml:space="preserve"> z</w:t>
      </w:r>
      <w:r w:rsidR="00062BFA">
        <w:rPr>
          <w:noProof/>
        </w:rPr>
        <w:t> </w:t>
      </w:r>
      <w:r w:rsidR="00062BFA" w:rsidRPr="004F6DAA">
        <w:rPr>
          <w:noProof/>
        </w:rPr>
        <w:t>sys</w:t>
      </w:r>
      <w:r w:rsidRPr="004F6DAA">
        <w:rPr>
          <w:noProof/>
        </w:rPr>
        <w:t>temem wskaźników dla poszczególnych krajów,</w:t>
      </w:r>
      <w:r w:rsidR="00062BFA" w:rsidRPr="004F6DAA">
        <w:rPr>
          <w:noProof/>
        </w:rPr>
        <w:t xml:space="preserve"> o</w:t>
      </w:r>
      <w:r w:rsidR="00062BFA">
        <w:rPr>
          <w:noProof/>
        </w:rPr>
        <w:t> </w:t>
      </w:r>
      <w:r w:rsidR="00062BFA" w:rsidRPr="004F6DAA">
        <w:rPr>
          <w:noProof/>
        </w:rPr>
        <w:t>któ</w:t>
      </w:r>
      <w:r w:rsidRPr="004F6DAA">
        <w:rPr>
          <w:noProof/>
        </w:rPr>
        <w:t>rym mowa</w:t>
      </w:r>
      <w:r w:rsidR="00062BFA" w:rsidRPr="004F6DAA">
        <w:rPr>
          <w:noProof/>
        </w:rPr>
        <w:t xml:space="preserve"> w</w:t>
      </w:r>
      <w:r w:rsidR="00062BFA">
        <w:rPr>
          <w:noProof/>
        </w:rPr>
        <w:t> </w:t>
      </w:r>
      <w:r w:rsidR="00062BFA" w:rsidRPr="004F6DAA">
        <w:rPr>
          <w:noProof/>
        </w:rPr>
        <w:t>roz</w:t>
      </w:r>
      <w:r w:rsidRPr="004F6DAA">
        <w:rPr>
          <w:noProof/>
        </w:rPr>
        <w:t>dziale 5, podlegają one wzmocnionej kontroli przeprowadzanej przez odpowiednie właściwe organy</w:t>
      </w:r>
      <w:r w:rsidR="00062BFA" w:rsidRPr="004F6DAA">
        <w:rPr>
          <w:noProof/>
        </w:rPr>
        <w:t>. W</w:t>
      </w:r>
      <w:r w:rsidR="00062BFA">
        <w:rPr>
          <w:noProof/>
        </w:rPr>
        <w:t> </w:t>
      </w:r>
      <w:r w:rsidR="00062BFA" w:rsidRPr="004F6DAA">
        <w:rPr>
          <w:noProof/>
        </w:rPr>
        <w:t>prz</w:t>
      </w:r>
      <w:r w:rsidRPr="004F6DAA">
        <w:rPr>
          <w:noProof/>
        </w:rPr>
        <w:t xml:space="preserve">eciwieństwie do </w:t>
      </w:r>
      <w:r w:rsidRPr="00062BFA">
        <w:rPr>
          <w:noProof/>
        </w:rPr>
        <w:t>art.</w:t>
      </w:r>
      <w:r w:rsidR="00062BFA" w:rsidRPr="00062BFA">
        <w:rPr>
          <w:noProof/>
        </w:rPr>
        <w:t> </w:t>
      </w:r>
      <w:r w:rsidRPr="00062BFA">
        <w:rPr>
          <w:noProof/>
        </w:rPr>
        <w:t>1</w:t>
      </w:r>
      <w:r w:rsidRPr="004F6DAA">
        <w:rPr>
          <w:noProof/>
        </w:rPr>
        <w:t>2,</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2</w:t>
      </w:r>
      <w:r w:rsidRPr="004F6DAA">
        <w:rPr>
          <w:noProof/>
        </w:rPr>
        <w:t xml:space="preserve">0 nie przewidziano innego zestawu obowiązków należytej staranności dla podmiotów lub podmiotów handlowych. </w:t>
      </w:r>
    </w:p>
    <w:p w14:paraId="1D6280DF" w14:textId="77777777" w:rsidR="00DE3BCD" w:rsidRPr="004F6DAA" w:rsidRDefault="00DE3BCD" w:rsidP="00DE3BCD">
      <w:pPr>
        <w:pBdr>
          <w:top w:val="nil"/>
          <w:left w:val="nil"/>
          <w:bottom w:val="nil"/>
          <w:right w:val="nil"/>
          <w:between w:val="nil"/>
          <w:bar w:val="nil"/>
        </w:pBdr>
        <w:spacing w:before="0"/>
        <w:rPr>
          <w:noProof/>
          <w:szCs w:val="24"/>
        </w:rPr>
      </w:pPr>
      <w:r w:rsidRPr="004F6DAA">
        <w:rPr>
          <w:noProof/>
        </w:rPr>
        <w:t>Właściwe organy zapewniają, aby przeprowadzane przez nie coroczne kontrole dotyczyły co najmniej 1</w:t>
      </w:r>
      <w:r w:rsidRPr="00062BFA">
        <w:rPr>
          <w:noProof/>
        </w:rPr>
        <w:t>5</w:t>
      </w:r>
      <w:r w:rsidR="00062BFA" w:rsidRPr="00062BFA">
        <w:rPr>
          <w:noProof/>
        </w:rPr>
        <w:t> </w:t>
      </w:r>
      <w:r w:rsidRPr="00062BFA">
        <w:rPr>
          <w:noProof/>
        </w:rPr>
        <w:t>%</w:t>
      </w:r>
      <w:r w:rsidRPr="004F6DAA">
        <w:rPr>
          <w:noProof/>
        </w:rPr>
        <w:t xml:space="preserve"> podmiotów, jak również 1</w:t>
      </w:r>
      <w:r w:rsidRPr="00062BFA">
        <w:rPr>
          <w:noProof/>
        </w:rPr>
        <w:t>5</w:t>
      </w:r>
      <w:r w:rsidR="00062BFA" w:rsidRPr="00062BFA">
        <w:rPr>
          <w:noProof/>
        </w:rPr>
        <w:t> </w:t>
      </w:r>
      <w:r w:rsidRPr="00062BFA">
        <w:rPr>
          <w:noProof/>
        </w:rPr>
        <w:t>%</w:t>
      </w:r>
      <w:r w:rsidRPr="004F6DAA">
        <w:rPr>
          <w:noProof/>
        </w:rPr>
        <w:t xml:space="preserve"> ilości odnośnych towarów</w:t>
      </w:r>
      <w:r w:rsidR="00062BFA" w:rsidRPr="004F6DAA">
        <w:rPr>
          <w:noProof/>
        </w:rPr>
        <w:t xml:space="preserve"> i</w:t>
      </w:r>
      <w:r w:rsidR="00062BFA">
        <w:rPr>
          <w:noProof/>
        </w:rPr>
        <w:t> </w:t>
      </w:r>
      <w:r w:rsidR="00062BFA" w:rsidRPr="004F6DAA">
        <w:rPr>
          <w:noProof/>
        </w:rPr>
        <w:t>pro</w:t>
      </w:r>
      <w:r w:rsidRPr="004F6DAA">
        <w:rPr>
          <w:noProof/>
        </w:rPr>
        <w:t>duktów wyprodukowanych</w:t>
      </w:r>
      <w:r w:rsidR="00062BFA" w:rsidRPr="004F6DAA">
        <w:rPr>
          <w:noProof/>
        </w:rPr>
        <w:t xml:space="preserve"> w</w:t>
      </w:r>
      <w:r w:rsidR="00062BFA">
        <w:rPr>
          <w:noProof/>
        </w:rPr>
        <w:t> </w:t>
      </w:r>
      <w:r w:rsidR="00062BFA" w:rsidRPr="004F6DAA">
        <w:rPr>
          <w:noProof/>
        </w:rPr>
        <w:t>kra</w:t>
      </w:r>
      <w:r w:rsidRPr="004F6DAA">
        <w:rPr>
          <w:noProof/>
        </w:rPr>
        <w:t>jach obarczonych wysokim ryzykiem lub ich częściach.</w:t>
      </w:r>
    </w:p>
    <w:p w14:paraId="66F6B0B1" w14:textId="77777777" w:rsidR="00DE3BCD" w:rsidRPr="004F6DAA" w:rsidRDefault="00DE3BCD" w:rsidP="00DE3BCD">
      <w:pPr>
        <w:pBdr>
          <w:top w:val="nil"/>
          <w:left w:val="nil"/>
          <w:bottom w:val="nil"/>
          <w:right w:val="nil"/>
          <w:between w:val="nil"/>
          <w:bar w:val="nil"/>
        </w:pBdr>
        <w:spacing w:before="0"/>
        <w:rPr>
          <w:noProof/>
          <w:szCs w:val="24"/>
        </w:rPr>
      </w:pPr>
      <w:r w:rsidRPr="004F6DAA">
        <w:rPr>
          <w:noProof/>
        </w:rPr>
        <w:t>Należy podkreślić, że zgodnie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2</w:t>
      </w:r>
      <w:r w:rsidRPr="004F6DAA">
        <w:rPr>
          <w:noProof/>
        </w:rPr>
        <w:t>7</w:t>
      </w:r>
      <w:r w:rsidRPr="004F6DAA">
        <w:rPr>
          <w:noProof/>
          <w:color w:val="000000"/>
        </w:rPr>
        <w:t xml:space="preserve"> od dnia wejścia</w:t>
      </w:r>
      <w:r w:rsidR="00062BFA" w:rsidRPr="004F6DAA">
        <w:rPr>
          <w:noProof/>
          <w:color w:val="000000"/>
        </w:rPr>
        <w:t xml:space="preserve"> w</w:t>
      </w:r>
      <w:r w:rsidR="00062BFA">
        <w:rPr>
          <w:noProof/>
          <w:color w:val="000000"/>
        </w:rPr>
        <w:t> </w:t>
      </w:r>
      <w:r w:rsidR="00062BFA" w:rsidRPr="004F6DAA">
        <w:rPr>
          <w:noProof/>
          <w:color w:val="000000"/>
        </w:rPr>
        <w:t>życ</w:t>
      </w:r>
      <w:r w:rsidRPr="004F6DAA">
        <w:rPr>
          <w:noProof/>
          <w:color w:val="000000"/>
        </w:rPr>
        <w:t>ie rozporządzenia wszystkim krajom zostanie przypisany standardowy poziom ryzyka</w:t>
      </w:r>
      <w:r w:rsidR="00062BFA" w:rsidRPr="004F6DAA">
        <w:rPr>
          <w:noProof/>
          <w:color w:val="000000"/>
        </w:rPr>
        <w:t>. W</w:t>
      </w:r>
      <w:r w:rsidR="00062BFA">
        <w:rPr>
          <w:noProof/>
          <w:color w:val="000000"/>
        </w:rPr>
        <w:t> </w:t>
      </w:r>
      <w:r w:rsidR="00062BFA" w:rsidRPr="004F6DAA">
        <w:rPr>
          <w:noProof/>
          <w:color w:val="000000"/>
        </w:rPr>
        <w:t>zwi</w:t>
      </w:r>
      <w:r w:rsidRPr="004F6DAA">
        <w:rPr>
          <w:noProof/>
          <w:color w:val="000000"/>
        </w:rPr>
        <w:t>ązku</w:t>
      </w:r>
      <w:r w:rsidR="00062BFA" w:rsidRPr="004F6DAA">
        <w:rPr>
          <w:noProof/>
          <w:color w:val="000000"/>
        </w:rPr>
        <w:t xml:space="preserve"> z</w:t>
      </w:r>
      <w:r w:rsidR="00062BFA">
        <w:rPr>
          <w:noProof/>
          <w:color w:val="000000"/>
        </w:rPr>
        <w:t> </w:t>
      </w:r>
      <w:r w:rsidR="00062BFA" w:rsidRPr="004F6DAA">
        <w:rPr>
          <w:noProof/>
          <w:color w:val="000000"/>
        </w:rPr>
        <w:t>tym</w:t>
      </w:r>
      <w:r w:rsidRPr="004F6DAA">
        <w:rPr>
          <w:noProof/>
          <w:color w:val="000000"/>
        </w:rPr>
        <w:t xml:space="preserve"> powyższe obowiązki zostaną nałożone na właściwe organy</w:t>
      </w:r>
      <w:r w:rsidR="00062BFA" w:rsidRPr="004F6DAA">
        <w:rPr>
          <w:noProof/>
          <w:color w:val="000000"/>
        </w:rPr>
        <w:t xml:space="preserve"> z</w:t>
      </w:r>
      <w:r w:rsidR="00062BFA">
        <w:rPr>
          <w:noProof/>
          <w:color w:val="000000"/>
        </w:rPr>
        <w:t> </w:t>
      </w:r>
      <w:r w:rsidR="00062BFA" w:rsidRPr="004F6DAA">
        <w:rPr>
          <w:noProof/>
          <w:color w:val="000000"/>
        </w:rPr>
        <w:t>chw</w:t>
      </w:r>
      <w:r w:rsidRPr="004F6DAA">
        <w:rPr>
          <w:noProof/>
          <w:color w:val="000000"/>
        </w:rPr>
        <w:t xml:space="preserve">ilą, gdy kraj wysokiego ryzyka </w:t>
      </w:r>
      <w:r w:rsidRPr="004F6DAA">
        <w:rPr>
          <w:noProof/>
        </w:rPr>
        <w:t xml:space="preserve">lub jego części </w:t>
      </w:r>
      <w:r w:rsidRPr="004F6DAA">
        <w:rPr>
          <w:noProof/>
          <w:color w:val="000000"/>
        </w:rPr>
        <w:t>znajdą się</w:t>
      </w:r>
      <w:r w:rsidR="00062BFA" w:rsidRPr="004F6DAA">
        <w:rPr>
          <w:noProof/>
          <w:color w:val="000000"/>
        </w:rPr>
        <w:t xml:space="preserve"> w</w:t>
      </w:r>
      <w:r w:rsidR="00062BFA">
        <w:rPr>
          <w:noProof/>
          <w:color w:val="000000"/>
        </w:rPr>
        <w:t> </w:t>
      </w:r>
      <w:r w:rsidR="00062BFA" w:rsidRPr="004F6DAA">
        <w:rPr>
          <w:noProof/>
          <w:color w:val="000000"/>
        </w:rPr>
        <w:t>wyk</w:t>
      </w:r>
      <w:r w:rsidRPr="004F6DAA">
        <w:rPr>
          <w:noProof/>
          <w:color w:val="000000"/>
        </w:rPr>
        <w:t>azie publikowanym przez Komisję zgodnie</w:t>
      </w:r>
      <w:r w:rsidR="00062BFA" w:rsidRPr="004F6DAA">
        <w:rPr>
          <w:noProof/>
          <w:color w:val="000000"/>
        </w:rPr>
        <w:t xml:space="preserve"> z</w:t>
      </w:r>
      <w:r w:rsidR="00062BFA">
        <w:rPr>
          <w:noProof/>
          <w:color w:val="000000"/>
        </w:rPr>
        <w:t> </w:t>
      </w:r>
      <w:r w:rsidR="00062BFA" w:rsidRPr="00062BFA">
        <w:rPr>
          <w:noProof/>
          <w:color w:val="000000"/>
        </w:rPr>
        <w:t>art</w:t>
      </w:r>
      <w:r w:rsidRPr="00062BFA">
        <w:rPr>
          <w:noProof/>
          <w:color w:val="000000"/>
        </w:rPr>
        <w:t>.</w:t>
      </w:r>
      <w:r w:rsidR="00062BFA" w:rsidRPr="00062BFA">
        <w:rPr>
          <w:noProof/>
          <w:color w:val="000000"/>
        </w:rPr>
        <w:t> </w:t>
      </w:r>
      <w:r w:rsidRPr="00062BFA">
        <w:rPr>
          <w:noProof/>
          <w:color w:val="000000"/>
        </w:rPr>
        <w:t>2</w:t>
      </w:r>
      <w:r w:rsidRPr="004F6DAA">
        <w:rPr>
          <w:noProof/>
          <w:color w:val="000000"/>
        </w:rPr>
        <w:t xml:space="preserve">7 </w:t>
      </w:r>
      <w:r w:rsidRPr="00062BFA">
        <w:rPr>
          <w:noProof/>
          <w:color w:val="000000"/>
        </w:rPr>
        <w:t>ust.</w:t>
      </w:r>
      <w:r w:rsidR="00062BFA" w:rsidRPr="00062BFA">
        <w:rPr>
          <w:noProof/>
          <w:color w:val="000000"/>
        </w:rPr>
        <w:t> </w:t>
      </w:r>
      <w:r w:rsidRPr="00062BFA">
        <w:rPr>
          <w:noProof/>
          <w:color w:val="000000"/>
        </w:rPr>
        <w:t>1</w:t>
      </w:r>
      <w:r w:rsidRPr="004F6DAA">
        <w:rPr>
          <w:noProof/>
          <w:color w:val="000000"/>
        </w:rPr>
        <w:t>,</w:t>
      </w:r>
      <w:r w:rsidR="00062BFA" w:rsidRPr="004F6DAA">
        <w:rPr>
          <w:noProof/>
          <w:color w:val="000000"/>
        </w:rPr>
        <w:t xml:space="preserve"> o</w:t>
      </w:r>
      <w:r w:rsidR="00062BFA">
        <w:rPr>
          <w:noProof/>
          <w:color w:val="000000"/>
        </w:rPr>
        <w:t> </w:t>
      </w:r>
      <w:r w:rsidR="00062BFA" w:rsidRPr="004F6DAA">
        <w:rPr>
          <w:noProof/>
          <w:color w:val="000000"/>
        </w:rPr>
        <w:t>ile</w:t>
      </w:r>
      <w:r w:rsidRPr="004F6DAA">
        <w:rPr>
          <w:noProof/>
          <w:color w:val="000000"/>
        </w:rPr>
        <w:t xml:space="preserve"> </w:t>
      </w:r>
      <w:r w:rsidRPr="004F6DAA">
        <w:rPr>
          <w:noProof/>
        </w:rPr>
        <w:t>odnośne towary</w:t>
      </w:r>
      <w:r w:rsidR="00062BFA" w:rsidRPr="004F6DAA">
        <w:rPr>
          <w:noProof/>
        </w:rPr>
        <w:t xml:space="preserve"> i</w:t>
      </w:r>
      <w:r w:rsidR="00062BFA">
        <w:rPr>
          <w:noProof/>
        </w:rPr>
        <w:t> </w:t>
      </w:r>
      <w:r w:rsidR="00062BFA" w:rsidRPr="004F6DAA">
        <w:rPr>
          <w:noProof/>
        </w:rPr>
        <w:t>pro</w:t>
      </w:r>
      <w:r w:rsidRPr="004F6DAA">
        <w:rPr>
          <w:noProof/>
        </w:rPr>
        <w:t>dukty wyprodukowane</w:t>
      </w:r>
      <w:r w:rsidR="00062BFA" w:rsidRPr="004F6DAA">
        <w:rPr>
          <w:noProof/>
        </w:rPr>
        <w:t xml:space="preserve"> w</w:t>
      </w:r>
      <w:r w:rsidR="00062BFA">
        <w:rPr>
          <w:noProof/>
        </w:rPr>
        <w:t> </w:t>
      </w:r>
      <w:r w:rsidR="00062BFA" w:rsidRPr="004F6DAA">
        <w:rPr>
          <w:noProof/>
        </w:rPr>
        <w:t>kra</w:t>
      </w:r>
      <w:r w:rsidRPr="004F6DAA">
        <w:rPr>
          <w:noProof/>
        </w:rPr>
        <w:t>ju wysokiego ryzyka lub</w:t>
      </w:r>
      <w:r w:rsidR="00062BFA" w:rsidRPr="004F6DAA">
        <w:rPr>
          <w:noProof/>
        </w:rPr>
        <w:t xml:space="preserve"> w</w:t>
      </w:r>
      <w:r w:rsidR="00062BFA">
        <w:rPr>
          <w:noProof/>
        </w:rPr>
        <w:t> </w:t>
      </w:r>
      <w:r w:rsidR="00062BFA" w:rsidRPr="004F6DAA">
        <w:rPr>
          <w:noProof/>
        </w:rPr>
        <w:t>jeg</w:t>
      </w:r>
      <w:r w:rsidRPr="004F6DAA">
        <w:rPr>
          <w:noProof/>
        </w:rPr>
        <w:t>o częściach będą wprowadzane do obrotu lub udostępniane na ich rynku.</w:t>
      </w:r>
    </w:p>
    <w:p w14:paraId="20E573A8" w14:textId="77777777" w:rsidR="00DE3BCD" w:rsidRPr="004F6DAA" w:rsidRDefault="00DE3BCD" w:rsidP="00DE3BCD">
      <w:pPr>
        <w:pStyle w:val="Bullet1"/>
        <w:rPr>
          <w:i/>
          <w:noProof/>
        </w:rPr>
      </w:pPr>
      <w:r w:rsidRPr="004F6DAA">
        <w:rPr>
          <w:i/>
          <w:noProof/>
        </w:rPr>
        <w:t xml:space="preserve">Artykuł 22: Środki nadzoru rynku </w:t>
      </w:r>
    </w:p>
    <w:p w14:paraId="1D92C974" w14:textId="77777777" w:rsidR="00DE3BCD" w:rsidRPr="004F6DAA" w:rsidRDefault="00DE3BCD" w:rsidP="00DE3BCD">
      <w:pPr>
        <w:spacing w:line="300" w:lineRule="exact"/>
        <w:textAlignment w:val="baseline"/>
        <w:rPr>
          <w:rFonts w:eastAsia="Times New Roman"/>
          <w:noProof/>
          <w:szCs w:val="24"/>
        </w:rPr>
      </w:pPr>
      <w:r w:rsidRPr="004F6DAA">
        <w:rPr>
          <w:noProof/>
          <w:color w:val="000000"/>
          <w:szCs w:val="24"/>
        </w:rPr>
        <w:t xml:space="preserve">W </w:t>
      </w:r>
      <w:r w:rsidRPr="00062BFA">
        <w:rPr>
          <w:noProof/>
          <w:color w:val="000000"/>
          <w:szCs w:val="24"/>
        </w:rPr>
        <w:t>art.</w:t>
      </w:r>
      <w:r w:rsidR="00062BFA" w:rsidRPr="00062BFA">
        <w:rPr>
          <w:noProof/>
          <w:color w:val="000000"/>
          <w:szCs w:val="24"/>
        </w:rPr>
        <w:t> </w:t>
      </w:r>
      <w:r w:rsidRPr="00062BFA">
        <w:rPr>
          <w:noProof/>
          <w:color w:val="000000"/>
          <w:szCs w:val="24"/>
        </w:rPr>
        <w:t>2</w:t>
      </w:r>
      <w:r w:rsidRPr="004F6DAA">
        <w:rPr>
          <w:noProof/>
          <w:color w:val="000000"/>
          <w:szCs w:val="24"/>
        </w:rPr>
        <w:t>2 nałożono na właściwe organy obowiązek niezwłocznego podejmowania działań</w:t>
      </w:r>
      <w:r w:rsidR="00062BFA" w:rsidRPr="004F6DAA">
        <w:rPr>
          <w:noProof/>
          <w:color w:val="000000"/>
          <w:szCs w:val="24"/>
        </w:rPr>
        <w:t xml:space="preserve"> w</w:t>
      </w:r>
      <w:r w:rsidR="00062BFA">
        <w:rPr>
          <w:noProof/>
          <w:color w:val="000000"/>
          <w:szCs w:val="24"/>
        </w:rPr>
        <w:t> </w:t>
      </w:r>
      <w:r w:rsidR="00062BFA" w:rsidRPr="004F6DAA">
        <w:rPr>
          <w:noProof/>
          <w:color w:val="000000"/>
          <w:szCs w:val="24"/>
        </w:rPr>
        <w:t>syt</w:t>
      </w:r>
      <w:r w:rsidRPr="004F6DAA">
        <w:rPr>
          <w:noProof/>
          <w:color w:val="000000"/>
          <w:szCs w:val="24"/>
        </w:rPr>
        <w:t>uacji, gdy ustalą, że odnośny towar lub produkt nie jest zgodny</w:t>
      </w:r>
      <w:r w:rsidR="00062BFA" w:rsidRPr="004F6DAA">
        <w:rPr>
          <w:noProof/>
          <w:color w:val="000000"/>
          <w:szCs w:val="24"/>
        </w:rPr>
        <w:t xml:space="preserve"> z</w:t>
      </w:r>
      <w:r w:rsidR="00062BFA">
        <w:rPr>
          <w:noProof/>
          <w:color w:val="000000"/>
          <w:szCs w:val="24"/>
        </w:rPr>
        <w:t> </w:t>
      </w:r>
      <w:r w:rsidR="00062BFA" w:rsidRPr="004F6DAA">
        <w:rPr>
          <w:noProof/>
          <w:color w:val="000000"/>
          <w:szCs w:val="24"/>
        </w:rPr>
        <w:t>nin</w:t>
      </w:r>
      <w:r w:rsidRPr="004F6DAA">
        <w:rPr>
          <w:noProof/>
          <w:color w:val="000000"/>
          <w:szCs w:val="24"/>
        </w:rPr>
        <w:t>iejszym rozporządzeniem</w:t>
      </w:r>
      <w:r w:rsidR="00062BFA" w:rsidRPr="004F6DAA">
        <w:rPr>
          <w:noProof/>
          <w:color w:val="000000"/>
          <w:szCs w:val="24"/>
        </w:rPr>
        <w:t>. W</w:t>
      </w:r>
      <w:r w:rsidR="00062BFA">
        <w:rPr>
          <w:noProof/>
          <w:color w:val="000000"/>
          <w:szCs w:val="24"/>
        </w:rPr>
        <w:t> </w:t>
      </w:r>
      <w:r w:rsidR="00062BFA" w:rsidRPr="004F6DAA">
        <w:rPr>
          <w:noProof/>
          <w:color w:val="000000"/>
          <w:szCs w:val="24"/>
        </w:rPr>
        <w:t>tak</w:t>
      </w:r>
      <w:r w:rsidRPr="004F6DAA">
        <w:rPr>
          <w:noProof/>
          <w:color w:val="000000"/>
          <w:szCs w:val="24"/>
        </w:rPr>
        <w:t>im przypadku właściwe organy wymagają, aby odpowiedni podmiot lub podmiot handlowy podjął stosowne</w:t>
      </w:r>
      <w:r w:rsidR="00062BFA" w:rsidRPr="004F6DAA">
        <w:rPr>
          <w:noProof/>
          <w:color w:val="000000"/>
          <w:szCs w:val="24"/>
        </w:rPr>
        <w:t xml:space="preserve"> i</w:t>
      </w:r>
      <w:r w:rsidR="00062BFA">
        <w:rPr>
          <w:noProof/>
          <w:color w:val="000000"/>
          <w:szCs w:val="24"/>
        </w:rPr>
        <w:t> </w:t>
      </w:r>
      <w:r w:rsidR="00062BFA" w:rsidRPr="004F6DAA">
        <w:rPr>
          <w:noProof/>
          <w:color w:val="000000"/>
          <w:szCs w:val="24"/>
        </w:rPr>
        <w:t>pro</w:t>
      </w:r>
      <w:r w:rsidRPr="004F6DAA">
        <w:rPr>
          <w:noProof/>
          <w:color w:val="000000"/>
          <w:szCs w:val="24"/>
        </w:rPr>
        <w:t>porcjonalne</w:t>
      </w:r>
      <w:r w:rsidRPr="004F6DAA">
        <w:rPr>
          <w:noProof/>
        </w:rPr>
        <w:t xml:space="preserve"> działania naprawcze</w:t>
      </w:r>
      <w:r w:rsidR="00062BFA" w:rsidRPr="004F6DAA">
        <w:rPr>
          <w:noProof/>
        </w:rPr>
        <w:t xml:space="preserve"> w</w:t>
      </w:r>
      <w:r w:rsidR="00062BFA">
        <w:rPr>
          <w:noProof/>
        </w:rPr>
        <w:t> </w:t>
      </w:r>
      <w:r w:rsidR="00062BFA" w:rsidRPr="004F6DAA">
        <w:rPr>
          <w:noProof/>
        </w:rPr>
        <w:t>cel</w:t>
      </w:r>
      <w:r w:rsidRPr="004F6DAA">
        <w:rPr>
          <w:noProof/>
        </w:rPr>
        <w:t xml:space="preserve">u usunięcia niezgodności. </w:t>
      </w:r>
    </w:p>
    <w:p w14:paraId="23471D51" w14:textId="77777777" w:rsidR="00DE3BCD" w:rsidRPr="004F6DAA" w:rsidRDefault="00DE3BCD" w:rsidP="00DE3BCD">
      <w:pPr>
        <w:spacing w:line="300" w:lineRule="exact"/>
        <w:textAlignment w:val="baseline"/>
        <w:rPr>
          <w:noProof/>
          <w:color w:val="000000"/>
          <w:szCs w:val="24"/>
        </w:rPr>
      </w:pPr>
      <w:r w:rsidRPr="004F6DAA">
        <w:rPr>
          <w:noProof/>
        </w:rPr>
        <w:t xml:space="preserve">W </w:t>
      </w:r>
      <w:r w:rsidRPr="00062BFA">
        <w:rPr>
          <w:noProof/>
        </w:rPr>
        <w:t>ust.</w:t>
      </w:r>
      <w:r w:rsidR="00062BFA" w:rsidRPr="00062BFA">
        <w:rPr>
          <w:noProof/>
        </w:rPr>
        <w:t> </w:t>
      </w:r>
      <w:r w:rsidRPr="00062BFA">
        <w:rPr>
          <w:noProof/>
        </w:rPr>
        <w:t>2</w:t>
      </w:r>
      <w:r w:rsidRPr="004F6DAA">
        <w:rPr>
          <w:noProof/>
        </w:rPr>
        <w:t xml:space="preserve"> przedstawiono możliwe działania naprawcze, których podjęcia można wymagać od podmiotu lub podmiotu handlowego. </w:t>
      </w:r>
      <w:r w:rsidRPr="004F6DAA">
        <w:rPr>
          <w:noProof/>
          <w:color w:val="000000"/>
          <w:szCs w:val="24"/>
        </w:rPr>
        <w:t>Przepis ten opiera się</w:t>
      </w:r>
      <w:r w:rsidR="00062BFA" w:rsidRPr="004F6DAA">
        <w:rPr>
          <w:noProof/>
          <w:color w:val="000000"/>
          <w:szCs w:val="24"/>
        </w:rPr>
        <w:t xml:space="preserve"> w</w:t>
      </w:r>
      <w:r w:rsidR="00062BFA">
        <w:rPr>
          <w:noProof/>
          <w:color w:val="000000"/>
          <w:szCs w:val="24"/>
        </w:rPr>
        <w:t> </w:t>
      </w:r>
      <w:r w:rsidR="00062BFA" w:rsidRPr="004F6DAA">
        <w:rPr>
          <w:noProof/>
          <w:color w:val="000000"/>
          <w:szCs w:val="24"/>
        </w:rPr>
        <w:t>szc</w:t>
      </w:r>
      <w:r w:rsidRPr="004F6DAA">
        <w:rPr>
          <w:noProof/>
          <w:color w:val="000000"/>
          <w:szCs w:val="24"/>
        </w:rPr>
        <w:t xml:space="preserve">zególności na </w:t>
      </w:r>
      <w:r w:rsidRPr="00062BFA">
        <w:rPr>
          <w:noProof/>
          <w:color w:val="000000"/>
          <w:szCs w:val="24"/>
        </w:rPr>
        <w:t>art.</w:t>
      </w:r>
      <w:r w:rsidR="00062BFA" w:rsidRPr="00062BFA">
        <w:rPr>
          <w:noProof/>
          <w:color w:val="000000"/>
          <w:szCs w:val="24"/>
        </w:rPr>
        <w:t> </w:t>
      </w:r>
      <w:r w:rsidRPr="00062BFA">
        <w:rPr>
          <w:noProof/>
          <w:color w:val="000000"/>
          <w:szCs w:val="24"/>
        </w:rPr>
        <w:t>1</w:t>
      </w:r>
      <w:r w:rsidRPr="004F6DAA">
        <w:rPr>
          <w:noProof/>
          <w:color w:val="000000"/>
          <w:szCs w:val="24"/>
        </w:rPr>
        <w:t>6 rozporządzenia</w:t>
      </w:r>
      <w:r w:rsidR="00062BFA" w:rsidRPr="004F6DAA">
        <w:rPr>
          <w:noProof/>
          <w:color w:val="000000"/>
          <w:szCs w:val="24"/>
        </w:rPr>
        <w:t xml:space="preserve"> w</w:t>
      </w:r>
      <w:r w:rsidR="00062BFA">
        <w:rPr>
          <w:noProof/>
          <w:color w:val="000000"/>
          <w:szCs w:val="24"/>
        </w:rPr>
        <w:t> </w:t>
      </w:r>
      <w:r w:rsidR="00062BFA" w:rsidRPr="004F6DAA">
        <w:rPr>
          <w:noProof/>
          <w:color w:val="000000"/>
          <w:szCs w:val="24"/>
        </w:rPr>
        <w:t>spr</w:t>
      </w:r>
      <w:r w:rsidRPr="004F6DAA">
        <w:rPr>
          <w:noProof/>
          <w:color w:val="000000"/>
          <w:szCs w:val="24"/>
        </w:rPr>
        <w:t>awie nadzoru rynku</w:t>
      </w:r>
      <w:r w:rsidRPr="004F6DAA">
        <w:rPr>
          <w:rStyle w:val="Odwoanieprzypisudolnego"/>
          <w:noProof/>
          <w:color w:val="000000"/>
          <w:szCs w:val="24"/>
        </w:rPr>
        <w:footnoteReference w:id="15"/>
      </w:r>
      <w:r w:rsidRPr="004F6DAA">
        <w:rPr>
          <w:noProof/>
          <w:color w:val="000000"/>
          <w:szCs w:val="24"/>
        </w:rPr>
        <w:t>; zgodnie</w:t>
      </w:r>
      <w:r w:rsidR="00062BFA" w:rsidRPr="004F6DAA">
        <w:rPr>
          <w:noProof/>
          <w:color w:val="000000"/>
          <w:szCs w:val="24"/>
        </w:rPr>
        <w:t xml:space="preserve"> z</w:t>
      </w:r>
      <w:r w:rsidR="00062BFA">
        <w:rPr>
          <w:noProof/>
          <w:color w:val="000000"/>
          <w:szCs w:val="24"/>
        </w:rPr>
        <w:t> </w:t>
      </w:r>
      <w:r w:rsidR="00062BFA" w:rsidRPr="00062BFA">
        <w:rPr>
          <w:noProof/>
          <w:color w:val="000000"/>
          <w:szCs w:val="24"/>
        </w:rPr>
        <w:t>art</w:t>
      </w:r>
      <w:r w:rsidRPr="00062BFA">
        <w:rPr>
          <w:noProof/>
          <w:color w:val="000000"/>
          <w:szCs w:val="24"/>
        </w:rPr>
        <w:t>.</w:t>
      </w:r>
      <w:r w:rsidR="00062BFA" w:rsidRPr="00062BFA">
        <w:rPr>
          <w:noProof/>
          <w:color w:val="000000"/>
          <w:szCs w:val="24"/>
        </w:rPr>
        <w:t> </w:t>
      </w:r>
      <w:r w:rsidRPr="00062BFA">
        <w:rPr>
          <w:noProof/>
          <w:color w:val="000000"/>
          <w:szCs w:val="24"/>
        </w:rPr>
        <w:t>3</w:t>
      </w:r>
      <w:r w:rsidRPr="004F6DAA">
        <w:rPr>
          <w:noProof/>
          <w:color w:val="000000"/>
          <w:szCs w:val="24"/>
        </w:rPr>
        <w:t xml:space="preserve"> wspomnianego rozporządzenia </w:t>
      </w:r>
      <w:r w:rsidRPr="004F6DAA">
        <w:rPr>
          <w:noProof/>
        </w:rPr>
        <w:t>„odzyskanie produktu” oznacza „dowolny środek mający na celu doprowadzenie do zwrotu produktu, który już został udostępniony użytkownikowi końcowemu”; natomiast „wycofanie</w:t>
      </w:r>
      <w:r w:rsidR="00062BFA" w:rsidRPr="004F6DAA">
        <w:rPr>
          <w:noProof/>
        </w:rPr>
        <w:t xml:space="preserve"> z</w:t>
      </w:r>
      <w:r w:rsidR="00062BFA">
        <w:rPr>
          <w:noProof/>
        </w:rPr>
        <w:t> </w:t>
      </w:r>
      <w:r w:rsidR="00062BFA" w:rsidRPr="004F6DAA">
        <w:rPr>
          <w:noProof/>
        </w:rPr>
        <w:t>obr</w:t>
      </w:r>
      <w:r w:rsidRPr="004F6DAA">
        <w:rPr>
          <w:noProof/>
        </w:rPr>
        <w:t>otu” oznacza „dowolny środek, którego celem jest zapobieżenie udostępnieniu na rynku produktu</w:t>
      </w:r>
      <w:r w:rsidR="00062BFA" w:rsidRPr="004F6DAA">
        <w:rPr>
          <w:noProof/>
        </w:rPr>
        <w:t xml:space="preserve"> w</w:t>
      </w:r>
      <w:r w:rsidR="00062BFA">
        <w:rPr>
          <w:noProof/>
        </w:rPr>
        <w:t> </w:t>
      </w:r>
      <w:r w:rsidR="00062BFA" w:rsidRPr="004F6DAA">
        <w:rPr>
          <w:noProof/>
        </w:rPr>
        <w:t>dan</w:t>
      </w:r>
      <w:r w:rsidRPr="004F6DAA">
        <w:rPr>
          <w:noProof/>
        </w:rPr>
        <w:t>ym łańcuchu dostaw”.</w:t>
      </w:r>
      <w:r w:rsidRPr="004F6DAA">
        <w:rPr>
          <w:noProof/>
          <w:color w:val="000000"/>
          <w:szCs w:val="24"/>
        </w:rPr>
        <w:t xml:space="preserve"> </w:t>
      </w:r>
    </w:p>
    <w:p w14:paraId="7A3C6C69" w14:textId="77777777" w:rsidR="00DE3BCD" w:rsidRPr="004F6DAA" w:rsidRDefault="00DE3BCD" w:rsidP="00DE3BCD">
      <w:pPr>
        <w:pStyle w:val="Bullet1"/>
        <w:rPr>
          <w:i/>
          <w:noProof/>
        </w:rPr>
      </w:pPr>
      <w:r w:rsidRPr="004F6DAA">
        <w:rPr>
          <w:i/>
          <w:noProof/>
        </w:rPr>
        <w:t>Artykuł 23: Sankcje</w:t>
      </w:r>
    </w:p>
    <w:p w14:paraId="7B17FCFD" w14:textId="77777777" w:rsidR="00DE3BCD" w:rsidRPr="004F6DAA" w:rsidRDefault="00DE3BCD" w:rsidP="00DE3BCD">
      <w:pPr>
        <w:pBdr>
          <w:top w:val="nil"/>
          <w:left w:val="nil"/>
          <w:bottom w:val="nil"/>
          <w:right w:val="nil"/>
          <w:between w:val="nil"/>
          <w:bar w:val="nil"/>
        </w:pBdr>
        <w:spacing w:before="0"/>
        <w:rPr>
          <w:noProof/>
        </w:rPr>
      </w:pPr>
      <w:r w:rsidRPr="004F6DAA">
        <w:rPr>
          <w:noProof/>
        </w:rPr>
        <w:t xml:space="preserve">W </w:t>
      </w:r>
      <w:r w:rsidRPr="00062BFA">
        <w:rPr>
          <w:noProof/>
        </w:rPr>
        <w:t>art.</w:t>
      </w:r>
      <w:r w:rsidR="00062BFA" w:rsidRPr="00062BFA">
        <w:rPr>
          <w:noProof/>
        </w:rPr>
        <w:t> </w:t>
      </w:r>
      <w:r w:rsidRPr="00062BFA">
        <w:rPr>
          <w:noProof/>
        </w:rPr>
        <w:t>2</w:t>
      </w:r>
      <w:r w:rsidRPr="004F6DAA">
        <w:rPr>
          <w:noProof/>
        </w:rPr>
        <w:t>3 nałożono na państwa członkowskie obowiązek ustanowienia przepisów dotyczących sankcji mających zastosowanie</w:t>
      </w:r>
      <w:r w:rsidR="00062BFA" w:rsidRPr="004F6DAA">
        <w:rPr>
          <w:noProof/>
        </w:rPr>
        <w:t xml:space="preserve"> w</w:t>
      </w:r>
      <w:r w:rsidR="00062BFA">
        <w:rPr>
          <w:noProof/>
        </w:rPr>
        <w:t> </w:t>
      </w:r>
      <w:r w:rsidR="00062BFA" w:rsidRPr="004F6DAA">
        <w:rPr>
          <w:noProof/>
        </w:rPr>
        <w:t>prz</w:t>
      </w:r>
      <w:r w:rsidRPr="004F6DAA">
        <w:rPr>
          <w:noProof/>
        </w:rPr>
        <w:t>ypadku naruszenia niniejszego rozporządzenia. Istnienie</w:t>
      </w:r>
      <w:r w:rsidR="00062BFA" w:rsidRPr="004F6DAA">
        <w:rPr>
          <w:noProof/>
        </w:rPr>
        <w:t xml:space="preserve"> i</w:t>
      </w:r>
      <w:r w:rsidR="00062BFA">
        <w:rPr>
          <w:noProof/>
        </w:rPr>
        <w:t> </w:t>
      </w:r>
      <w:r w:rsidR="00062BFA" w:rsidRPr="004F6DAA">
        <w:rPr>
          <w:noProof/>
        </w:rPr>
        <w:t>sto</w:t>
      </w:r>
      <w:r w:rsidRPr="004F6DAA">
        <w:rPr>
          <w:noProof/>
        </w:rPr>
        <w:t>sowanie skutecznych, proporcjonalnych</w:t>
      </w:r>
      <w:r w:rsidR="00062BFA" w:rsidRPr="004F6DAA">
        <w:rPr>
          <w:noProof/>
        </w:rPr>
        <w:t xml:space="preserve"> i</w:t>
      </w:r>
      <w:r w:rsidR="00062BFA">
        <w:rPr>
          <w:noProof/>
        </w:rPr>
        <w:t> </w:t>
      </w:r>
      <w:r w:rsidR="00062BFA" w:rsidRPr="004F6DAA">
        <w:rPr>
          <w:noProof/>
        </w:rPr>
        <w:t>ods</w:t>
      </w:r>
      <w:r w:rsidRPr="004F6DAA">
        <w:rPr>
          <w:noProof/>
        </w:rPr>
        <w:t>traszających sankcji</w:t>
      </w:r>
      <w:r w:rsidR="00062BFA" w:rsidRPr="004F6DAA">
        <w:rPr>
          <w:noProof/>
        </w:rPr>
        <w:t xml:space="preserve"> w</w:t>
      </w:r>
      <w:r w:rsidR="00062BFA">
        <w:rPr>
          <w:noProof/>
        </w:rPr>
        <w:t> </w:t>
      </w:r>
      <w:r w:rsidR="00062BFA" w:rsidRPr="004F6DAA">
        <w:rPr>
          <w:noProof/>
        </w:rPr>
        <w:t>sys</w:t>
      </w:r>
      <w:r w:rsidRPr="004F6DAA">
        <w:rPr>
          <w:noProof/>
        </w:rPr>
        <w:t>temach krajowych jest kluczowym elementem skutecznego</w:t>
      </w:r>
      <w:r w:rsidR="00062BFA" w:rsidRPr="004F6DAA">
        <w:rPr>
          <w:noProof/>
        </w:rPr>
        <w:t xml:space="preserve"> i</w:t>
      </w:r>
      <w:r w:rsidR="00062BFA">
        <w:rPr>
          <w:noProof/>
        </w:rPr>
        <w:t> </w:t>
      </w:r>
      <w:r w:rsidR="00062BFA" w:rsidRPr="004F6DAA">
        <w:rPr>
          <w:noProof/>
        </w:rPr>
        <w:t>jed</w:t>
      </w:r>
      <w:r w:rsidRPr="004F6DAA">
        <w:rPr>
          <w:noProof/>
        </w:rPr>
        <w:t>nolitego wdrożenia niniejszego rozporządzenia</w:t>
      </w:r>
      <w:r w:rsidR="00062BFA" w:rsidRPr="004F6DAA">
        <w:rPr>
          <w:noProof/>
        </w:rPr>
        <w:t xml:space="preserve"> w</w:t>
      </w:r>
      <w:r w:rsidR="00062BFA">
        <w:rPr>
          <w:noProof/>
        </w:rPr>
        <w:t> </w:t>
      </w:r>
      <w:r w:rsidR="00062BFA" w:rsidRPr="004F6DAA">
        <w:rPr>
          <w:noProof/>
        </w:rPr>
        <w:t>cał</w:t>
      </w:r>
      <w:r w:rsidRPr="004F6DAA">
        <w:rPr>
          <w:noProof/>
        </w:rPr>
        <w:t>ej Unii.</w:t>
      </w:r>
    </w:p>
    <w:p w14:paraId="6251780F" w14:textId="77777777" w:rsidR="00DE3BCD" w:rsidRPr="004F6DAA" w:rsidRDefault="00DE3BCD" w:rsidP="00DE3BCD">
      <w:pPr>
        <w:pBdr>
          <w:top w:val="nil"/>
          <w:left w:val="nil"/>
          <w:bottom w:val="nil"/>
          <w:right w:val="nil"/>
          <w:between w:val="nil"/>
          <w:bar w:val="nil"/>
        </w:pBdr>
        <w:spacing w:before="0"/>
        <w:rPr>
          <w:noProof/>
        </w:rPr>
      </w:pPr>
      <w:r w:rsidRPr="004F6DAA">
        <w:rPr>
          <w:noProof/>
        </w:rPr>
        <w:t>W związku</w:t>
      </w:r>
      <w:r w:rsidR="00062BFA" w:rsidRPr="004F6DAA">
        <w:rPr>
          <w:noProof/>
        </w:rPr>
        <w:t xml:space="preserve"> z</w:t>
      </w:r>
      <w:r w:rsidR="00062BFA">
        <w:rPr>
          <w:noProof/>
        </w:rPr>
        <w:t> </w:t>
      </w:r>
      <w:r w:rsidR="00062BFA" w:rsidRPr="004F6DAA">
        <w:rPr>
          <w:noProof/>
        </w:rPr>
        <w:t>tym w</w:t>
      </w:r>
      <w:r w:rsidR="00062BFA">
        <w:rPr>
          <w:noProof/>
        </w:rPr>
        <w:t> </w:t>
      </w:r>
      <w:r w:rsidR="00062BFA" w:rsidRPr="00062BFA">
        <w:rPr>
          <w:noProof/>
        </w:rPr>
        <w:t>ust</w:t>
      </w:r>
      <w:r w:rsidRPr="00062BFA">
        <w:rPr>
          <w:noProof/>
        </w:rPr>
        <w:t>.</w:t>
      </w:r>
      <w:r w:rsidR="00062BFA" w:rsidRPr="00062BFA">
        <w:rPr>
          <w:noProof/>
        </w:rPr>
        <w:t> </w:t>
      </w:r>
      <w:r w:rsidRPr="00062BFA">
        <w:rPr>
          <w:noProof/>
        </w:rPr>
        <w:t>2</w:t>
      </w:r>
      <w:r w:rsidRPr="004F6DAA">
        <w:rPr>
          <w:noProof/>
        </w:rPr>
        <w:t xml:space="preserve"> zawarto wykaz sankcji, które należy wprowadzić do krajowych systemów prawnych. Wykaz ten obejmuje grzywny, konfiskatę odnośnych towarów</w:t>
      </w:r>
      <w:r w:rsidR="00062BFA" w:rsidRPr="004F6DAA">
        <w:rPr>
          <w:noProof/>
        </w:rPr>
        <w:t xml:space="preserve"> i</w:t>
      </w:r>
      <w:r w:rsidR="00062BFA">
        <w:rPr>
          <w:noProof/>
        </w:rPr>
        <w:t> </w:t>
      </w:r>
      <w:r w:rsidR="00062BFA" w:rsidRPr="004F6DAA">
        <w:rPr>
          <w:noProof/>
        </w:rPr>
        <w:t>pro</w:t>
      </w:r>
      <w:r w:rsidRPr="004F6DAA">
        <w:rPr>
          <w:noProof/>
        </w:rPr>
        <w:t>duktów, jak również konfiskatę dochodów, zawieszenie lub zakaz prowadzenia danej działalności gospodarczej oraz wykluczenie podmiotów</w:t>
      </w:r>
      <w:r w:rsidR="00062BFA" w:rsidRPr="004F6DAA">
        <w:rPr>
          <w:noProof/>
        </w:rPr>
        <w:t xml:space="preserve"> i</w:t>
      </w:r>
      <w:r w:rsidR="00062BFA">
        <w:rPr>
          <w:noProof/>
        </w:rPr>
        <w:t> </w:t>
      </w:r>
      <w:r w:rsidR="00062BFA" w:rsidRPr="004F6DAA">
        <w:rPr>
          <w:noProof/>
        </w:rPr>
        <w:t>pod</w:t>
      </w:r>
      <w:r w:rsidRPr="004F6DAA">
        <w:rPr>
          <w:noProof/>
        </w:rPr>
        <w:t>miotów handlowych naruszających przepisy rozporządzenia</w:t>
      </w:r>
      <w:r w:rsidR="00062BFA" w:rsidRPr="004F6DAA">
        <w:rPr>
          <w:noProof/>
        </w:rPr>
        <w:t xml:space="preserve"> z</w:t>
      </w:r>
      <w:r w:rsidR="00062BFA">
        <w:rPr>
          <w:noProof/>
        </w:rPr>
        <w:t> </w:t>
      </w:r>
      <w:r w:rsidR="00062BFA" w:rsidRPr="004F6DAA">
        <w:rPr>
          <w:noProof/>
        </w:rPr>
        <w:t>udz</w:t>
      </w:r>
      <w:r w:rsidRPr="004F6DAA">
        <w:rPr>
          <w:noProof/>
        </w:rPr>
        <w:t>iału</w:t>
      </w:r>
      <w:r w:rsidR="00062BFA" w:rsidRPr="004F6DAA">
        <w:rPr>
          <w:noProof/>
        </w:rPr>
        <w:t xml:space="preserve"> w</w:t>
      </w:r>
      <w:r w:rsidR="00062BFA">
        <w:rPr>
          <w:noProof/>
        </w:rPr>
        <w:t> </w:t>
      </w:r>
      <w:r w:rsidR="00062BFA" w:rsidRPr="004F6DAA">
        <w:rPr>
          <w:noProof/>
        </w:rPr>
        <w:t>pro</w:t>
      </w:r>
      <w:r w:rsidRPr="004F6DAA">
        <w:rPr>
          <w:noProof/>
        </w:rPr>
        <w:t>cedurach udzielania zamówień publicznych. Ustawodawstwo państw członkowskich musi przewidywać zmienną wysokość grzywien</w:t>
      </w:r>
      <w:r w:rsidR="00062BFA" w:rsidRPr="004F6DAA">
        <w:rPr>
          <w:noProof/>
        </w:rPr>
        <w:t xml:space="preserve"> w</w:t>
      </w:r>
      <w:r w:rsidR="00062BFA">
        <w:rPr>
          <w:noProof/>
        </w:rPr>
        <w:t> </w:t>
      </w:r>
      <w:r w:rsidR="00062BFA" w:rsidRPr="004F6DAA">
        <w:rPr>
          <w:noProof/>
        </w:rPr>
        <w:t>zal</w:t>
      </w:r>
      <w:r w:rsidRPr="004F6DAA">
        <w:rPr>
          <w:noProof/>
        </w:rPr>
        <w:t>eżności od rocznego obrotu podmiotu lub podmiotu handlowego, który naruszył przepisy rozporządzenia. Ma to szczególne znaczenie jako czynnik zniechęcający duże podmioty</w:t>
      </w:r>
      <w:r w:rsidR="00062BFA" w:rsidRPr="004F6DAA">
        <w:rPr>
          <w:noProof/>
        </w:rPr>
        <w:t xml:space="preserve"> i</w:t>
      </w:r>
      <w:r w:rsidR="00062BFA">
        <w:rPr>
          <w:noProof/>
        </w:rPr>
        <w:t> </w:t>
      </w:r>
      <w:r w:rsidR="00062BFA" w:rsidRPr="004F6DAA">
        <w:rPr>
          <w:noProof/>
        </w:rPr>
        <w:t>pod</w:t>
      </w:r>
      <w:r w:rsidRPr="004F6DAA">
        <w:rPr>
          <w:noProof/>
        </w:rPr>
        <w:t>mioty handlowe, które nie są MŚP, do naruszania przepisów rozporządzenia. Służy zatem ustanowieniu skutecznych, proporcjonalnych</w:t>
      </w:r>
      <w:r w:rsidR="00062BFA" w:rsidRPr="004F6DAA">
        <w:rPr>
          <w:noProof/>
        </w:rPr>
        <w:t xml:space="preserve"> i</w:t>
      </w:r>
      <w:r w:rsidR="00062BFA">
        <w:rPr>
          <w:noProof/>
        </w:rPr>
        <w:t> </w:t>
      </w:r>
      <w:r w:rsidR="00062BFA" w:rsidRPr="004F6DAA">
        <w:rPr>
          <w:noProof/>
        </w:rPr>
        <w:t>ods</w:t>
      </w:r>
      <w:r w:rsidRPr="004F6DAA">
        <w:rPr>
          <w:noProof/>
        </w:rPr>
        <w:t>traszających sankcji.</w:t>
      </w:r>
    </w:p>
    <w:p w14:paraId="6A77C4EB" w14:textId="77777777" w:rsidR="00DE3BCD" w:rsidRPr="004F6DAA" w:rsidRDefault="00DE3BCD" w:rsidP="00DE3BCD">
      <w:pPr>
        <w:pStyle w:val="Bullet1"/>
        <w:rPr>
          <w:i/>
          <w:noProof/>
        </w:rPr>
      </w:pPr>
      <w:r w:rsidRPr="004F6DAA">
        <w:rPr>
          <w:i/>
          <w:noProof/>
        </w:rPr>
        <w:t xml:space="preserve">Artykuł 24: Kontrole </w:t>
      </w:r>
    </w:p>
    <w:p w14:paraId="0FCA53AD" w14:textId="77777777" w:rsidR="00DE3BCD" w:rsidRPr="004F6DAA" w:rsidRDefault="00DE3BCD" w:rsidP="00C42B89">
      <w:pPr>
        <w:rPr>
          <w:noProof/>
        </w:rPr>
      </w:pPr>
      <w:r w:rsidRPr="004F6DAA">
        <w:rPr>
          <w:noProof/>
        </w:rPr>
        <w:t xml:space="preserve">W </w:t>
      </w:r>
      <w:r w:rsidRPr="00062BFA">
        <w:rPr>
          <w:noProof/>
        </w:rPr>
        <w:t>art.</w:t>
      </w:r>
      <w:r w:rsidR="00062BFA" w:rsidRPr="00062BFA">
        <w:rPr>
          <w:noProof/>
        </w:rPr>
        <w:t> </w:t>
      </w:r>
      <w:r w:rsidRPr="00062BFA">
        <w:rPr>
          <w:noProof/>
        </w:rPr>
        <w:t>2</w:t>
      </w:r>
      <w:r w:rsidRPr="004F6DAA">
        <w:rPr>
          <w:noProof/>
        </w:rPr>
        <w:t>4 określono zasady przeprowadzania kontroli odnośnych towarów</w:t>
      </w:r>
      <w:r w:rsidR="00062BFA" w:rsidRPr="004F6DAA">
        <w:rPr>
          <w:noProof/>
        </w:rPr>
        <w:t xml:space="preserve"> i</w:t>
      </w:r>
      <w:r w:rsidR="00062BFA">
        <w:rPr>
          <w:noProof/>
        </w:rPr>
        <w:t> </w:t>
      </w:r>
      <w:r w:rsidR="00062BFA" w:rsidRPr="004F6DAA">
        <w:rPr>
          <w:noProof/>
        </w:rPr>
        <w:t>pro</w:t>
      </w:r>
      <w:r w:rsidRPr="004F6DAA">
        <w:rPr>
          <w:noProof/>
        </w:rPr>
        <w:t xml:space="preserve">duktów objętych procedurą celną „dopuszczenia do obrotu” lub „wywozu”. </w:t>
      </w:r>
    </w:p>
    <w:p w14:paraId="5FF8C154" w14:textId="77777777" w:rsidR="00DE3BCD" w:rsidRPr="004F6DAA" w:rsidRDefault="00DE3BCD" w:rsidP="00DE3BCD">
      <w:pPr>
        <w:pBdr>
          <w:top w:val="nil"/>
          <w:left w:val="nil"/>
          <w:bottom w:val="nil"/>
          <w:right w:val="nil"/>
          <w:between w:val="nil"/>
          <w:bar w:val="nil"/>
        </w:pBdr>
        <w:spacing w:before="0"/>
        <w:rPr>
          <w:noProof/>
        </w:rPr>
      </w:pPr>
      <w:r w:rsidRPr="004F6DAA">
        <w:rPr>
          <w:noProof/>
          <w:color w:val="000000"/>
        </w:rPr>
        <w:t xml:space="preserve">W </w:t>
      </w:r>
      <w:r w:rsidRPr="00062BFA">
        <w:rPr>
          <w:noProof/>
          <w:color w:val="000000"/>
        </w:rPr>
        <w:t>ust.</w:t>
      </w:r>
      <w:r w:rsidR="00062BFA" w:rsidRPr="00062BFA">
        <w:rPr>
          <w:noProof/>
          <w:color w:val="000000"/>
        </w:rPr>
        <w:t> </w:t>
      </w:r>
      <w:r w:rsidRPr="00062BFA">
        <w:rPr>
          <w:noProof/>
          <w:color w:val="000000"/>
        </w:rPr>
        <w:t>2</w:t>
      </w:r>
      <w:r w:rsidRPr="004F6DAA">
        <w:rPr>
          <w:noProof/>
          <w:color w:val="000000"/>
        </w:rPr>
        <w:t xml:space="preserve"> określono, że właściwe organy są odpowiedzialne za sprawdzanie zgodności</w:t>
      </w:r>
      <w:r w:rsidR="00062BFA" w:rsidRPr="004F6DAA">
        <w:rPr>
          <w:noProof/>
          <w:color w:val="000000"/>
        </w:rPr>
        <w:t xml:space="preserve"> z</w:t>
      </w:r>
      <w:r w:rsidR="00062BFA">
        <w:rPr>
          <w:noProof/>
          <w:color w:val="000000"/>
        </w:rPr>
        <w:t> </w:t>
      </w:r>
      <w:r w:rsidR="00062BFA" w:rsidRPr="004F6DAA">
        <w:rPr>
          <w:noProof/>
          <w:color w:val="000000"/>
        </w:rPr>
        <w:t>nin</w:t>
      </w:r>
      <w:r w:rsidRPr="004F6DAA">
        <w:rPr>
          <w:noProof/>
          <w:color w:val="000000"/>
        </w:rPr>
        <w:t>iejszym rozporządzeniem,</w:t>
      </w:r>
      <w:r w:rsidR="00062BFA" w:rsidRPr="004F6DAA">
        <w:rPr>
          <w:noProof/>
          <w:color w:val="000000"/>
        </w:rPr>
        <w:t xml:space="preserve"> w</w:t>
      </w:r>
      <w:r w:rsidR="00062BFA">
        <w:rPr>
          <w:noProof/>
          <w:color w:val="000000"/>
        </w:rPr>
        <w:t> </w:t>
      </w:r>
      <w:r w:rsidR="00062BFA" w:rsidRPr="004F6DAA">
        <w:rPr>
          <w:noProof/>
          <w:color w:val="000000"/>
        </w:rPr>
        <w:t>tym w</w:t>
      </w:r>
      <w:r w:rsidR="00062BFA">
        <w:rPr>
          <w:noProof/>
          <w:color w:val="000000"/>
        </w:rPr>
        <w:t> </w:t>
      </w:r>
      <w:r w:rsidR="00062BFA" w:rsidRPr="004F6DAA">
        <w:rPr>
          <w:noProof/>
          <w:color w:val="000000"/>
        </w:rPr>
        <w:t>odn</w:t>
      </w:r>
      <w:r w:rsidRPr="004F6DAA">
        <w:rPr>
          <w:noProof/>
          <w:color w:val="000000"/>
        </w:rPr>
        <w:t>iesieniu do towarów lub produktów wprowadzanych na rynek unijny lub</w:t>
      </w:r>
      <w:r w:rsidR="00062BFA" w:rsidRPr="004F6DAA">
        <w:rPr>
          <w:noProof/>
          <w:color w:val="000000"/>
        </w:rPr>
        <w:t xml:space="preserve"> z</w:t>
      </w:r>
      <w:r w:rsidR="00062BFA">
        <w:rPr>
          <w:noProof/>
          <w:color w:val="000000"/>
        </w:rPr>
        <w:t> </w:t>
      </w:r>
      <w:r w:rsidR="00062BFA" w:rsidRPr="004F6DAA">
        <w:rPr>
          <w:noProof/>
          <w:color w:val="000000"/>
        </w:rPr>
        <w:t>nie</w:t>
      </w:r>
      <w:r w:rsidRPr="004F6DAA">
        <w:rPr>
          <w:noProof/>
          <w:color w:val="000000"/>
        </w:rPr>
        <w:t xml:space="preserve">go wyprowadzanych. </w:t>
      </w:r>
      <w:r w:rsidRPr="004F6DAA">
        <w:rPr>
          <w:noProof/>
        </w:rPr>
        <w:t>Wyjaśniono</w:t>
      </w:r>
      <w:r w:rsidR="00062BFA" w:rsidRPr="004F6DAA">
        <w:rPr>
          <w:noProof/>
        </w:rPr>
        <w:t xml:space="preserve"> w</w:t>
      </w:r>
      <w:r w:rsidR="00062BFA">
        <w:rPr>
          <w:noProof/>
        </w:rPr>
        <w:t> </w:t>
      </w:r>
      <w:r w:rsidR="00062BFA" w:rsidRPr="004F6DAA">
        <w:rPr>
          <w:noProof/>
        </w:rPr>
        <w:t>nim</w:t>
      </w:r>
      <w:r w:rsidRPr="004F6DAA">
        <w:rPr>
          <w:noProof/>
        </w:rPr>
        <w:t xml:space="preserve"> również powiązania</w:t>
      </w:r>
      <w:r w:rsidR="00062BFA" w:rsidRPr="004F6DAA">
        <w:rPr>
          <w:noProof/>
        </w:rPr>
        <w:t xml:space="preserve"> z</w:t>
      </w:r>
      <w:r w:rsidR="00062BFA">
        <w:rPr>
          <w:noProof/>
        </w:rPr>
        <w:t> </w:t>
      </w:r>
      <w:r w:rsidR="00062BFA" w:rsidRPr="004F6DAA">
        <w:rPr>
          <w:noProof/>
        </w:rPr>
        <w:t>prz</w:t>
      </w:r>
      <w:r w:rsidRPr="004F6DAA">
        <w:rPr>
          <w:noProof/>
        </w:rPr>
        <w:t xml:space="preserve">episami rozporządzenia (UE) </w:t>
      </w:r>
      <w:r w:rsidRPr="00062BFA">
        <w:rPr>
          <w:noProof/>
        </w:rPr>
        <w:t>nr</w:t>
      </w:r>
      <w:r w:rsidR="00062BFA" w:rsidRPr="00062BFA">
        <w:rPr>
          <w:noProof/>
        </w:rPr>
        <w:t> </w:t>
      </w:r>
      <w:r w:rsidRPr="00062BFA">
        <w:rPr>
          <w:noProof/>
        </w:rPr>
        <w:t>9</w:t>
      </w:r>
      <w:r w:rsidRPr="004F6DAA">
        <w:rPr>
          <w:noProof/>
        </w:rPr>
        <w:t>52/2013</w:t>
      </w:r>
      <w:r w:rsidR="00062BFA" w:rsidRPr="004F6DAA">
        <w:rPr>
          <w:noProof/>
        </w:rPr>
        <w:t xml:space="preserve"> i</w:t>
      </w:r>
      <w:r w:rsidR="00062BFA">
        <w:rPr>
          <w:noProof/>
        </w:rPr>
        <w:t> </w:t>
      </w:r>
      <w:r w:rsidR="00062BFA" w:rsidRPr="004F6DAA">
        <w:rPr>
          <w:noProof/>
        </w:rPr>
        <w:t>roz</w:t>
      </w:r>
      <w:r w:rsidRPr="004F6DAA">
        <w:rPr>
          <w:noProof/>
        </w:rPr>
        <w:t>porządzenia (UE) 2019/1020</w:t>
      </w:r>
      <w:r w:rsidR="00062BFA" w:rsidRPr="004F6DAA">
        <w:rPr>
          <w:noProof/>
        </w:rPr>
        <w:t xml:space="preserve">. </w:t>
      </w:r>
      <w:r w:rsidR="00062BFA" w:rsidRPr="004F6DAA">
        <w:rPr>
          <w:noProof/>
          <w:color w:val="000000"/>
        </w:rPr>
        <w:t>W</w:t>
      </w:r>
      <w:r w:rsidR="00062BFA">
        <w:rPr>
          <w:noProof/>
        </w:rPr>
        <w:t> </w:t>
      </w:r>
      <w:r w:rsidR="00062BFA" w:rsidRPr="00062BFA">
        <w:rPr>
          <w:noProof/>
          <w:color w:val="000000"/>
        </w:rPr>
        <w:t>ust</w:t>
      </w:r>
      <w:r w:rsidRPr="00062BFA">
        <w:rPr>
          <w:noProof/>
          <w:color w:val="000000"/>
        </w:rPr>
        <w:t>.</w:t>
      </w:r>
      <w:r w:rsidR="00062BFA" w:rsidRPr="00062BFA">
        <w:rPr>
          <w:noProof/>
          <w:color w:val="000000"/>
        </w:rPr>
        <w:t> </w:t>
      </w:r>
      <w:r w:rsidRPr="00062BFA">
        <w:rPr>
          <w:noProof/>
          <w:color w:val="000000"/>
        </w:rPr>
        <w:t>3</w:t>
      </w:r>
      <w:r w:rsidRPr="004F6DAA">
        <w:rPr>
          <w:noProof/>
          <w:color w:val="000000"/>
        </w:rPr>
        <w:t xml:space="preserve"> określono, że główne zadanie organów celnych polega na </w:t>
      </w:r>
      <w:r w:rsidRPr="004F6DAA">
        <w:rPr>
          <w:noProof/>
        </w:rPr>
        <w:t>kontrolowaniu prawidłowości zgłaszania odnośnych towarów</w:t>
      </w:r>
      <w:r w:rsidR="00062BFA" w:rsidRPr="004F6DAA">
        <w:rPr>
          <w:noProof/>
        </w:rPr>
        <w:t xml:space="preserve"> i</w:t>
      </w:r>
      <w:r w:rsidR="00062BFA">
        <w:rPr>
          <w:noProof/>
        </w:rPr>
        <w:t> </w:t>
      </w:r>
      <w:r w:rsidR="00062BFA" w:rsidRPr="004F6DAA">
        <w:rPr>
          <w:noProof/>
        </w:rPr>
        <w:t>pro</w:t>
      </w:r>
      <w:r w:rsidRPr="004F6DAA">
        <w:rPr>
          <w:noProof/>
        </w:rPr>
        <w:t>duktów wprowadzanych na rynek unijny lub</w:t>
      </w:r>
      <w:r w:rsidR="00062BFA" w:rsidRPr="004F6DAA">
        <w:rPr>
          <w:noProof/>
        </w:rPr>
        <w:t xml:space="preserve"> z</w:t>
      </w:r>
      <w:r w:rsidR="00062BFA">
        <w:rPr>
          <w:noProof/>
        </w:rPr>
        <w:t> </w:t>
      </w:r>
      <w:r w:rsidR="00062BFA" w:rsidRPr="004F6DAA">
        <w:rPr>
          <w:noProof/>
        </w:rPr>
        <w:t>nie</w:t>
      </w:r>
      <w:r w:rsidRPr="004F6DAA">
        <w:rPr>
          <w:noProof/>
        </w:rPr>
        <w:t>go wyprowadzanych.</w:t>
      </w:r>
    </w:p>
    <w:p w14:paraId="651D972B" w14:textId="77777777" w:rsidR="00DE3BCD" w:rsidRPr="004F6DAA" w:rsidRDefault="00DE3BCD" w:rsidP="00DE3BCD">
      <w:pPr>
        <w:pBdr>
          <w:top w:val="nil"/>
          <w:left w:val="nil"/>
          <w:bottom w:val="nil"/>
          <w:right w:val="nil"/>
          <w:between w:val="nil"/>
          <w:bar w:val="nil"/>
        </w:pBdr>
        <w:spacing w:before="0"/>
        <w:rPr>
          <w:noProof/>
        </w:rPr>
      </w:pPr>
      <w:r w:rsidRPr="004F6DAA">
        <w:rPr>
          <w:noProof/>
        </w:rPr>
        <w:t>Oświadczenie</w:t>
      </w:r>
      <w:r w:rsidR="00062BFA" w:rsidRPr="004F6DAA">
        <w:rPr>
          <w:noProof/>
        </w:rPr>
        <w:t xml:space="preserve"> o</w:t>
      </w:r>
      <w:r w:rsidR="00062BFA">
        <w:rPr>
          <w:noProof/>
        </w:rPr>
        <w:t> </w:t>
      </w:r>
      <w:r w:rsidR="00062BFA" w:rsidRPr="004F6DAA">
        <w:rPr>
          <w:noProof/>
        </w:rPr>
        <w:t>zac</w:t>
      </w:r>
      <w:r w:rsidRPr="004F6DAA">
        <w:rPr>
          <w:noProof/>
        </w:rPr>
        <w:t>howaniu należytej staranności</w:t>
      </w:r>
      <w:r w:rsidR="00062BFA" w:rsidRPr="004F6DAA">
        <w:rPr>
          <w:noProof/>
        </w:rPr>
        <w:t xml:space="preserve"> w</w:t>
      </w:r>
      <w:r w:rsidR="00062BFA">
        <w:rPr>
          <w:noProof/>
        </w:rPr>
        <w:t> </w:t>
      </w:r>
      <w:r w:rsidR="00062BFA" w:rsidRPr="004F6DAA">
        <w:rPr>
          <w:noProof/>
        </w:rPr>
        <w:t>odn</w:t>
      </w:r>
      <w:r w:rsidRPr="004F6DAA">
        <w:rPr>
          <w:noProof/>
        </w:rPr>
        <w:t>iesieniu do odnośnego towaru lub produktu wprowadzanego na rynek unijny lub</w:t>
      </w:r>
      <w:r w:rsidR="00062BFA" w:rsidRPr="004F6DAA">
        <w:rPr>
          <w:noProof/>
        </w:rPr>
        <w:t xml:space="preserve"> z</w:t>
      </w:r>
      <w:r w:rsidR="00062BFA">
        <w:rPr>
          <w:noProof/>
        </w:rPr>
        <w:t> </w:t>
      </w:r>
      <w:r w:rsidR="00062BFA" w:rsidRPr="004F6DAA">
        <w:rPr>
          <w:noProof/>
        </w:rPr>
        <w:t>nie</w:t>
      </w:r>
      <w:r w:rsidRPr="004F6DAA">
        <w:rPr>
          <w:noProof/>
        </w:rPr>
        <w:t>go wyprowadzanego jest rejestrowane</w:t>
      </w:r>
      <w:r w:rsidR="00062BFA" w:rsidRPr="004F6DAA">
        <w:rPr>
          <w:noProof/>
        </w:rPr>
        <w:t xml:space="preserve"> w</w:t>
      </w:r>
      <w:r w:rsidR="00062BFA">
        <w:rPr>
          <w:noProof/>
        </w:rPr>
        <w:t> </w:t>
      </w:r>
      <w:r w:rsidR="00062BFA" w:rsidRPr="004F6DAA">
        <w:rPr>
          <w:noProof/>
        </w:rPr>
        <w:t>sys</w:t>
      </w:r>
      <w:r w:rsidRPr="004F6DAA">
        <w:rPr>
          <w:noProof/>
        </w:rPr>
        <w:t>temie informacyjnym,</w:t>
      </w:r>
      <w:r w:rsidR="00062BFA" w:rsidRPr="004F6DAA">
        <w:rPr>
          <w:noProof/>
        </w:rPr>
        <w:t xml:space="preserve"> o</w:t>
      </w:r>
      <w:r w:rsidR="00062BFA">
        <w:rPr>
          <w:noProof/>
        </w:rPr>
        <w:t> </w:t>
      </w:r>
      <w:r w:rsidR="00062BFA" w:rsidRPr="004F6DAA">
        <w:rPr>
          <w:noProof/>
        </w:rPr>
        <w:t>któ</w:t>
      </w:r>
      <w:r w:rsidRPr="004F6DAA">
        <w:rPr>
          <w:noProof/>
        </w:rPr>
        <w:t>rym mowa</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1. Zgodnie</w:t>
      </w:r>
      <w:r w:rsidR="00062BFA" w:rsidRPr="004F6DAA">
        <w:rPr>
          <w:noProof/>
        </w:rPr>
        <w:t xml:space="preserve"> z</w:t>
      </w:r>
      <w:r w:rsidR="00062BFA">
        <w:rPr>
          <w:noProof/>
        </w:rPr>
        <w:t> </w:t>
      </w:r>
      <w:r w:rsidR="00062BFA" w:rsidRPr="00062BFA">
        <w:rPr>
          <w:noProof/>
        </w:rPr>
        <w:t>ust</w:t>
      </w:r>
      <w:r w:rsidRPr="00062BFA">
        <w:rPr>
          <w:noProof/>
        </w:rPr>
        <w:t>.</w:t>
      </w:r>
      <w:r w:rsidR="00062BFA" w:rsidRPr="00062BFA">
        <w:rPr>
          <w:noProof/>
        </w:rPr>
        <w:t> </w:t>
      </w:r>
      <w:r w:rsidRPr="00062BFA">
        <w:rPr>
          <w:noProof/>
        </w:rPr>
        <w:t>4</w:t>
      </w:r>
      <w:r w:rsidRPr="004F6DAA">
        <w:rPr>
          <w:noProof/>
        </w:rPr>
        <w:t xml:space="preserve"> wspomniany system informacyjny przypisze następnie oświadczeniu</w:t>
      </w:r>
      <w:r w:rsidR="00062BFA" w:rsidRPr="004F6DAA">
        <w:rPr>
          <w:noProof/>
        </w:rPr>
        <w:t xml:space="preserve"> o</w:t>
      </w:r>
      <w:r w:rsidR="00062BFA">
        <w:rPr>
          <w:noProof/>
        </w:rPr>
        <w:t> </w:t>
      </w:r>
      <w:r w:rsidR="00062BFA" w:rsidRPr="004F6DAA">
        <w:rPr>
          <w:noProof/>
        </w:rPr>
        <w:t>zac</w:t>
      </w:r>
      <w:r w:rsidRPr="004F6DAA">
        <w:rPr>
          <w:noProof/>
        </w:rPr>
        <w:t>howaniu należytej staranności numer referencyjny, który jest udostępniany organom celnym przy składaniu zgłoszenia celnego do dopuszczenia do obrotu lub wywozu tego odnośnego towaru lub produktu,</w:t>
      </w:r>
      <w:r w:rsidR="00062BFA" w:rsidRPr="004F6DAA">
        <w:rPr>
          <w:noProof/>
        </w:rPr>
        <w:t xml:space="preserve"> z</w:t>
      </w:r>
      <w:r w:rsidR="00062BFA">
        <w:rPr>
          <w:noProof/>
        </w:rPr>
        <w:t> </w:t>
      </w:r>
      <w:r w:rsidR="00062BFA" w:rsidRPr="004F6DAA">
        <w:rPr>
          <w:noProof/>
        </w:rPr>
        <w:t>wyj</w:t>
      </w:r>
      <w:r w:rsidRPr="004F6DAA">
        <w:rPr>
          <w:noProof/>
        </w:rPr>
        <w:t>ątkiem przypadków,</w:t>
      </w:r>
      <w:r w:rsidR="00062BFA" w:rsidRPr="004F6DAA">
        <w:rPr>
          <w:noProof/>
        </w:rPr>
        <w:t xml:space="preserve"> w</w:t>
      </w:r>
      <w:r w:rsidR="00062BFA">
        <w:rPr>
          <w:noProof/>
        </w:rPr>
        <w:t> </w:t>
      </w:r>
      <w:r w:rsidR="00062BFA" w:rsidRPr="004F6DAA">
        <w:rPr>
          <w:noProof/>
        </w:rPr>
        <w:t>któ</w:t>
      </w:r>
      <w:r w:rsidRPr="004F6DAA">
        <w:rPr>
          <w:noProof/>
        </w:rPr>
        <w:t>rych oświadczenie</w:t>
      </w:r>
      <w:r w:rsidR="00062BFA" w:rsidRPr="004F6DAA">
        <w:rPr>
          <w:noProof/>
        </w:rPr>
        <w:t xml:space="preserve"> o</w:t>
      </w:r>
      <w:r w:rsidR="00062BFA">
        <w:rPr>
          <w:noProof/>
        </w:rPr>
        <w:t> </w:t>
      </w:r>
      <w:r w:rsidR="00062BFA" w:rsidRPr="004F6DAA">
        <w:rPr>
          <w:noProof/>
        </w:rPr>
        <w:t>zac</w:t>
      </w:r>
      <w:r w:rsidRPr="004F6DAA">
        <w:rPr>
          <w:noProof/>
        </w:rPr>
        <w:t>howaniu należytej staranności jest składane zgodnie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2</w:t>
      </w:r>
      <w:r w:rsidRPr="004F6DAA">
        <w:rPr>
          <w:noProof/>
        </w:rPr>
        <w:t xml:space="preserve">6 </w:t>
      </w:r>
      <w:r w:rsidRPr="00062BFA">
        <w:rPr>
          <w:noProof/>
        </w:rPr>
        <w:t>ust.</w:t>
      </w:r>
      <w:r w:rsidR="00062BFA" w:rsidRPr="00062BFA">
        <w:rPr>
          <w:noProof/>
        </w:rPr>
        <w:t> </w:t>
      </w:r>
      <w:r w:rsidRPr="00062BFA">
        <w:rPr>
          <w:noProof/>
        </w:rPr>
        <w:t>2</w:t>
      </w:r>
      <w:r w:rsidRPr="004F6DAA">
        <w:rPr>
          <w:noProof/>
        </w:rPr>
        <w:t xml:space="preserve">. </w:t>
      </w:r>
    </w:p>
    <w:p w14:paraId="3B3D3CCA" w14:textId="77777777" w:rsidR="00DE3BCD" w:rsidRPr="004F6DAA" w:rsidRDefault="00DE3BCD" w:rsidP="00DE3BCD">
      <w:pPr>
        <w:pBdr>
          <w:top w:val="nil"/>
          <w:left w:val="nil"/>
          <w:bottom w:val="nil"/>
          <w:right w:val="nil"/>
          <w:between w:val="nil"/>
          <w:bar w:val="nil"/>
        </w:pBdr>
        <w:spacing w:before="0"/>
        <w:rPr>
          <w:noProof/>
        </w:rPr>
      </w:pPr>
      <w:r w:rsidRPr="004F6DAA">
        <w:rPr>
          <w:noProof/>
        </w:rPr>
        <w:t xml:space="preserve">W </w:t>
      </w:r>
      <w:r w:rsidRPr="00062BFA">
        <w:rPr>
          <w:noProof/>
        </w:rPr>
        <w:t>ust.</w:t>
      </w:r>
      <w:r w:rsidR="00062BFA" w:rsidRPr="00062BFA">
        <w:rPr>
          <w:noProof/>
        </w:rPr>
        <w:t> </w:t>
      </w:r>
      <w:r w:rsidRPr="00062BFA">
        <w:rPr>
          <w:noProof/>
        </w:rPr>
        <w:t>5</w:t>
      </w:r>
      <w:r w:rsidRPr="004F6DAA">
        <w:rPr>
          <w:noProof/>
        </w:rPr>
        <w:t xml:space="preserve"> nałożono wymóg, aby</w:t>
      </w:r>
      <w:r w:rsidR="00062BFA" w:rsidRPr="004F6DAA">
        <w:rPr>
          <w:noProof/>
        </w:rPr>
        <w:t xml:space="preserve"> w</w:t>
      </w:r>
      <w:r w:rsidR="00062BFA">
        <w:rPr>
          <w:noProof/>
        </w:rPr>
        <w:t> </w:t>
      </w:r>
      <w:r w:rsidR="00062BFA" w:rsidRPr="004F6DAA">
        <w:rPr>
          <w:noProof/>
        </w:rPr>
        <w:t>prz</w:t>
      </w:r>
      <w:r w:rsidRPr="004F6DAA">
        <w:rPr>
          <w:noProof/>
        </w:rPr>
        <w:t>ypadku złożenia zgłoszenia celnego do dopuszczenia do obrotu lub wywozu odnośnego towaru lub produktu wprowadzanego na rynek unijny lub opuszczającego ten rynek organy celne weryfikowały status oświadczenia</w:t>
      </w:r>
      <w:r w:rsidR="00062BFA" w:rsidRPr="004F6DAA">
        <w:rPr>
          <w:noProof/>
        </w:rPr>
        <w:t xml:space="preserve"> o</w:t>
      </w:r>
      <w:r w:rsidR="00062BFA">
        <w:rPr>
          <w:noProof/>
        </w:rPr>
        <w:t> </w:t>
      </w:r>
      <w:r w:rsidR="00062BFA" w:rsidRPr="004F6DAA">
        <w:rPr>
          <w:noProof/>
        </w:rPr>
        <w:t>zac</w:t>
      </w:r>
      <w:r w:rsidRPr="004F6DAA">
        <w:rPr>
          <w:noProof/>
        </w:rPr>
        <w:t>howaniu należytej staranności związanego</w:t>
      </w:r>
      <w:r w:rsidR="00062BFA" w:rsidRPr="004F6DAA">
        <w:rPr>
          <w:noProof/>
        </w:rPr>
        <w:t xml:space="preserve"> z</w:t>
      </w:r>
      <w:r w:rsidR="00062BFA">
        <w:rPr>
          <w:noProof/>
        </w:rPr>
        <w:t> </w:t>
      </w:r>
      <w:r w:rsidR="00062BFA" w:rsidRPr="004F6DAA">
        <w:rPr>
          <w:noProof/>
        </w:rPr>
        <w:t>tym</w:t>
      </w:r>
      <w:r w:rsidRPr="004F6DAA">
        <w:rPr>
          <w:noProof/>
        </w:rPr>
        <w:t xml:space="preserve"> odnośnym towarem lub produktem przy użyciu elektronicznego interfejsu,</w:t>
      </w:r>
      <w:r w:rsidR="00062BFA" w:rsidRPr="004F6DAA">
        <w:rPr>
          <w:noProof/>
        </w:rPr>
        <w:t xml:space="preserve"> o</w:t>
      </w:r>
      <w:r w:rsidR="00062BFA">
        <w:rPr>
          <w:noProof/>
        </w:rPr>
        <w:t> </w:t>
      </w:r>
      <w:r w:rsidR="00062BFA" w:rsidRPr="004F6DAA">
        <w:rPr>
          <w:noProof/>
        </w:rPr>
        <w:t>któ</w:t>
      </w:r>
      <w:r w:rsidRPr="004F6DAA">
        <w:rPr>
          <w:noProof/>
        </w:rPr>
        <w:t>rym mowa</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2</w:t>
      </w:r>
      <w:r w:rsidRPr="004F6DAA">
        <w:rPr>
          <w:noProof/>
        </w:rPr>
        <w:t xml:space="preserve">6 </w:t>
      </w:r>
      <w:r w:rsidRPr="00062BFA">
        <w:rPr>
          <w:noProof/>
        </w:rPr>
        <w:t>ust.</w:t>
      </w:r>
      <w:r w:rsidR="00062BFA" w:rsidRPr="00062BFA">
        <w:rPr>
          <w:noProof/>
        </w:rPr>
        <w:t> </w:t>
      </w:r>
      <w:r w:rsidRPr="00062BFA">
        <w:rPr>
          <w:noProof/>
        </w:rPr>
        <w:t>1</w:t>
      </w:r>
      <w:r w:rsidRPr="004F6DAA">
        <w:rPr>
          <w:noProof/>
        </w:rPr>
        <w:t xml:space="preserve">. </w:t>
      </w:r>
    </w:p>
    <w:p w14:paraId="3751E800" w14:textId="77777777" w:rsidR="00DE3BCD" w:rsidRPr="004F6DAA" w:rsidRDefault="00DE3BCD" w:rsidP="00F55E9D">
      <w:pPr>
        <w:rPr>
          <w:noProof/>
        </w:rPr>
      </w:pPr>
      <w:r w:rsidRPr="004F6DAA">
        <w:rPr>
          <w:noProof/>
        </w:rPr>
        <w:t xml:space="preserve">W </w:t>
      </w:r>
      <w:r w:rsidRPr="00062BFA">
        <w:rPr>
          <w:noProof/>
        </w:rPr>
        <w:t>ust.</w:t>
      </w:r>
      <w:r w:rsidR="00062BFA" w:rsidRPr="00062BFA">
        <w:rPr>
          <w:noProof/>
        </w:rPr>
        <w:t> </w:t>
      </w:r>
      <w:r w:rsidRPr="00062BFA">
        <w:rPr>
          <w:noProof/>
        </w:rPr>
        <w:t>6</w:t>
      </w:r>
      <w:r w:rsidRPr="004F6DAA">
        <w:rPr>
          <w:noProof/>
        </w:rPr>
        <w:t xml:space="preserve"> określono, że jeżeli analiza ryzyka przeprowadzona przez właściwe organy zgodnie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 xml:space="preserve">4 </w:t>
      </w:r>
      <w:r w:rsidRPr="00062BFA">
        <w:rPr>
          <w:noProof/>
        </w:rPr>
        <w:t>ust.</w:t>
      </w:r>
      <w:r w:rsidR="00062BFA" w:rsidRPr="00062BFA">
        <w:rPr>
          <w:noProof/>
        </w:rPr>
        <w:t> </w:t>
      </w:r>
      <w:r w:rsidRPr="00062BFA">
        <w:rPr>
          <w:noProof/>
        </w:rPr>
        <w:t>4</w:t>
      </w:r>
      <w:r w:rsidRPr="004F6DAA">
        <w:rPr>
          <w:noProof/>
        </w:rPr>
        <w:t xml:space="preserve"> wykaże, że</w:t>
      </w:r>
      <w:r w:rsidR="00062BFA" w:rsidRPr="004F6DAA">
        <w:rPr>
          <w:noProof/>
        </w:rPr>
        <w:t xml:space="preserve"> w</w:t>
      </w:r>
      <w:r w:rsidR="00062BFA">
        <w:rPr>
          <w:noProof/>
        </w:rPr>
        <w:t> </w:t>
      </w:r>
      <w:r w:rsidR="00062BFA" w:rsidRPr="004F6DAA">
        <w:rPr>
          <w:noProof/>
        </w:rPr>
        <w:t>prz</w:t>
      </w:r>
      <w:r w:rsidRPr="004F6DAA">
        <w:rPr>
          <w:noProof/>
        </w:rPr>
        <w:t>ypadku odnośnego towaru lub produktu istnieje wysokie ryzyko niezgodności</w:t>
      </w:r>
      <w:r w:rsidR="00062BFA" w:rsidRPr="004F6DAA">
        <w:rPr>
          <w:noProof/>
        </w:rPr>
        <w:t xml:space="preserve"> z</w:t>
      </w:r>
      <w:r w:rsidR="00062BFA">
        <w:rPr>
          <w:noProof/>
        </w:rPr>
        <w:t> </w:t>
      </w:r>
      <w:r w:rsidR="00062BFA" w:rsidRPr="004F6DAA">
        <w:rPr>
          <w:noProof/>
        </w:rPr>
        <w:t>wym</w:t>
      </w:r>
      <w:r w:rsidRPr="004F6DAA">
        <w:rPr>
          <w:noProof/>
        </w:rPr>
        <w:t>ogami niniejszego rozporządzenia, status oświadczenia</w:t>
      </w:r>
      <w:r w:rsidR="00062BFA" w:rsidRPr="004F6DAA">
        <w:rPr>
          <w:noProof/>
        </w:rPr>
        <w:t xml:space="preserve"> o</w:t>
      </w:r>
      <w:r w:rsidR="00062BFA">
        <w:rPr>
          <w:noProof/>
        </w:rPr>
        <w:t> </w:t>
      </w:r>
      <w:r w:rsidR="00062BFA" w:rsidRPr="004F6DAA">
        <w:rPr>
          <w:noProof/>
        </w:rPr>
        <w:t>zac</w:t>
      </w:r>
      <w:r w:rsidRPr="004F6DAA">
        <w:rPr>
          <w:noProof/>
        </w:rPr>
        <w:t>howaniu należytej staranności związanego</w:t>
      </w:r>
      <w:r w:rsidR="00062BFA" w:rsidRPr="004F6DAA">
        <w:rPr>
          <w:noProof/>
        </w:rPr>
        <w:t xml:space="preserve"> z</w:t>
      </w:r>
      <w:r w:rsidR="00062BFA">
        <w:rPr>
          <w:noProof/>
        </w:rPr>
        <w:t> </w:t>
      </w:r>
      <w:r w:rsidR="00062BFA" w:rsidRPr="004F6DAA">
        <w:rPr>
          <w:noProof/>
        </w:rPr>
        <w:t>tym</w:t>
      </w:r>
      <w:r w:rsidRPr="004F6DAA">
        <w:rPr>
          <w:noProof/>
        </w:rPr>
        <w:t xml:space="preserve"> odnośnym towarem lub produktem należy odpowiednio zmienić</w:t>
      </w:r>
      <w:r w:rsidR="00062BFA" w:rsidRPr="004F6DAA">
        <w:rPr>
          <w:noProof/>
        </w:rPr>
        <w:t xml:space="preserve"> w</w:t>
      </w:r>
      <w:r w:rsidR="00062BFA">
        <w:rPr>
          <w:noProof/>
        </w:rPr>
        <w:t> </w:t>
      </w:r>
      <w:r w:rsidR="00062BFA" w:rsidRPr="004F6DAA">
        <w:rPr>
          <w:noProof/>
        </w:rPr>
        <w:t>sys</w:t>
      </w:r>
      <w:r w:rsidRPr="004F6DAA">
        <w:rPr>
          <w:noProof/>
        </w:rPr>
        <w:t>temie informacyjnym</w:t>
      </w:r>
      <w:r w:rsidR="00062BFA" w:rsidRPr="004F6DAA">
        <w:rPr>
          <w:noProof/>
        </w:rPr>
        <w:t>. W</w:t>
      </w:r>
      <w:r w:rsidR="00062BFA">
        <w:rPr>
          <w:noProof/>
        </w:rPr>
        <w:t> </w:t>
      </w:r>
      <w:r w:rsidR="00062BFA" w:rsidRPr="004F6DAA">
        <w:rPr>
          <w:noProof/>
        </w:rPr>
        <w:t>tak</w:t>
      </w:r>
      <w:r w:rsidRPr="004F6DAA">
        <w:rPr>
          <w:noProof/>
        </w:rPr>
        <w:t>ich okolicznościach organy celne powinny zawiesić dopuszczenie do obrotu lub wywozu tego odnośnego towaru lub produktu.</w:t>
      </w:r>
    </w:p>
    <w:p w14:paraId="5C3E20F0" w14:textId="77777777" w:rsidR="00DE3BCD" w:rsidRPr="004F6DAA" w:rsidRDefault="00DE3BCD" w:rsidP="00F55E9D">
      <w:pPr>
        <w:rPr>
          <w:noProof/>
        </w:rPr>
      </w:pPr>
      <w:r w:rsidRPr="004F6DAA">
        <w:rPr>
          <w:noProof/>
        </w:rPr>
        <w:t xml:space="preserve">W </w:t>
      </w:r>
      <w:r w:rsidRPr="00062BFA">
        <w:rPr>
          <w:noProof/>
        </w:rPr>
        <w:t>ust.</w:t>
      </w:r>
      <w:r w:rsidR="00062BFA" w:rsidRPr="00062BFA">
        <w:rPr>
          <w:noProof/>
        </w:rPr>
        <w:t> </w:t>
      </w:r>
      <w:r w:rsidRPr="00062BFA">
        <w:rPr>
          <w:noProof/>
        </w:rPr>
        <w:t>7</w:t>
      </w:r>
      <w:r w:rsidRPr="004F6DAA">
        <w:rPr>
          <w:noProof/>
        </w:rPr>
        <w:t xml:space="preserve"> określono warunki, zgodnie</w:t>
      </w:r>
      <w:r w:rsidR="00062BFA" w:rsidRPr="004F6DAA">
        <w:rPr>
          <w:noProof/>
        </w:rPr>
        <w:t xml:space="preserve"> z</w:t>
      </w:r>
      <w:r w:rsidR="00062BFA">
        <w:rPr>
          <w:noProof/>
        </w:rPr>
        <w:t> </w:t>
      </w:r>
      <w:r w:rsidR="00062BFA" w:rsidRPr="004F6DAA">
        <w:rPr>
          <w:noProof/>
        </w:rPr>
        <w:t>któ</w:t>
      </w:r>
      <w:r w:rsidRPr="004F6DAA">
        <w:rPr>
          <w:noProof/>
        </w:rPr>
        <w:t>rymi organy celne powinny zezwolić na dopuszczenie do obrotu lub wywozu</w:t>
      </w:r>
      <w:r w:rsidRPr="004F6DAA">
        <w:rPr>
          <w:b/>
          <w:noProof/>
        </w:rPr>
        <w:t xml:space="preserve"> </w:t>
      </w:r>
      <w:r w:rsidRPr="004F6DAA">
        <w:rPr>
          <w:noProof/>
        </w:rPr>
        <w:t xml:space="preserve">odnośnego towaru lub produktu. </w:t>
      </w:r>
    </w:p>
    <w:p w14:paraId="56828854" w14:textId="77777777" w:rsidR="00DE3BCD" w:rsidRPr="004F6DAA" w:rsidRDefault="00DE3BCD" w:rsidP="00F55E9D">
      <w:pPr>
        <w:rPr>
          <w:noProof/>
        </w:rPr>
      </w:pPr>
      <w:r w:rsidRPr="004F6DAA">
        <w:rPr>
          <w:noProof/>
        </w:rPr>
        <w:t xml:space="preserve">W </w:t>
      </w:r>
      <w:r w:rsidRPr="00062BFA">
        <w:rPr>
          <w:noProof/>
        </w:rPr>
        <w:t>ust.</w:t>
      </w:r>
      <w:r w:rsidR="00062BFA" w:rsidRPr="00062BFA">
        <w:rPr>
          <w:noProof/>
        </w:rPr>
        <w:t> </w:t>
      </w:r>
      <w:r w:rsidRPr="00062BFA">
        <w:rPr>
          <w:noProof/>
        </w:rPr>
        <w:t>8</w:t>
      </w:r>
      <w:r w:rsidRPr="004F6DAA">
        <w:rPr>
          <w:noProof/>
        </w:rPr>
        <w:t xml:space="preserve"> określono sposób postępowania</w:t>
      </w:r>
      <w:r w:rsidR="00062BFA" w:rsidRPr="004F6DAA">
        <w:rPr>
          <w:noProof/>
        </w:rPr>
        <w:t xml:space="preserve"> w</w:t>
      </w:r>
      <w:r w:rsidR="00062BFA">
        <w:rPr>
          <w:noProof/>
        </w:rPr>
        <w:t> </w:t>
      </w:r>
      <w:r w:rsidR="00062BFA" w:rsidRPr="004F6DAA">
        <w:rPr>
          <w:noProof/>
        </w:rPr>
        <w:t>syt</w:t>
      </w:r>
      <w:r w:rsidRPr="004F6DAA">
        <w:rPr>
          <w:noProof/>
        </w:rPr>
        <w:t>uacji,</w:t>
      </w:r>
      <w:r w:rsidR="00062BFA" w:rsidRPr="004F6DAA">
        <w:rPr>
          <w:noProof/>
        </w:rPr>
        <w:t xml:space="preserve"> w</w:t>
      </w:r>
      <w:r w:rsidR="00062BFA">
        <w:rPr>
          <w:noProof/>
        </w:rPr>
        <w:t> </w:t>
      </w:r>
      <w:r w:rsidR="00062BFA" w:rsidRPr="004F6DAA">
        <w:rPr>
          <w:noProof/>
        </w:rPr>
        <w:t>któ</w:t>
      </w:r>
      <w:r w:rsidRPr="004F6DAA">
        <w:rPr>
          <w:noProof/>
        </w:rPr>
        <w:t>rej właściwe organy stwierdzą, że odnośny towar lub produkt wprowadzany na rynek unijny lub wyprowadzany</w:t>
      </w:r>
      <w:r w:rsidR="00062BFA" w:rsidRPr="004F6DAA">
        <w:rPr>
          <w:noProof/>
        </w:rPr>
        <w:t xml:space="preserve"> z</w:t>
      </w:r>
      <w:r w:rsidR="00062BFA">
        <w:rPr>
          <w:noProof/>
        </w:rPr>
        <w:t> </w:t>
      </w:r>
      <w:r w:rsidR="00062BFA" w:rsidRPr="004F6DAA">
        <w:rPr>
          <w:noProof/>
        </w:rPr>
        <w:t>nie</w:t>
      </w:r>
      <w:r w:rsidRPr="004F6DAA">
        <w:rPr>
          <w:noProof/>
        </w:rPr>
        <w:t>go nie jest zgodny</w:t>
      </w:r>
      <w:r w:rsidR="00062BFA" w:rsidRPr="004F6DAA">
        <w:rPr>
          <w:noProof/>
        </w:rPr>
        <w:t xml:space="preserve"> z</w:t>
      </w:r>
      <w:r w:rsidR="00062BFA">
        <w:rPr>
          <w:noProof/>
        </w:rPr>
        <w:t> </w:t>
      </w:r>
      <w:r w:rsidR="00062BFA" w:rsidRPr="004F6DAA">
        <w:rPr>
          <w:noProof/>
        </w:rPr>
        <w:t>nin</w:t>
      </w:r>
      <w:r w:rsidRPr="004F6DAA">
        <w:rPr>
          <w:noProof/>
        </w:rPr>
        <w:t>iejszym rozporządzeniem</w:t>
      </w:r>
      <w:r w:rsidR="00062BFA" w:rsidRPr="004F6DAA">
        <w:rPr>
          <w:noProof/>
        </w:rPr>
        <w:t>. W</w:t>
      </w:r>
      <w:r w:rsidR="00062BFA">
        <w:rPr>
          <w:noProof/>
        </w:rPr>
        <w:t> </w:t>
      </w:r>
      <w:r w:rsidR="00062BFA" w:rsidRPr="004F6DAA">
        <w:rPr>
          <w:noProof/>
        </w:rPr>
        <w:t>tak</w:t>
      </w:r>
      <w:r w:rsidRPr="004F6DAA">
        <w:rPr>
          <w:noProof/>
        </w:rPr>
        <w:t>im przypadku właściwe organy powinny odpowiednio zmienić</w:t>
      </w:r>
      <w:r w:rsidR="00062BFA" w:rsidRPr="004F6DAA">
        <w:rPr>
          <w:noProof/>
        </w:rPr>
        <w:t xml:space="preserve"> w</w:t>
      </w:r>
      <w:r w:rsidR="00062BFA">
        <w:rPr>
          <w:noProof/>
        </w:rPr>
        <w:t> </w:t>
      </w:r>
      <w:r w:rsidR="00062BFA" w:rsidRPr="004F6DAA">
        <w:rPr>
          <w:noProof/>
        </w:rPr>
        <w:t>sys</w:t>
      </w:r>
      <w:r w:rsidRPr="004F6DAA">
        <w:rPr>
          <w:noProof/>
        </w:rPr>
        <w:t>temie informacyjnym status oświadczenia</w:t>
      </w:r>
      <w:r w:rsidR="00062BFA" w:rsidRPr="004F6DAA">
        <w:rPr>
          <w:noProof/>
        </w:rPr>
        <w:t xml:space="preserve"> o</w:t>
      </w:r>
      <w:r w:rsidR="00062BFA">
        <w:rPr>
          <w:noProof/>
        </w:rPr>
        <w:t> </w:t>
      </w:r>
      <w:r w:rsidR="00062BFA" w:rsidRPr="004F6DAA">
        <w:rPr>
          <w:noProof/>
        </w:rPr>
        <w:t>zac</w:t>
      </w:r>
      <w:r w:rsidRPr="004F6DAA">
        <w:rPr>
          <w:noProof/>
        </w:rPr>
        <w:t>howaniu należytej staranności</w:t>
      </w:r>
      <w:r w:rsidR="00062BFA" w:rsidRPr="004F6DAA">
        <w:rPr>
          <w:noProof/>
        </w:rPr>
        <w:t xml:space="preserve"> i</w:t>
      </w:r>
      <w:r w:rsidR="00062BFA">
        <w:rPr>
          <w:noProof/>
        </w:rPr>
        <w:t> </w:t>
      </w:r>
      <w:r w:rsidR="00062BFA" w:rsidRPr="004F6DAA">
        <w:rPr>
          <w:noProof/>
        </w:rPr>
        <w:t>mog</w:t>
      </w:r>
      <w:r w:rsidRPr="004F6DAA">
        <w:rPr>
          <w:noProof/>
        </w:rPr>
        <w:t>ą również wskazać</w:t>
      </w:r>
      <w:r w:rsidR="00062BFA" w:rsidRPr="004F6DAA">
        <w:rPr>
          <w:noProof/>
        </w:rPr>
        <w:t xml:space="preserve"> w</w:t>
      </w:r>
      <w:r w:rsidR="00062BFA">
        <w:rPr>
          <w:noProof/>
        </w:rPr>
        <w:t> </w:t>
      </w:r>
      <w:r w:rsidR="00062BFA" w:rsidRPr="004F6DAA">
        <w:rPr>
          <w:noProof/>
        </w:rPr>
        <w:t>sys</w:t>
      </w:r>
      <w:r w:rsidRPr="004F6DAA">
        <w:rPr>
          <w:noProof/>
        </w:rPr>
        <w:t xml:space="preserve">temie informacyjnym, że sprzeciwiają się objęciu odnośnego towaru lub produktu innymi procedurami celnymi. </w:t>
      </w:r>
    </w:p>
    <w:p w14:paraId="68B4E2FE" w14:textId="77777777" w:rsidR="00DE3BCD" w:rsidRPr="004F6DAA" w:rsidRDefault="00DE3BCD" w:rsidP="00F55E9D">
      <w:pPr>
        <w:rPr>
          <w:noProof/>
        </w:rPr>
      </w:pPr>
      <w:r w:rsidRPr="004F6DAA">
        <w:rPr>
          <w:noProof/>
        </w:rPr>
        <w:t>Po otrzymaniu powiadomienia</w:t>
      </w:r>
      <w:r w:rsidR="00062BFA" w:rsidRPr="004F6DAA">
        <w:rPr>
          <w:noProof/>
        </w:rPr>
        <w:t xml:space="preserve"> o</w:t>
      </w:r>
      <w:r w:rsidR="00062BFA">
        <w:rPr>
          <w:noProof/>
        </w:rPr>
        <w:t> </w:t>
      </w:r>
      <w:r w:rsidR="00062BFA" w:rsidRPr="004F6DAA">
        <w:rPr>
          <w:noProof/>
        </w:rPr>
        <w:t>sta</w:t>
      </w:r>
      <w:r w:rsidRPr="004F6DAA">
        <w:rPr>
          <w:noProof/>
        </w:rPr>
        <w:t>tusie organy celne nie powinny zezwolić</w:t>
      </w:r>
      <w:r w:rsidRPr="004F6DAA">
        <w:rPr>
          <w:b/>
          <w:noProof/>
        </w:rPr>
        <w:t xml:space="preserve"> </w:t>
      </w:r>
      <w:r w:rsidRPr="004F6DAA">
        <w:rPr>
          <w:noProof/>
        </w:rPr>
        <w:t>na dopuszczenie do obrotu lub wywóz odnośnego towaru lub produktu oraz powinny zamieścić odpowiednią informację</w:t>
      </w:r>
      <w:r w:rsidR="00062BFA" w:rsidRPr="004F6DAA">
        <w:rPr>
          <w:noProof/>
        </w:rPr>
        <w:t xml:space="preserve"> w</w:t>
      </w:r>
      <w:r w:rsidR="00062BFA">
        <w:rPr>
          <w:noProof/>
        </w:rPr>
        <w:t> </w:t>
      </w:r>
      <w:r w:rsidR="00062BFA" w:rsidRPr="004F6DAA">
        <w:rPr>
          <w:noProof/>
        </w:rPr>
        <w:t>sys</w:t>
      </w:r>
      <w:r w:rsidRPr="004F6DAA">
        <w:rPr>
          <w:noProof/>
        </w:rPr>
        <w:t>temie przetwarzania danych celnych oraz,</w:t>
      </w:r>
      <w:r w:rsidR="00062BFA" w:rsidRPr="004F6DAA">
        <w:rPr>
          <w:noProof/>
        </w:rPr>
        <w:t xml:space="preserve"> w</w:t>
      </w:r>
      <w:r w:rsidR="00062BFA">
        <w:rPr>
          <w:noProof/>
        </w:rPr>
        <w:t> </w:t>
      </w:r>
      <w:r w:rsidR="00062BFA" w:rsidRPr="004F6DAA">
        <w:rPr>
          <w:noProof/>
        </w:rPr>
        <w:t>mia</w:t>
      </w:r>
      <w:r w:rsidRPr="004F6DAA">
        <w:rPr>
          <w:noProof/>
        </w:rPr>
        <w:t xml:space="preserve">rę możliwości, na każdym dokumencie towarzyszącym </w:t>
      </w:r>
      <w:r w:rsidR="002B56DE">
        <w:rPr>
          <w:noProof/>
        </w:rPr>
        <w:t>odnośnemu</w:t>
      </w:r>
      <w:r w:rsidRPr="004F6DAA">
        <w:rPr>
          <w:noProof/>
        </w:rPr>
        <w:t xml:space="preserve"> towarowi lub produktowi.</w:t>
      </w:r>
    </w:p>
    <w:p w14:paraId="7E751A5D" w14:textId="77777777" w:rsidR="00DE3BCD" w:rsidRPr="004F6DAA" w:rsidRDefault="00DE3BCD" w:rsidP="00F55E9D">
      <w:pPr>
        <w:rPr>
          <w:noProof/>
        </w:rPr>
      </w:pPr>
      <w:r w:rsidRPr="004F6DAA">
        <w:rPr>
          <w:noProof/>
        </w:rPr>
        <w:t>Jeżeli odnośny towar lub produkt jest następnie zgłaszany do innych procedur celnych</w:t>
      </w:r>
      <w:r w:rsidR="00062BFA" w:rsidRPr="004F6DAA">
        <w:rPr>
          <w:noProof/>
        </w:rPr>
        <w:t xml:space="preserve"> i</w:t>
      </w:r>
      <w:r w:rsidR="00062BFA">
        <w:rPr>
          <w:noProof/>
        </w:rPr>
        <w:t> </w:t>
      </w:r>
      <w:r w:rsidR="00062BFA" w:rsidRPr="004F6DAA">
        <w:rPr>
          <w:noProof/>
        </w:rPr>
        <w:t>pod</w:t>
      </w:r>
      <w:r w:rsidRPr="004F6DAA">
        <w:rPr>
          <w:noProof/>
        </w:rPr>
        <w:t xml:space="preserve"> warunkiem że właściwe organy nie zgłosiły sprzeciwu wobec takiego umieszczenia, podmioty włączają takie powiadomienie do zgłoszeń celnych</w:t>
      </w:r>
      <w:r w:rsidR="00062BFA" w:rsidRPr="004F6DAA">
        <w:rPr>
          <w:noProof/>
        </w:rPr>
        <w:t xml:space="preserve"> i</w:t>
      </w:r>
      <w:r w:rsidR="00062BFA">
        <w:rPr>
          <w:noProof/>
        </w:rPr>
        <w:t> </w:t>
      </w:r>
      <w:r w:rsidR="00062BFA" w:rsidRPr="004F6DAA">
        <w:rPr>
          <w:noProof/>
        </w:rPr>
        <w:t>rej</w:t>
      </w:r>
      <w:r w:rsidRPr="004F6DAA">
        <w:rPr>
          <w:noProof/>
        </w:rPr>
        <w:t>estrują je, na tych samych warunkach,</w:t>
      </w:r>
      <w:r w:rsidR="00062BFA" w:rsidRPr="004F6DAA">
        <w:rPr>
          <w:noProof/>
        </w:rPr>
        <w:t xml:space="preserve"> w</w:t>
      </w:r>
      <w:r w:rsidR="00062BFA">
        <w:rPr>
          <w:noProof/>
        </w:rPr>
        <w:t> </w:t>
      </w:r>
      <w:r w:rsidR="00062BFA" w:rsidRPr="004F6DAA">
        <w:rPr>
          <w:noProof/>
        </w:rPr>
        <w:t>sys</w:t>
      </w:r>
      <w:r w:rsidRPr="004F6DAA">
        <w:rPr>
          <w:noProof/>
        </w:rPr>
        <w:t>temie przetwarzania danych organów celnych oraz,</w:t>
      </w:r>
      <w:r w:rsidR="00062BFA" w:rsidRPr="004F6DAA">
        <w:rPr>
          <w:noProof/>
        </w:rPr>
        <w:t xml:space="preserve"> w</w:t>
      </w:r>
      <w:r w:rsidR="00062BFA">
        <w:rPr>
          <w:noProof/>
        </w:rPr>
        <w:t> </w:t>
      </w:r>
      <w:r w:rsidR="00062BFA" w:rsidRPr="004F6DAA">
        <w:rPr>
          <w:noProof/>
        </w:rPr>
        <w:t>mia</w:t>
      </w:r>
      <w:r w:rsidRPr="004F6DAA">
        <w:rPr>
          <w:noProof/>
        </w:rPr>
        <w:t>rę możliwości,</w:t>
      </w:r>
      <w:r w:rsidR="00062BFA" w:rsidRPr="004F6DAA">
        <w:rPr>
          <w:noProof/>
        </w:rPr>
        <w:t xml:space="preserve"> w</w:t>
      </w:r>
      <w:r w:rsidR="00062BFA">
        <w:rPr>
          <w:noProof/>
        </w:rPr>
        <w:t> </w:t>
      </w:r>
      <w:r w:rsidR="00062BFA" w:rsidRPr="004F6DAA">
        <w:rPr>
          <w:noProof/>
        </w:rPr>
        <w:t>dok</w:t>
      </w:r>
      <w:r w:rsidRPr="004F6DAA">
        <w:rPr>
          <w:noProof/>
        </w:rPr>
        <w:t>umentach towarzyszących wykorzystywanych</w:t>
      </w:r>
      <w:r w:rsidR="00062BFA" w:rsidRPr="004F6DAA">
        <w:rPr>
          <w:noProof/>
        </w:rPr>
        <w:t xml:space="preserve">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tak</w:t>
      </w:r>
      <w:r w:rsidRPr="004F6DAA">
        <w:rPr>
          <w:noProof/>
        </w:rPr>
        <w:t xml:space="preserve">imi procedurami. </w:t>
      </w:r>
    </w:p>
    <w:p w14:paraId="6D8157CB" w14:textId="77777777" w:rsidR="00DE3BCD" w:rsidRPr="00062BFA" w:rsidRDefault="00DE3BCD" w:rsidP="00DE3BCD">
      <w:pPr>
        <w:pBdr>
          <w:top w:val="nil"/>
          <w:left w:val="nil"/>
          <w:bottom w:val="nil"/>
          <w:right w:val="nil"/>
          <w:between w:val="nil"/>
          <w:bar w:val="nil"/>
        </w:pBdr>
        <w:spacing w:before="0"/>
        <w:rPr>
          <w:noProof/>
          <w:color w:val="000000"/>
        </w:rPr>
      </w:pPr>
      <w:r w:rsidRPr="004F6DAA">
        <w:rPr>
          <w:noProof/>
        </w:rPr>
        <w:t>Zgodnie</w:t>
      </w:r>
      <w:r w:rsidR="00062BFA" w:rsidRPr="004F6DAA">
        <w:rPr>
          <w:noProof/>
        </w:rPr>
        <w:t xml:space="preserve"> z</w:t>
      </w:r>
      <w:r w:rsidR="00062BFA">
        <w:rPr>
          <w:noProof/>
        </w:rPr>
        <w:t> </w:t>
      </w:r>
      <w:r w:rsidR="00062BFA" w:rsidRPr="00062BFA">
        <w:rPr>
          <w:noProof/>
        </w:rPr>
        <w:t>ust</w:t>
      </w:r>
      <w:r w:rsidRPr="00062BFA">
        <w:rPr>
          <w:noProof/>
        </w:rPr>
        <w:t>.</w:t>
      </w:r>
      <w:r w:rsidR="00062BFA" w:rsidRPr="00062BFA">
        <w:rPr>
          <w:noProof/>
        </w:rPr>
        <w:t> </w:t>
      </w:r>
      <w:r w:rsidRPr="00062BFA">
        <w:rPr>
          <w:noProof/>
        </w:rPr>
        <w:t>1</w:t>
      </w:r>
      <w:r w:rsidRPr="004F6DAA">
        <w:rPr>
          <w:noProof/>
        </w:rPr>
        <w:t>0 organy celne mogą zniszczyć odnośny towar lub produkt niezgodny</w:t>
      </w:r>
      <w:r w:rsidR="00062BFA" w:rsidRPr="004F6DAA">
        <w:rPr>
          <w:noProof/>
        </w:rPr>
        <w:t xml:space="preserve"> z</w:t>
      </w:r>
      <w:r w:rsidR="00062BFA">
        <w:rPr>
          <w:noProof/>
        </w:rPr>
        <w:t> </w:t>
      </w:r>
      <w:r w:rsidR="00062BFA" w:rsidRPr="004F6DAA">
        <w:rPr>
          <w:noProof/>
        </w:rPr>
        <w:t>wym</w:t>
      </w:r>
      <w:r w:rsidRPr="004F6DAA">
        <w:rPr>
          <w:noProof/>
        </w:rPr>
        <w:t>ogami lub</w:t>
      </w:r>
      <w:r w:rsidR="00062BFA" w:rsidRPr="004F6DAA">
        <w:rPr>
          <w:noProof/>
        </w:rPr>
        <w:t xml:space="preserve"> w</w:t>
      </w:r>
      <w:r w:rsidR="00062BFA">
        <w:rPr>
          <w:noProof/>
        </w:rPr>
        <w:t> </w:t>
      </w:r>
      <w:r w:rsidR="00062BFA" w:rsidRPr="004F6DAA">
        <w:rPr>
          <w:noProof/>
        </w:rPr>
        <w:t>inn</w:t>
      </w:r>
      <w:r w:rsidRPr="004F6DAA">
        <w:rPr>
          <w:noProof/>
        </w:rPr>
        <w:t>y sposób sprawić, że stanie się on niezdatny do użytku, na wniosek właściwych organów lub gdy uznają to za konieczne</w:t>
      </w:r>
      <w:r w:rsidR="00062BFA" w:rsidRPr="004F6DAA">
        <w:rPr>
          <w:noProof/>
        </w:rPr>
        <w:t xml:space="preserve"> i</w:t>
      </w:r>
      <w:r w:rsidR="00062BFA">
        <w:rPr>
          <w:noProof/>
        </w:rPr>
        <w:t> </w:t>
      </w:r>
      <w:r w:rsidR="00062BFA" w:rsidRPr="004F6DAA">
        <w:rPr>
          <w:noProof/>
        </w:rPr>
        <w:t>pro</w:t>
      </w:r>
      <w:r w:rsidRPr="004F6DAA">
        <w:rPr>
          <w:noProof/>
        </w:rPr>
        <w:t>porcjonalne. Koszt takiego środka ponosi osoba będąca</w:t>
      </w:r>
      <w:r w:rsidR="00062BFA" w:rsidRPr="004F6DAA">
        <w:rPr>
          <w:noProof/>
        </w:rPr>
        <w:t xml:space="preserve"> w</w:t>
      </w:r>
      <w:r w:rsidR="00062BFA">
        <w:rPr>
          <w:noProof/>
        </w:rPr>
        <w:t> </w:t>
      </w:r>
      <w:r w:rsidR="00062BFA" w:rsidRPr="004F6DAA">
        <w:rPr>
          <w:noProof/>
        </w:rPr>
        <w:t>pos</w:t>
      </w:r>
      <w:r w:rsidRPr="004F6DAA">
        <w:rPr>
          <w:noProof/>
        </w:rPr>
        <w:t>iadaniu odnośnego towaru lub produktu</w:t>
      </w:r>
      <w:r w:rsidRPr="00062BFA">
        <w:rPr>
          <w:noProof/>
        </w:rPr>
        <w:t>.</w:t>
      </w:r>
      <w:r w:rsidR="00062BFA" w:rsidRPr="00062BFA">
        <w:rPr>
          <w:noProof/>
        </w:rPr>
        <w:t xml:space="preserve"> </w:t>
      </w:r>
    </w:p>
    <w:p w14:paraId="16120A40" w14:textId="77777777" w:rsidR="00DE3BCD" w:rsidRPr="004F6DAA" w:rsidRDefault="00DE3BCD" w:rsidP="00DE3BCD">
      <w:pPr>
        <w:pStyle w:val="Bullet1"/>
        <w:rPr>
          <w:i/>
          <w:noProof/>
        </w:rPr>
      </w:pPr>
      <w:r w:rsidRPr="004F6DAA">
        <w:rPr>
          <w:i/>
          <w:noProof/>
        </w:rPr>
        <w:t>Artykuł 25: Wymiana informacji</w:t>
      </w:r>
      <w:r w:rsidR="00062BFA" w:rsidRPr="004F6DAA">
        <w:rPr>
          <w:i/>
          <w:noProof/>
        </w:rPr>
        <w:t xml:space="preserve"> i</w:t>
      </w:r>
      <w:r w:rsidR="00062BFA">
        <w:rPr>
          <w:i/>
          <w:noProof/>
        </w:rPr>
        <w:t> </w:t>
      </w:r>
      <w:r w:rsidR="00062BFA" w:rsidRPr="004F6DAA">
        <w:rPr>
          <w:i/>
          <w:noProof/>
        </w:rPr>
        <w:t>wsp</w:t>
      </w:r>
      <w:r w:rsidRPr="004F6DAA">
        <w:rPr>
          <w:i/>
          <w:noProof/>
        </w:rPr>
        <w:t xml:space="preserve">ółpraca między organami </w:t>
      </w:r>
    </w:p>
    <w:p w14:paraId="4D1FE455" w14:textId="77777777" w:rsidR="00DE3BCD" w:rsidRPr="004F6DAA" w:rsidRDefault="00DE3BCD" w:rsidP="00DE3BCD">
      <w:pPr>
        <w:pBdr>
          <w:top w:val="nil"/>
          <w:left w:val="nil"/>
          <w:bottom w:val="nil"/>
          <w:right w:val="nil"/>
          <w:between w:val="nil"/>
          <w:bar w:val="nil"/>
        </w:pBdr>
        <w:spacing w:before="0"/>
        <w:rPr>
          <w:noProof/>
          <w:color w:val="000000"/>
        </w:rPr>
      </w:pPr>
      <w:r w:rsidRPr="004F6DAA">
        <w:rPr>
          <w:noProof/>
          <w:color w:val="000000"/>
        </w:rPr>
        <w:t>W artykule tym nałożono na właściwe organy, organy celne</w:t>
      </w:r>
      <w:r w:rsidR="00062BFA" w:rsidRPr="004F6DAA">
        <w:rPr>
          <w:noProof/>
          <w:color w:val="000000"/>
        </w:rPr>
        <w:t xml:space="preserve"> i</w:t>
      </w:r>
      <w:r w:rsidR="00062BFA">
        <w:rPr>
          <w:noProof/>
          <w:color w:val="000000"/>
        </w:rPr>
        <w:t> </w:t>
      </w:r>
      <w:r w:rsidR="00062BFA" w:rsidRPr="004F6DAA">
        <w:rPr>
          <w:noProof/>
          <w:color w:val="000000"/>
        </w:rPr>
        <w:t>Kom</w:t>
      </w:r>
      <w:r w:rsidRPr="004F6DAA">
        <w:rPr>
          <w:noProof/>
          <w:color w:val="000000"/>
        </w:rPr>
        <w:t>isję obowiązek współpracy przy wdrażaniu rozporządzenia (</w:t>
      </w:r>
      <w:r w:rsidRPr="00062BFA">
        <w:rPr>
          <w:noProof/>
          <w:color w:val="000000"/>
        </w:rPr>
        <w:t>ust.</w:t>
      </w:r>
      <w:r w:rsidR="00062BFA" w:rsidRPr="00062BFA">
        <w:rPr>
          <w:noProof/>
          <w:color w:val="000000"/>
        </w:rPr>
        <w:t> </w:t>
      </w:r>
      <w:r w:rsidRPr="00062BFA">
        <w:rPr>
          <w:noProof/>
          <w:color w:val="000000"/>
        </w:rPr>
        <w:t>1</w:t>
      </w:r>
      <w:r w:rsidRPr="004F6DAA">
        <w:rPr>
          <w:noProof/>
          <w:color w:val="000000"/>
        </w:rPr>
        <w:t xml:space="preserve">). </w:t>
      </w:r>
    </w:p>
    <w:p w14:paraId="5B877BBA" w14:textId="77777777" w:rsidR="00DE3BCD" w:rsidRPr="004F6DAA" w:rsidRDefault="00DE3BCD" w:rsidP="00DE3BCD">
      <w:pPr>
        <w:pBdr>
          <w:top w:val="nil"/>
          <w:left w:val="nil"/>
          <w:bottom w:val="nil"/>
          <w:right w:val="nil"/>
          <w:between w:val="nil"/>
          <w:bar w:val="nil"/>
        </w:pBdr>
        <w:spacing w:before="0"/>
        <w:rPr>
          <w:noProof/>
          <w:color w:val="000000"/>
        </w:rPr>
      </w:pPr>
      <w:r w:rsidRPr="004F6DAA">
        <w:rPr>
          <w:noProof/>
          <w:color w:val="000000"/>
        </w:rPr>
        <w:t xml:space="preserve">W </w:t>
      </w:r>
      <w:r w:rsidRPr="00062BFA">
        <w:rPr>
          <w:noProof/>
          <w:color w:val="000000"/>
        </w:rPr>
        <w:t>ust.</w:t>
      </w:r>
      <w:r w:rsidR="00062BFA" w:rsidRPr="00062BFA">
        <w:rPr>
          <w:noProof/>
          <w:color w:val="000000"/>
        </w:rPr>
        <w:t> </w:t>
      </w:r>
      <w:r w:rsidRPr="00062BFA">
        <w:rPr>
          <w:noProof/>
          <w:color w:val="000000"/>
        </w:rPr>
        <w:t>2</w:t>
      </w:r>
      <w:r w:rsidR="00062BFA" w:rsidRPr="004F6DAA">
        <w:rPr>
          <w:noProof/>
          <w:color w:val="000000"/>
        </w:rPr>
        <w:t xml:space="preserve"> i</w:t>
      </w:r>
      <w:r w:rsidR="00062BFA">
        <w:rPr>
          <w:noProof/>
          <w:color w:val="000000"/>
        </w:rPr>
        <w:t> </w:t>
      </w:r>
      <w:r w:rsidR="00062BFA" w:rsidRPr="004F6DAA">
        <w:rPr>
          <w:noProof/>
          <w:color w:val="000000"/>
        </w:rPr>
        <w:t>3</w:t>
      </w:r>
      <w:r w:rsidRPr="004F6DAA">
        <w:rPr>
          <w:noProof/>
          <w:color w:val="000000"/>
        </w:rPr>
        <w:t xml:space="preserve"> ustanowiono powiązanie między mechanizmami współpracy</w:t>
      </w:r>
      <w:r w:rsidR="00062BFA" w:rsidRPr="004F6DAA">
        <w:rPr>
          <w:noProof/>
          <w:color w:val="000000"/>
        </w:rPr>
        <w:t xml:space="preserve"> i</w:t>
      </w:r>
      <w:r w:rsidR="00062BFA">
        <w:rPr>
          <w:noProof/>
          <w:color w:val="000000"/>
        </w:rPr>
        <w:t> </w:t>
      </w:r>
      <w:r w:rsidR="00062BFA" w:rsidRPr="004F6DAA">
        <w:rPr>
          <w:noProof/>
          <w:color w:val="000000"/>
        </w:rPr>
        <w:t>wym</w:t>
      </w:r>
      <w:r w:rsidRPr="004F6DAA">
        <w:rPr>
          <w:noProof/>
          <w:color w:val="000000"/>
        </w:rPr>
        <w:t>iany informacji przewidzianymi</w:t>
      </w:r>
      <w:r w:rsidR="00062BFA" w:rsidRPr="004F6DAA">
        <w:rPr>
          <w:noProof/>
          <w:color w:val="000000"/>
        </w:rPr>
        <w:t xml:space="preserve"> w</w:t>
      </w:r>
      <w:r w:rsidR="00062BFA">
        <w:rPr>
          <w:noProof/>
          <w:color w:val="000000"/>
        </w:rPr>
        <w:t> </w:t>
      </w:r>
      <w:r w:rsidR="00062BFA" w:rsidRPr="004F6DAA">
        <w:rPr>
          <w:noProof/>
          <w:color w:val="000000"/>
        </w:rPr>
        <w:t>roz</w:t>
      </w:r>
      <w:r w:rsidRPr="004F6DAA">
        <w:rPr>
          <w:noProof/>
          <w:color w:val="000000"/>
        </w:rPr>
        <w:t xml:space="preserve">porządzeniu (UE) </w:t>
      </w:r>
      <w:r w:rsidRPr="00062BFA">
        <w:rPr>
          <w:noProof/>
          <w:color w:val="000000"/>
        </w:rPr>
        <w:t>nr</w:t>
      </w:r>
      <w:r w:rsidR="00062BFA" w:rsidRPr="00062BFA">
        <w:rPr>
          <w:noProof/>
          <w:color w:val="000000"/>
        </w:rPr>
        <w:t> </w:t>
      </w:r>
      <w:r w:rsidRPr="00062BFA">
        <w:rPr>
          <w:noProof/>
          <w:color w:val="000000"/>
        </w:rPr>
        <w:t>9</w:t>
      </w:r>
      <w:r w:rsidRPr="004F6DAA">
        <w:rPr>
          <w:noProof/>
          <w:color w:val="000000"/>
        </w:rPr>
        <w:t>52/2013.</w:t>
      </w:r>
    </w:p>
    <w:p w14:paraId="77A26928" w14:textId="77777777" w:rsidR="00DE3BCD" w:rsidRPr="004F6DAA" w:rsidRDefault="00DE3BCD" w:rsidP="00DE3BCD">
      <w:pPr>
        <w:pStyle w:val="Bullet1"/>
        <w:rPr>
          <w:i/>
          <w:noProof/>
        </w:rPr>
      </w:pPr>
      <w:r w:rsidRPr="004F6DAA">
        <w:rPr>
          <w:i/>
          <w:noProof/>
        </w:rPr>
        <w:t>Artykuł 26: Elektroniczne interfejsy</w:t>
      </w:r>
    </w:p>
    <w:p w14:paraId="2CA91486" w14:textId="77777777" w:rsidR="00DE3BCD" w:rsidRPr="004F6DAA" w:rsidRDefault="00DE3BCD" w:rsidP="00DE3BCD">
      <w:pPr>
        <w:pBdr>
          <w:top w:val="nil"/>
          <w:left w:val="nil"/>
          <w:bottom w:val="nil"/>
          <w:right w:val="nil"/>
          <w:between w:val="nil"/>
          <w:bar w:val="nil"/>
        </w:pBdr>
        <w:spacing w:before="0"/>
        <w:rPr>
          <w:noProof/>
          <w:color w:val="000000"/>
        </w:rPr>
      </w:pPr>
      <w:r w:rsidRPr="004F6DAA">
        <w:rPr>
          <w:noProof/>
          <w:color w:val="000000"/>
        </w:rPr>
        <w:t xml:space="preserve">W </w:t>
      </w:r>
      <w:r w:rsidRPr="00062BFA">
        <w:rPr>
          <w:noProof/>
          <w:color w:val="000000"/>
        </w:rPr>
        <w:t>ust.</w:t>
      </w:r>
      <w:r w:rsidR="00062BFA" w:rsidRPr="00062BFA">
        <w:rPr>
          <w:noProof/>
          <w:color w:val="000000"/>
        </w:rPr>
        <w:t> </w:t>
      </w:r>
      <w:r w:rsidRPr="00062BFA">
        <w:rPr>
          <w:noProof/>
          <w:color w:val="000000"/>
        </w:rPr>
        <w:t>1</w:t>
      </w:r>
      <w:r w:rsidRPr="004F6DAA">
        <w:rPr>
          <w:noProof/>
          <w:color w:val="000000"/>
        </w:rPr>
        <w:t xml:space="preserve"> nałożono na Komisję obowiązek utworzenia elektronicznego interfejsu</w:t>
      </w:r>
      <w:r w:rsidR="00062BFA" w:rsidRPr="004F6DAA">
        <w:rPr>
          <w:noProof/>
          <w:color w:val="000000"/>
        </w:rPr>
        <w:t xml:space="preserve"> w</w:t>
      </w:r>
      <w:r w:rsidR="00062BFA">
        <w:rPr>
          <w:noProof/>
          <w:color w:val="000000"/>
        </w:rPr>
        <w:t> </w:t>
      </w:r>
      <w:r w:rsidR="00062BFA" w:rsidRPr="004F6DAA">
        <w:rPr>
          <w:noProof/>
          <w:color w:val="000000"/>
        </w:rPr>
        <w:t>cel</w:t>
      </w:r>
      <w:r w:rsidRPr="004F6DAA">
        <w:rPr>
          <w:noProof/>
          <w:color w:val="000000"/>
        </w:rPr>
        <w:t>u połączenia unijnego środowiska jednego okienka</w:t>
      </w:r>
      <w:r w:rsidR="00062BFA" w:rsidRPr="004F6DAA">
        <w:rPr>
          <w:noProof/>
          <w:color w:val="000000"/>
        </w:rPr>
        <w:t xml:space="preserve"> w</w:t>
      </w:r>
      <w:r w:rsidR="00062BFA">
        <w:rPr>
          <w:noProof/>
          <w:color w:val="000000"/>
        </w:rPr>
        <w:t> </w:t>
      </w:r>
      <w:r w:rsidR="00062BFA" w:rsidRPr="004F6DAA">
        <w:rPr>
          <w:noProof/>
          <w:color w:val="000000"/>
        </w:rPr>
        <w:t>dzi</w:t>
      </w:r>
      <w:r w:rsidRPr="004F6DAA">
        <w:rPr>
          <w:noProof/>
          <w:color w:val="000000"/>
        </w:rPr>
        <w:t>edzinie ceł</w:t>
      </w:r>
      <w:r w:rsidR="00062BFA" w:rsidRPr="004F6DAA">
        <w:rPr>
          <w:noProof/>
          <w:color w:val="000000"/>
        </w:rPr>
        <w:t xml:space="preserve"> z</w:t>
      </w:r>
      <w:r w:rsidR="00062BFA">
        <w:rPr>
          <w:noProof/>
          <w:color w:val="000000"/>
        </w:rPr>
        <w:t> </w:t>
      </w:r>
      <w:r w:rsidR="00062BFA" w:rsidRPr="004F6DAA">
        <w:rPr>
          <w:noProof/>
          <w:color w:val="000000"/>
        </w:rPr>
        <w:t>sys</w:t>
      </w:r>
      <w:r w:rsidRPr="004F6DAA">
        <w:rPr>
          <w:noProof/>
          <w:color w:val="000000"/>
        </w:rPr>
        <w:t xml:space="preserve">temem informacyjnym ustanowionym na podstawie </w:t>
      </w:r>
      <w:r w:rsidRPr="00062BFA">
        <w:rPr>
          <w:noProof/>
          <w:color w:val="000000"/>
        </w:rPr>
        <w:t>art.</w:t>
      </w:r>
      <w:r w:rsidR="00062BFA" w:rsidRPr="00062BFA">
        <w:rPr>
          <w:noProof/>
          <w:color w:val="000000"/>
        </w:rPr>
        <w:t> </w:t>
      </w:r>
      <w:r w:rsidRPr="00062BFA">
        <w:rPr>
          <w:noProof/>
          <w:color w:val="000000"/>
        </w:rPr>
        <w:t>3</w:t>
      </w:r>
      <w:r w:rsidRPr="004F6DAA">
        <w:rPr>
          <w:noProof/>
          <w:color w:val="000000"/>
        </w:rPr>
        <w:t>1</w:t>
      </w:r>
      <w:r w:rsidR="00062BFA" w:rsidRPr="004F6DAA">
        <w:rPr>
          <w:noProof/>
          <w:color w:val="000000"/>
        </w:rPr>
        <w:t>. W</w:t>
      </w:r>
      <w:r w:rsidR="00062BFA">
        <w:rPr>
          <w:noProof/>
          <w:color w:val="000000"/>
        </w:rPr>
        <w:t> </w:t>
      </w:r>
      <w:r w:rsidR="00062BFA" w:rsidRPr="00062BFA">
        <w:rPr>
          <w:noProof/>
          <w:color w:val="000000"/>
        </w:rPr>
        <w:t>ust</w:t>
      </w:r>
      <w:r w:rsidRPr="00062BFA">
        <w:rPr>
          <w:noProof/>
          <w:color w:val="000000"/>
        </w:rPr>
        <w:t>.</w:t>
      </w:r>
      <w:r w:rsidR="00062BFA" w:rsidRPr="00062BFA">
        <w:rPr>
          <w:noProof/>
          <w:color w:val="000000"/>
        </w:rPr>
        <w:t> </w:t>
      </w:r>
      <w:r w:rsidRPr="00062BFA">
        <w:rPr>
          <w:noProof/>
          <w:color w:val="000000"/>
        </w:rPr>
        <w:t>2</w:t>
      </w:r>
      <w:r w:rsidRPr="004F6DAA">
        <w:rPr>
          <w:noProof/>
          <w:color w:val="000000"/>
        </w:rPr>
        <w:t xml:space="preserve"> określono podstawową funkcjonalność takiego interfejsu,</w:t>
      </w:r>
      <w:r w:rsidR="00062BFA" w:rsidRPr="004F6DAA">
        <w:rPr>
          <w:noProof/>
          <w:color w:val="000000"/>
        </w:rPr>
        <w:t xml:space="preserve"> a</w:t>
      </w:r>
      <w:r w:rsidR="00062BFA">
        <w:rPr>
          <w:noProof/>
          <w:color w:val="000000"/>
        </w:rPr>
        <w:t> </w:t>
      </w:r>
      <w:r w:rsidR="00062BFA" w:rsidRPr="004F6DAA">
        <w:rPr>
          <w:noProof/>
          <w:color w:val="000000"/>
        </w:rPr>
        <w:t>w</w:t>
      </w:r>
      <w:r w:rsidR="00062BFA">
        <w:rPr>
          <w:noProof/>
          <w:color w:val="000000"/>
        </w:rPr>
        <w:t> </w:t>
      </w:r>
      <w:r w:rsidR="00062BFA" w:rsidRPr="00062BFA">
        <w:rPr>
          <w:noProof/>
          <w:color w:val="000000"/>
        </w:rPr>
        <w:t>ust</w:t>
      </w:r>
      <w:r w:rsidRPr="00062BFA">
        <w:rPr>
          <w:noProof/>
          <w:color w:val="000000"/>
        </w:rPr>
        <w:t>.</w:t>
      </w:r>
      <w:r w:rsidR="00062BFA" w:rsidRPr="00062BFA">
        <w:rPr>
          <w:noProof/>
          <w:color w:val="000000"/>
        </w:rPr>
        <w:t> </w:t>
      </w:r>
      <w:r w:rsidRPr="00062BFA">
        <w:rPr>
          <w:noProof/>
          <w:color w:val="000000"/>
        </w:rPr>
        <w:t>3</w:t>
      </w:r>
      <w:r w:rsidRPr="004F6DAA">
        <w:rPr>
          <w:noProof/>
          <w:color w:val="000000"/>
        </w:rPr>
        <w:t xml:space="preserve"> upoważniono Komisję do przyjęcia aktów wykonawczych</w:t>
      </w:r>
      <w:r w:rsidR="00062BFA" w:rsidRPr="004F6DAA">
        <w:rPr>
          <w:noProof/>
          <w:color w:val="000000"/>
        </w:rPr>
        <w:t xml:space="preserve"> w</w:t>
      </w:r>
      <w:r w:rsidR="00062BFA">
        <w:rPr>
          <w:noProof/>
          <w:color w:val="000000"/>
        </w:rPr>
        <w:t> </w:t>
      </w:r>
      <w:r w:rsidR="00062BFA" w:rsidRPr="004F6DAA">
        <w:rPr>
          <w:noProof/>
          <w:color w:val="000000"/>
        </w:rPr>
        <w:t>cel</w:t>
      </w:r>
      <w:r w:rsidRPr="004F6DAA">
        <w:rPr>
          <w:noProof/>
          <w:color w:val="000000"/>
        </w:rPr>
        <w:t>u określenia szczegółowych danych</w:t>
      </w:r>
      <w:r w:rsidR="00062BFA" w:rsidRPr="004F6DAA">
        <w:rPr>
          <w:noProof/>
          <w:color w:val="000000"/>
        </w:rPr>
        <w:t xml:space="preserve"> i</w:t>
      </w:r>
      <w:r w:rsidR="00062BFA">
        <w:rPr>
          <w:noProof/>
          <w:color w:val="000000"/>
        </w:rPr>
        <w:t> </w:t>
      </w:r>
      <w:r w:rsidR="00062BFA" w:rsidRPr="004F6DAA">
        <w:rPr>
          <w:noProof/>
          <w:color w:val="000000"/>
        </w:rPr>
        <w:t>fun</w:t>
      </w:r>
      <w:r w:rsidRPr="004F6DAA">
        <w:rPr>
          <w:noProof/>
          <w:color w:val="000000"/>
        </w:rPr>
        <w:t>kcjonowania interfejsu.</w:t>
      </w:r>
    </w:p>
    <w:p w14:paraId="6D852F38" w14:textId="77777777" w:rsidR="00DE3BCD" w:rsidRPr="004F6DAA" w:rsidRDefault="00DE3BCD" w:rsidP="00DE3BCD">
      <w:pPr>
        <w:pStyle w:val="Bullet1"/>
        <w:rPr>
          <w:i/>
          <w:noProof/>
        </w:rPr>
      </w:pPr>
      <w:r w:rsidRPr="004F6DAA">
        <w:rPr>
          <w:i/>
          <w:noProof/>
        </w:rPr>
        <w:t xml:space="preserve">Artykuł 27: Ocena państw </w:t>
      </w:r>
    </w:p>
    <w:p w14:paraId="29716FAE" w14:textId="77777777" w:rsidR="00DE3BCD" w:rsidRPr="004F6DAA" w:rsidRDefault="00DE3BCD" w:rsidP="00DE3BCD">
      <w:pPr>
        <w:pBdr>
          <w:top w:val="nil"/>
          <w:left w:val="nil"/>
          <w:bottom w:val="nil"/>
          <w:right w:val="nil"/>
          <w:between w:val="nil"/>
          <w:bar w:val="nil"/>
        </w:pBdr>
        <w:spacing w:before="0"/>
        <w:rPr>
          <w:noProof/>
          <w:color w:val="000000"/>
        </w:rPr>
      </w:pPr>
      <w:r w:rsidRPr="004F6DAA">
        <w:rPr>
          <w:noProof/>
          <w:color w:val="000000"/>
        </w:rPr>
        <w:t xml:space="preserve">W </w:t>
      </w:r>
      <w:r w:rsidRPr="00062BFA">
        <w:rPr>
          <w:noProof/>
          <w:color w:val="000000"/>
        </w:rPr>
        <w:t>art.</w:t>
      </w:r>
      <w:r w:rsidR="00062BFA" w:rsidRPr="00062BFA">
        <w:rPr>
          <w:noProof/>
          <w:color w:val="000000"/>
        </w:rPr>
        <w:t> </w:t>
      </w:r>
      <w:r w:rsidRPr="00062BFA">
        <w:rPr>
          <w:noProof/>
          <w:color w:val="000000"/>
        </w:rPr>
        <w:t>2</w:t>
      </w:r>
      <w:r w:rsidRPr="004F6DAA">
        <w:rPr>
          <w:noProof/>
          <w:color w:val="000000"/>
        </w:rPr>
        <w:t>7 wprowadzono system wskaźników dla poszczególnych krajów, który stanowi kluczowy element niniejszego rozporządzenia. Celem systemu wskaźników jest zachęcenie krajów do zapewnienia skuteczniejszej ochrony lasów</w:t>
      </w:r>
      <w:r w:rsidR="00062BFA" w:rsidRPr="004F6DAA">
        <w:rPr>
          <w:noProof/>
          <w:color w:val="000000"/>
        </w:rPr>
        <w:t xml:space="preserve"> i</w:t>
      </w:r>
      <w:r w:rsidR="00062BFA">
        <w:rPr>
          <w:noProof/>
          <w:color w:val="000000"/>
        </w:rPr>
        <w:t> </w:t>
      </w:r>
      <w:r w:rsidR="00062BFA" w:rsidRPr="004F6DAA">
        <w:rPr>
          <w:noProof/>
          <w:color w:val="000000"/>
        </w:rPr>
        <w:t>lep</w:t>
      </w:r>
      <w:r w:rsidRPr="004F6DAA">
        <w:rPr>
          <w:noProof/>
          <w:color w:val="000000"/>
        </w:rPr>
        <w:t>szego zarządzania nimi, ułatwienia handlu</w:t>
      </w:r>
      <w:r w:rsidR="00062BFA" w:rsidRPr="004F6DAA">
        <w:rPr>
          <w:noProof/>
          <w:color w:val="000000"/>
        </w:rPr>
        <w:t xml:space="preserve"> i</w:t>
      </w:r>
      <w:r w:rsidR="00062BFA">
        <w:rPr>
          <w:noProof/>
          <w:color w:val="000000"/>
        </w:rPr>
        <w:t> </w:t>
      </w:r>
      <w:r w:rsidR="00062BFA" w:rsidRPr="004F6DAA">
        <w:rPr>
          <w:noProof/>
          <w:color w:val="000000"/>
        </w:rPr>
        <w:t>lep</w:t>
      </w:r>
      <w:r w:rsidRPr="004F6DAA">
        <w:rPr>
          <w:noProof/>
          <w:color w:val="000000"/>
        </w:rPr>
        <w:t>szego dostosowania działań</w:t>
      </w:r>
      <w:r w:rsidR="00062BFA" w:rsidRPr="004F6DAA">
        <w:rPr>
          <w:noProof/>
          <w:color w:val="000000"/>
        </w:rPr>
        <w:t xml:space="preserve"> w</w:t>
      </w:r>
      <w:r w:rsidR="00062BFA">
        <w:rPr>
          <w:noProof/>
          <w:color w:val="000000"/>
        </w:rPr>
        <w:t> </w:t>
      </w:r>
      <w:r w:rsidR="00062BFA" w:rsidRPr="004F6DAA">
        <w:rPr>
          <w:noProof/>
          <w:color w:val="000000"/>
        </w:rPr>
        <w:t>zak</w:t>
      </w:r>
      <w:r w:rsidRPr="004F6DAA">
        <w:rPr>
          <w:noProof/>
          <w:color w:val="000000"/>
        </w:rPr>
        <w:t>resie egzekwowania prawa poprzez wsparcie właściwych organów</w:t>
      </w:r>
      <w:r w:rsidR="00062BFA" w:rsidRPr="004F6DAA">
        <w:rPr>
          <w:noProof/>
          <w:color w:val="000000"/>
        </w:rPr>
        <w:t xml:space="preserve"> w</w:t>
      </w:r>
      <w:r w:rsidR="00062BFA">
        <w:rPr>
          <w:noProof/>
          <w:color w:val="000000"/>
        </w:rPr>
        <w:t> </w:t>
      </w:r>
      <w:r w:rsidR="00062BFA" w:rsidRPr="004F6DAA">
        <w:rPr>
          <w:noProof/>
          <w:color w:val="000000"/>
        </w:rPr>
        <w:t>sko</w:t>
      </w:r>
      <w:r w:rsidRPr="004F6DAA">
        <w:rPr>
          <w:noProof/>
          <w:color w:val="000000"/>
        </w:rPr>
        <w:t>ncentrowaniu zasobów tam, gdzie są one najbardziej potrzebne,</w:t>
      </w:r>
      <w:r w:rsidR="00062BFA" w:rsidRPr="004F6DAA">
        <w:rPr>
          <w:noProof/>
          <w:color w:val="000000"/>
        </w:rPr>
        <w:t xml:space="preserve"> a</w:t>
      </w:r>
      <w:r w:rsidR="00062BFA">
        <w:rPr>
          <w:noProof/>
          <w:color w:val="000000"/>
        </w:rPr>
        <w:t> </w:t>
      </w:r>
      <w:r w:rsidR="00062BFA" w:rsidRPr="004F6DAA">
        <w:rPr>
          <w:noProof/>
          <w:color w:val="000000"/>
        </w:rPr>
        <w:t>tak</w:t>
      </w:r>
      <w:r w:rsidRPr="004F6DAA">
        <w:rPr>
          <w:noProof/>
          <w:color w:val="000000"/>
        </w:rPr>
        <w:t xml:space="preserve">że do obniżenia kosztów przestrzegania przepisów ponoszonych przez przedsiębiorstwa. </w:t>
      </w:r>
    </w:p>
    <w:p w14:paraId="7FD63542" w14:textId="77777777" w:rsidR="00DE3BCD" w:rsidRPr="004F6DAA" w:rsidRDefault="00DE3BCD" w:rsidP="002E53F5">
      <w:pPr>
        <w:rPr>
          <w:noProof/>
        </w:rPr>
      </w:pPr>
      <w:r w:rsidRPr="004F6DAA">
        <w:rPr>
          <w:noProof/>
        </w:rPr>
        <w:t>W ramach systemu wskaźników Komisja oceni ryzyko stwarzane przez kraje lub ich części, które produkują odnośne towary</w:t>
      </w:r>
      <w:r w:rsidR="00062BFA" w:rsidRPr="004F6DAA">
        <w:rPr>
          <w:noProof/>
        </w:rPr>
        <w:t xml:space="preserve"> i</w:t>
      </w:r>
      <w:r w:rsidR="00062BFA">
        <w:rPr>
          <w:noProof/>
        </w:rPr>
        <w:t> </w:t>
      </w:r>
      <w:r w:rsidR="00062BFA" w:rsidRPr="004F6DAA">
        <w:rPr>
          <w:noProof/>
        </w:rPr>
        <w:t>pro</w:t>
      </w:r>
      <w:r w:rsidRPr="004F6DAA">
        <w:rPr>
          <w:noProof/>
        </w:rPr>
        <w:t>dukty powodujące wylesianie</w:t>
      </w:r>
      <w:r w:rsidR="00062BFA" w:rsidRPr="004F6DAA">
        <w:rPr>
          <w:noProof/>
        </w:rPr>
        <w:t>. W</w:t>
      </w:r>
      <w:r w:rsidR="00062BFA">
        <w:rPr>
          <w:noProof/>
        </w:rPr>
        <w:t> </w:t>
      </w:r>
      <w:r w:rsidR="00062BFA" w:rsidRPr="004F6DAA">
        <w:rPr>
          <w:noProof/>
        </w:rPr>
        <w:t>ram</w:t>
      </w:r>
      <w:r w:rsidRPr="004F6DAA">
        <w:rPr>
          <w:noProof/>
        </w:rPr>
        <w:t>ach systemu wskaźników przypisuje się każdemu krajowi lub jego częściom jeden</w:t>
      </w:r>
      <w:r w:rsidR="00062BFA" w:rsidRPr="004F6DAA">
        <w:rPr>
          <w:noProof/>
        </w:rPr>
        <w:t xml:space="preserve"> z</w:t>
      </w:r>
      <w:r w:rsidR="00062BFA">
        <w:rPr>
          <w:noProof/>
        </w:rPr>
        <w:t> </w:t>
      </w:r>
      <w:r w:rsidR="00062BFA" w:rsidRPr="004F6DAA">
        <w:rPr>
          <w:noProof/>
        </w:rPr>
        <w:t>trz</w:t>
      </w:r>
      <w:r w:rsidRPr="004F6DAA">
        <w:rPr>
          <w:noProof/>
        </w:rPr>
        <w:t>ech możliwych poziomów ryzyka: niskie, standardowe</w:t>
      </w:r>
      <w:r w:rsidR="00062BFA" w:rsidRPr="004F6DAA">
        <w:rPr>
          <w:noProof/>
        </w:rPr>
        <w:t xml:space="preserve"> i</w:t>
      </w:r>
      <w:r w:rsidR="00062BFA">
        <w:rPr>
          <w:noProof/>
        </w:rPr>
        <w:t> </w:t>
      </w:r>
      <w:r w:rsidR="00062BFA" w:rsidRPr="004F6DAA">
        <w:rPr>
          <w:noProof/>
        </w:rPr>
        <w:t>wys</w:t>
      </w:r>
      <w:r w:rsidRPr="004F6DAA">
        <w:rPr>
          <w:noProof/>
        </w:rPr>
        <w:t>okie. Od dnia wejścia</w:t>
      </w:r>
      <w:r w:rsidR="00062BFA" w:rsidRPr="004F6DAA">
        <w:rPr>
          <w:noProof/>
        </w:rPr>
        <w:t xml:space="preserve"> w</w:t>
      </w:r>
      <w:r w:rsidR="00062BFA">
        <w:rPr>
          <w:noProof/>
        </w:rPr>
        <w:t> </w:t>
      </w:r>
      <w:r w:rsidR="00062BFA" w:rsidRPr="004F6DAA">
        <w:rPr>
          <w:noProof/>
        </w:rPr>
        <w:t>życ</w:t>
      </w:r>
      <w:r w:rsidRPr="004F6DAA">
        <w:rPr>
          <w:noProof/>
        </w:rPr>
        <w:t>ie rozporządzenia wszystkim krajom zostanie przypisany standardowy poziom ryzyka. Ocena zostanie dokonana na podstawie kryteriów określonych</w:t>
      </w:r>
      <w:r w:rsidR="00062BFA" w:rsidRPr="004F6DAA">
        <w:rPr>
          <w:noProof/>
        </w:rPr>
        <w:t xml:space="preserve"> w</w:t>
      </w:r>
      <w:r w:rsidR="00062BFA">
        <w:rPr>
          <w:noProof/>
        </w:rPr>
        <w:t> </w:t>
      </w:r>
      <w:r w:rsidR="00062BFA" w:rsidRPr="00062BFA">
        <w:rPr>
          <w:noProof/>
        </w:rPr>
        <w:t>ust</w:t>
      </w:r>
      <w:r w:rsidRPr="00062BFA">
        <w:rPr>
          <w:noProof/>
        </w:rPr>
        <w:t>.</w:t>
      </w:r>
      <w:r w:rsidR="00062BFA" w:rsidRPr="00062BFA">
        <w:rPr>
          <w:noProof/>
        </w:rPr>
        <w:t> </w:t>
      </w:r>
      <w:r w:rsidRPr="00062BFA">
        <w:rPr>
          <w:noProof/>
        </w:rPr>
        <w:t>2</w:t>
      </w:r>
      <w:r w:rsidRPr="004F6DAA">
        <w:rPr>
          <w:noProof/>
        </w:rPr>
        <w:t>.</w:t>
      </w:r>
    </w:p>
    <w:p w14:paraId="57C61704" w14:textId="77777777" w:rsidR="00DE3BCD" w:rsidRPr="004F6DAA" w:rsidRDefault="00DE3BCD" w:rsidP="002E53F5">
      <w:pPr>
        <w:rPr>
          <w:noProof/>
        </w:rPr>
      </w:pPr>
      <w:r w:rsidRPr="004F6DAA">
        <w:rPr>
          <w:noProof/>
        </w:rPr>
        <w:t xml:space="preserve">W </w:t>
      </w:r>
      <w:r w:rsidRPr="00062BFA">
        <w:rPr>
          <w:noProof/>
        </w:rPr>
        <w:t>ust.</w:t>
      </w:r>
      <w:r w:rsidR="00062BFA" w:rsidRPr="00062BFA">
        <w:rPr>
          <w:noProof/>
        </w:rPr>
        <w:t> </w:t>
      </w:r>
      <w:r w:rsidRPr="00062BFA">
        <w:rPr>
          <w:noProof/>
        </w:rPr>
        <w:t>3</w:t>
      </w:r>
      <w:r w:rsidRPr="004F6DAA">
        <w:rPr>
          <w:noProof/>
        </w:rPr>
        <w:t xml:space="preserve"> przedstawiono procedurę, której Komisja musi przestrzegać przed zmianą istniejącej kategorii ryzyka dla danego kraju lub jego części. Będzie ona obejmowała zaproszenie kraju do udzielenia odpowiedzi</w:t>
      </w:r>
      <w:r w:rsidR="00062BFA" w:rsidRPr="004F6DAA">
        <w:rPr>
          <w:noProof/>
        </w:rPr>
        <w:t xml:space="preserve"> w</w:t>
      </w:r>
      <w:r w:rsidR="00062BFA">
        <w:rPr>
          <w:noProof/>
        </w:rPr>
        <w:t> </w:t>
      </w:r>
      <w:r w:rsidR="00062BFA" w:rsidRPr="004F6DAA">
        <w:rPr>
          <w:noProof/>
        </w:rPr>
        <w:t>odp</w:t>
      </w:r>
      <w:r w:rsidRPr="004F6DAA">
        <w:rPr>
          <w:noProof/>
        </w:rPr>
        <w:t>owiednim terminie</w:t>
      </w:r>
      <w:r w:rsidR="00062BFA" w:rsidRPr="004F6DAA">
        <w:rPr>
          <w:noProof/>
        </w:rPr>
        <w:t xml:space="preserve"> i</w:t>
      </w:r>
      <w:r w:rsidR="00062BFA">
        <w:rPr>
          <w:noProof/>
        </w:rPr>
        <w:t> </w:t>
      </w:r>
      <w:r w:rsidR="00062BFA" w:rsidRPr="004F6DAA">
        <w:rPr>
          <w:noProof/>
        </w:rPr>
        <w:t>dos</w:t>
      </w:r>
      <w:r w:rsidRPr="004F6DAA">
        <w:rPr>
          <w:noProof/>
        </w:rPr>
        <w:t xml:space="preserve">tarczenia </w:t>
      </w:r>
      <w:r w:rsidRPr="004F6DAA">
        <w:rPr>
          <w:noProof/>
          <w:color w:val="000000" w:themeColor="text1"/>
        </w:rPr>
        <w:t>informacji uznanych za użyteczne,</w:t>
      </w:r>
      <w:r w:rsidR="00062BFA" w:rsidRPr="004F6DAA">
        <w:rPr>
          <w:noProof/>
          <w:color w:val="000000" w:themeColor="text1"/>
        </w:rPr>
        <w:t xml:space="preserve"> w</w:t>
      </w:r>
      <w:r w:rsidR="00062BFA">
        <w:rPr>
          <w:noProof/>
          <w:color w:val="000000" w:themeColor="text1"/>
        </w:rPr>
        <w:t> </w:t>
      </w:r>
      <w:r w:rsidR="00062BFA" w:rsidRPr="004F6DAA">
        <w:rPr>
          <w:noProof/>
          <w:color w:val="000000" w:themeColor="text1"/>
        </w:rPr>
        <w:t>tym</w:t>
      </w:r>
      <w:r w:rsidRPr="004F6DAA">
        <w:rPr>
          <w:noProof/>
        </w:rPr>
        <w:t xml:space="preserve"> informacji na temat środków wdrożonych przez dany kraj</w:t>
      </w:r>
      <w:r w:rsidR="00062BFA" w:rsidRPr="004F6DAA">
        <w:rPr>
          <w:noProof/>
        </w:rPr>
        <w:t xml:space="preserve"> w</w:t>
      </w:r>
      <w:r w:rsidR="00062BFA">
        <w:rPr>
          <w:noProof/>
        </w:rPr>
        <w:t> </w:t>
      </w:r>
      <w:r w:rsidR="00062BFA" w:rsidRPr="004F6DAA">
        <w:rPr>
          <w:noProof/>
        </w:rPr>
        <w:t>cel</w:t>
      </w:r>
      <w:r w:rsidRPr="004F6DAA">
        <w:rPr>
          <w:noProof/>
        </w:rPr>
        <w:t>u zaradzenia sytuacji.</w:t>
      </w:r>
    </w:p>
    <w:p w14:paraId="656DDFF9" w14:textId="77777777" w:rsidR="00DE3BCD" w:rsidRPr="004F6DAA" w:rsidRDefault="00DE3BCD" w:rsidP="002E53F5">
      <w:pPr>
        <w:rPr>
          <w:noProof/>
        </w:rPr>
      </w:pPr>
      <w:r w:rsidRPr="004F6DAA">
        <w:rPr>
          <w:noProof/>
        </w:rPr>
        <w:t>Komisja udostępni publicznie klasyfikację ryzyka poszczególnych krajów, przyjmując akty wykonawcze Komisji,</w:t>
      </w:r>
      <w:r w:rsidR="00062BFA" w:rsidRPr="004F6DAA">
        <w:rPr>
          <w:noProof/>
        </w:rPr>
        <w:t xml:space="preserve"> i</w:t>
      </w:r>
      <w:r w:rsidR="00062BFA">
        <w:rPr>
          <w:noProof/>
        </w:rPr>
        <w:t> </w:t>
      </w:r>
      <w:r w:rsidR="00062BFA" w:rsidRPr="004F6DAA">
        <w:rPr>
          <w:noProof/>
        </w:rPr>
        <w:t>w</w:t>
      </w:r>
      <w:r w:rsidR="00062BFA">
        <w:rPr>
          <w:noProof/>
        </w:rPr>
        <w:t> </w:t>
      </w:r>
      <w:r w:rsidR="00062BFA" w:rsidRPr="004F6DAA">
        <w:rPr>
          <w:noProof/>
        </w:rPr>
        <w:t>sto</w:t>
      </w:r>
      <w:r w:rsidRPr="004F6DAA">
        <w:rPr>
          <w:noProof/>
        </w:rPr>
        <w:t>sownych przypadkach będzie aktualizować wykaz, gdy okaże się to konieczne</w:t>
      </w:r>
      <w:r w:rsidR="00062BFA" w:rsidRPr="004F6DAA">
        <w:rPr>
          <w:noProof/>
        </w:rPr>
        <w:t xml:space="preserve"> z</w:t>
      </w:r>
      <w:r w:rsidR="00062BFA">
        <w:rPr>
          <w:noProof/>
        </w:rPr>
        <w:t> </w:t>
      </w:r>
      <w:r w:rsidR="00062BFA" w:rsidRPr="004F6DAA">
        <w:rPr>
          <w:noProof/>
        </w:rPr>
        <w:t>uwa</w:t>
      </w:r>
      <w:r w:rsidRPr="004F6DAA">
        <w:rPr>
          <w:noProof/>
        </w:rPr>
        <w:t>gi na pojawienie się nowych dowodów naukowych. Obowiązki podmiotów</w:t>
      </w:r>
      <w:r w:rsidR="00062BFA" w:rsidRPr="004F6DAA">
        <w:rPr>
          <w:noProof/>
        </w:rPr>
        <w:t xml:space="preserve"> i</w:t>
      </w:r>
      <w:r w:rsidR="00062BFA">
        <w:rPr>
          <w:noProof/>
        </w:rPr>
        <w:t> </w:t>
      </w:r>
      <w:r w:rsidR="00062BFA" w:rsidRPr="004F6DAA">
        <w:rPr>
          <w:noProof/>
        </w:rPr>
        <w:t>wła</w:t>
      </w:r>
      <w:r w:rsidRPr="004F6DAA">
        <w:rPr>
          <w:noProof/>
        </w:rPr>
        <w:t>ściwych organów państw członkowskich są zróżnicowane</w:t>
      </w:r>
      <w:r w:rsidR="00062BFA" w:rsidRPr="004F6DAA">
        <w:rPr>
          <w:noProof/>
        </w:rPr>
        <w:t xml:space="preserve"> w</w:t>
      </w:r>
      <w:r w:rsidR="00062BFA">
        <w:rPr>
          <w:noProof/>
        </w:rPr>
        <w:t> </w:t>
      </w:r>
      <w:r w:rsidR="00062BFA" w:rsidRPr="004F6DAA">
        <w:rPr>
          <w:noProof/>
        </w:rPr>
        <w:t>zal</w:t>
      </w:r>
      <w:r w:rsidRPr="004F6DAA">
        <w:rPr>
          <w:noProof/>
        </w:rPr>
        <w:t>eżności od poziomu ryzyka związanego</w:t>
      </w:r>
      <w:r w:rsidR="00062BFA" w:rsidRPr="004F6DAA">
        <w:rPr>
          <w:noProof/>
        </w:rPr>
        <w:t xml:space="preserve"> z</w:t>
      </w:r>
      <w:r w:rsidR="00062BFA">
        <w:rPr>
          <w:noProof/>
        </w:rPr>
        <w:t> </w:t>
      </w:r>
      <w:r w:rsidR="00062BFA" w:rsidRPr="004F6DAA">
        <w:rPr>
          <w:noProof/>
        </w:rPr>
        <w:t>kra</w:t>
      </w:r>
      <w:r w:rsidRPr="004F6DAA">
        <w:rPr>
          <w:noProof/>
        </w:rPr>
        <w:t>jem produkcji lub jego częściami, przy czym obowiązki dotyczące uproszczonej należytej staranności spoczywają na podmiotach zaopatrujących się</w:t>
      </w:r>
      <w:r w:rsidR="00062BFA" w:rsidRPr="004F6DAA">
        <w:rPr>
          <w:noProof/>
        </w:rPr>
        <w:t xml:space="preserve"> w</w:t>
      </w:r>
      <w:r w:rsidR="00062BFA">
        <w:rPr>
          <w:noProof/>
        </w:rPr>
        <w:t> </w:t>
      </w:r>
      <w:r w:rsidR="00062BFA" w:rsidRPr="004F6DAA">
        <w:rPr>
          <w:noProof/>
        </w:rPr>
        <w:t>kra</w:t>
      </w:r>
      <w:r w:rsidRPr="004F6DAA">
        <w:rPr>
          <w:noProof/>
        </w:rPr>
        <w:t>jach niskiego ryzyka lub</w:t>
      </w:r>
      <w:r w:rsidR="00062BFA" w:rsidRPr="004F6DAA">
        <w:rPr>
          <w:noProof/>
        </w:rPr>
        <w:t xml:space="preserve"> w</w:t>
      </w:r>
      <w:r w:rsidR="00062BFA">
        <w:rPr>
          <w:noProof/>
        </w:rPr>
        <w:t> </w:t>
      </w:r>
      <w:r w:rsidR="00062BFA" w:rsidRPr="004F6DAA">
        <w:rPr>
          <w:noProof/>
        </w:rPr>
        <w:t>ich</w:t>
      </w:r>
      <w:r w:rsidRPr="004F6DAA">
        <w:rPr>
          <w:noProof/>
        </w:rPr>
        <w:t xml:space="preserve"> częściach (</w:t>
      </w:r>
      <w:r w:rsidRPr="00062BFA">
        <w:rPr>
          <w:noProof/>
        </w:rPr>
        <w:t>art.</w:t>
      </w:r>
      <w:r w:rsidR="00062BFA" w:rsidRPr="00062BFA">
        <w:rPr>
          <w:noProof/>
        </w:rPr>
        <w:t> </w:t>
      </w:r>
      <w:r w:rsidRPr="00062BFA">
        <w:rPr>
          <w:noProof/>
        </w:rPr>
        <w:t>1</w:t>
      </w:r>
      <w:r w:rsidRPr="004F6DAA">
        <w:rPr>
          <w:noProof/>
        </w:rPr>
        <w:t>2),</w:t>
      </w:r>
      <w:r w:rsidR="00062BFA" w:rsidRPr="004F6DAA">
        <w:rPr>
          <w:noProof/>
        </w:rPr>
        <w:t xml:space="preserve"> a</w:t>
      </w:r>
      <w:r w:rsidR="00062BFA">
        <w:rPr>
          <w:noProof/>
        </w:rPr>
        <w:t> </w:t>
      </w:r>
      <w:r w:rsidR="00062BFA" w:rsidRPr="004F6DAA">
        <w:rPr>
          <w:noProof/>
        </w:rPr>
        <w:t>obo</w:t>
      </w:r>
      <w:r w:rsidRPr="004F6DAA">
        <w:rPr>
          <w:noProof/>
        </w:rPr>
        <w:t>wiązek wzmocnionej kontroli spoczywa na właściwych organach przeprowadzających kontrole odnośnych towarów</w:t>
      </w:r>
      <w:r w:rsidR="00062BFA" w:rsidRPr="004F6DAA">
        <w:rPr>
          <w:noProof/>
        </w:rPr>
        <w:t xml:space="preserve"> i</w:t>
      </w:r>
      <w:r w:rsidR="00062BFA">
        <w:rPr>
          <w:noProof/>
        </w:rPr>
        <w:t> </w:t>
      </w:r>
      <w:r w:rsidR="00062BFA" w:rsidRPr="004F6DAA">
        <w:rPr>
          <w:noProof/>
        </w:rPr>
        <w:t>pro</w:t>
      </w:r>
      <w:r w:rsidRPr="004F6DAA">
        <w:rPr>
          <w:noProof/>
        </w:rPr>
        <w:t>duktów wyprodukowanych</w:t>
      </w:r>
      <w:r w:rsidR="00062BFA" w:rsidRPr="004F6DAA">
        <w:rPr>
          <w:noProof/>
        </w:rPr>
        <w:t xml:space="preserve"> w</w:t>
      </w:r>
      <w:r w:rsidR="00062BFA">
        <w:rPr>
          <w:noProof/>
        </w:rPr>
        <w:t> </w:t>
      </w:r>
      <w:r w:rsidR="00062BFA" w:rsidRPr="004F6DAA">
        <w:rPr>
          <w:noProof/>
        </w:rPr>
        <w:t>kra</w:t>
      </w:r>
      <w:r w:rsidRPr="004F6DAA">
        <w:rPr>
          <w:noProof/>
        </w:rPr>
        <w:t>jach wysokiego ryzyka lub</w:t>
      </w:r>
      <w:r w:rsidR="00062BFA" w:rsidRPr="004F6DAA">
        <w:rPr>
          <w:noProof/>
        </w:rPr>
        <w:t xml:space="preserve"> w</w:t>
      </w:r>
      <w:r w:rsidR="00062BFA">
        <w:rPr>
          <w:noProof/>
        </w:rPr>
        <w:t> </w:t>
      </w:r>
      <w:r w:rsidR="00062BFA" w:rsidRPr="004F6DAA">
        <w:rPr>
          <w:noProof/>
        </w:rPr>
        <w:t>ich</w:t>
      </w:r>
      <w:r w:rsidRPr="004F6DAA">
        <w:rPr>
          <w:noProof/>
        </w:rPr>
        <w:t xml:space="preserve"> częściach (</w:t>
      </w:r>
      <w:r w:rsidRPr="00062BFA">
        <w:rPr>
          <w:noProof/>
        </w:rPr>
        <w:t>art.</w:t>
      </w:r>
      <w:r w:rsidR="00062BFA" w:rsidRPr="00062BFA">
        <w:rPr>
          <w:noProof/>
        </w:rPr>
        <w:t> </w:t>
      </w:r>
      <w:r w:rsidRPr="00062BFA">
        <w:rPr>
          <w:noProof/>
        </w:rPr>
        <w:t>2</w:t>
      </w:r>
      <w:r w:rsidRPr="004F6DAA">
        <w:rPr>
          <w:noProof/>
        </w:rPr>
        <w:t>0).</w:t>
      </w:r>
    </w:p>
    <w:p w14:paraId="43364666" w14:textId="77777777" w:rsidR="00DE3BCD" w:rsidRPr="004F6DAA" w:rsidRDefault="00DE3BCD" w:rsidP="00DE3BCD">
      <w:pPr>
        <w:pStyle w:val="Bullet1"/>
        <w:rPr>
          <w:i/>
          <w:noProof/>
        </w:rPr>
      </w:pPr>
      <w:r w:rsidRPr="004F6DAA">
        <w:rPr>
          <w:i/>
          <w:noProof/>
        </w:rPr>
        <w:t xml:space="preserve">Artykuł 29: Uzasadnione zastrzeżenia osób fizycznych lub prawnych </w:t>
      </w:r>
    </w:p>
    <w:p w14:paraId="143782F6" w14:textId="77777777" w:rsidR="00DE3BCD" w:rsidRPr="004F6DAA" w:rsidRDefault="00DE3BCD" w:rsidP="00DE3BCD">
      <w:pPr>
        <w:pBdr>
          <w:top w:val="nil"/>
          <w:left w:val="nil"/>
          <w:bottom w:val="nil"/>
          <w:right w:val="nil"/>
          <w:between w:val="nil"/>
          <w:bar w:val="nil"/>
        </w:pBdr>
        <w:spacing w:before="0"/>
        <w:rPr>
          <w:noProof/>
        </w:rPr>
      </w:pPr>
      <w:r w:rsidRPr="004F6DAA">
        <w:rPr>
          <w:noProof/>
        </w:rPr>
        <w:t>Zgodnie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5</w:t>
      </w:r>
      <w:r w:rsidR="00062BFA" w:rsidRPr="004F6DAA">
        <w:rPr>
          <w:noProof/>
        </w:rPr>
        <w:t xml:space="preserve"> i</w:t>
      </w:r>
      <w:r w:rsidR="00062BFA">
        <w:rPr>
          <w:noProof/>
        </w:rPr>
        <w:t> </w:t>
      </w:r>
      <w:r w:rsidR="00062BFA" w:rsidRPr="004F6DAA">
        <w:rPr>
          <w:noProof/>
        </w:rPr>
        <w:t>1</w:t>
      </w:r>
      <w:r w:rsidRPr="004F6DAA">
        <w:rPr>
          <w:noProof/>
        </w:rPr>
        <w:t>6 właściwy organ może przeprowadzać kontrole podmiotów</w:t>
      </w:r>
      <w:r w:rsidR="00062BFA" w:rsidRPr="004F6DAA">
        <w:rPr>
          <w:noProof/>
        </w:rPr>
        <w:t xml:space="preserve"> i</w:t>
      </w:r>
      <w:r w:rsidR="00062BFA">
        <w:rPr>
          <w:noProof/>
        </w:rPr>
        <w:t> </w:t>
      </w:r>
      <w:r w:rsidR="00062BFA" w:rsidRPr="004F6DAA">
        <w:rPr>
          <w:noProof/>
        </w:rPr>
        <w:t>pod</w:t>
      </w:r>
      <w:r w:rsidRPr="004F6DAA">
        <w:rPr>
          <w:noProof/>
        </w:rPr>
        <w:t>miotów handlowych,</w:t>
      </w:r>
      <w:r w:rsidR="00062BFA" w:rsidRPr="004F6DAA">
        <w:rPr>
          <w:noProof/>
        </w:rPr>
        <w:t xml:space="preserve"> w</w:t>
      </w:r>
      <w:r w:rsidR="00062BFA">
        <w:rPr>
          <w:noProof/>
        </w:rPr>
        <w:t> </w:t>
      </w:r>
      <w:r w:rsidR="00062BFA" w:rsidRPr="004F6DAA">
        <w:rPr>
          <w:noProof/>
        </w:rPr>
        <w:t>prz</w:t>
      </w:r>
      <w:r w:rsidRPr="004F6DAA">
        <w:rPr>
          <w:noProof/>
        </w:rPr>
        <w:t>ypadku gdy właściwy organ jest</w:t>
      </w:r>
      <w:r w:rsidR="00062BFA" w:rsidRPr="004F6DAA">
        <w:rPr>
          <w:noProof/>
        </w:rPr>
        <w:t xml:space="preserve"> w</w:t>
      </w:r>
      <w:r w:rsidR="00062BFA">
        <w:rPr>
          <w:noProof/>
        </w:rPr>
        <w:t> </w:t>
      </w:r>
      <w:r w:rsidR="00062BFA" w:rsidRPr="004F6DAA">
        <w:rPr>
          <w:noProof/>
        </w:rPr>
        <w:t>pos</w:t>
      </w:r>
      <w:r w:rsidRPr="004F6DAA">
        <w:rPr>
          <w:noProof/>
        </w:rPr>
        <w:t>iadaniu stosownych informacji,</w:t>
      </w:r>
      <w:r w:rsidR="00062BFA" w:rsidRPr="004F6DAA">
        <w:rPr>
          <w:noProof/>
        </w:rPr>
        <w:t xml:space="preserve"> </w:t>
      </w:r>
      <w:r w:rsidR="00062BFA" w:rsidRPr="004F6DAA">
        <w:rPr>
          <w:noProof/>
          <w:color w:val="000000"/>
        </w:rPr>
        <w:t>w</w:t>
      </w:r>
      <w:r w:rsidR="00062BFA">
        <w:rPr>
          <w:noProof/>
        </w:rPr>
        <w:t> </w:t>
      </w:r>
      <w:r w:rsidR="00062BFA" w:rsidRPr="004F6DAA">
        <w:rPr>
          <w:noProof/>
          <w:color w:val="000000"/>
        </w:rPr>
        <w:t>tym</w:t>
      </w:r>
      <w:r w:rsidRPr="004F6DAA">
        <w:rPr>
          <w:noProof/>
          <w:color w:val="000000"/>
        </w:rPr>
        <w:t xml:space="preserve"> na podstawie uzasadnionych zastrzeżeń dostarczonych przez osoby trzecie. Zgodnie</w:t>
      </w:r>
      <w:r w:rsidR="00062BFA" w:rsidRPr="004F6DAA">
        <w:rPr>
          <w:noProof/>
          <w:color w:val="000000"/>
        </w:rPr>
        <w:t xml:space="preserve"> z</w:t>
      </w:r>
      <w:r w:rsidR="00062BFA">
        <w:rPr>
          <w:noProof/>
          <w:color w:val="000000"/>
        </w:rPr>
        <w:t> </w:t>
      </w:r>
      <w:r w:rsidR="00062BFA" w:rsidRPr="00062BFA">
        <w:rPr>
          <w:noProof/>
          <w:color w:val="000000"/>
        </w:rPr>
        <w:t>art</w:t>
      </w:r>
      <w:r w:rsidRPr="00062BFA">
        <w:rPr>
          <w:noProof/>
          <w:color w:val="000000"/>
        </w:rPr>
        <w:t>.</w:t>
      </w:r>
      <w:r w:rsidR="00062BFA" w:rsidRPr="00062BFA">
        <w:rPr>
          <w:noProof/>
          <w:color w:val="000000"/>
        </w:rPr>
        <w:t> </w:t>
      </w:r>
      <w:r w:rsidRPr="00062BFA">
        <w:rPr>
          <w:noProof/>
          <w:color w:val="000000"/>
        </w:rPr>
        <w:t>2</w:t>
      </w:r>
      <w:r w:rsidRPr="004F6DAA">
        <w:rPr>
          <w:noProof/>
          <w:color w:val="000000"/>
        </w:rPr>
        <w:t xml:space="preserve"> </w:t>
      </w:r>
      <w:r w:rsidRPr="00062BFA">
        <w:rPr>
          <w:noProof/>
          <w:color w:val="000000"/>
        </w:rPr>
        <w:t>pkt</w:t>
      </w:r>
      <w:r w:rsidR="00062BFA" w:rsidRPr="00062BFA">
        <w:rPr>
          <w:noProof/>
          <w:color w:val="000000"/>
        </w:rPr>
        <w:t> </w:t>
      </w:r>
      <w:r w:rsidRPr="00062BFA">
        <w:rPr>
          <w:noProof/>
          <w:color w:val="000000"/>
        </w:rPr>
        <w:t>2</w:t>
      </w:r>
      <w:r w:rsidRPr="004F6DAA">
        <w:rPr>
          <w:noProof/>
          <w:color w:val="000000"/>
        </w:rPr>
        <w:t>1 „uzasadnione zastrzeżenia” oznaczają „należycie uzasadnione twierdzenie oparte na obiektywnych</w:t>
      </w:r>
      <w:r w:rsidR="00062BFA" w:rsidRPr="004F6DAA">
        <w:rPr>
          <w:noProof/>
          <w:color w:val="000000"/>
        </w:rPr>
        <w:t xml:space="preserve"> i</w:t>
      </w:r>
      <w:r w:rsidR="00062BFA">
        <w:rPr>
          <w:noProof/>
          <w:color w:val="000000"/>
        </w:rPr>
        <w:t> </w:t>
      </w:r>
      <w:r w:rsidR="00062BFA" w:rsidRPr="004F6DAA">
        <w:rPr>
          <w:noProof/>
          <w:color w:val="000000"/>
        </w:rPr>
        <w:t>moż</w:t>
      </w:r>
      <w:r w:rsidRPr="004F6DAA">
        <w:rPr>
          <w:noProof/>
          <w:color w:val="000000"/>
        </w:rPr>
        <w:t>liwych do sprawdzenia informacjach dotyczących niezgodności</w:t>
      </w:r>
      <w:r w:rsidR="00062BFA" w:rsidRPr="004F6DAA">
        <w:rPr>
          <w:noProof/>
          <w:color w:val="000000"/>
        </w:rPr>
        <w:t xml:space="preserve"> z</w:t>
      </w:r>
      <w:r w:rsidR="00062BFA">
        <w:rPr>
          <w:noProof/>
          <w:color w:val="000000"/>
        </w:rPr>
        <w:t> </w:t>
      </w:r>
      <w:r w:rsidR="00062BFA" w:rsidRPr="004F6DAA">
        <w:rPr>
          <w:noProof/>
          <w:color w:val="000000"/>
        </w:rPr>
        <w:t>nin</w:t>
      </w:r>
      <w:r w:rsidRPr="004F6DAA">
        <w:rPr>
          <w:noProof/>
          <w:color w:val="000000"/>
        </w:rPr>
        <w:t>iejszym rozporządzeniem, które może wymagać interwencji właściwych organów”.</w:t>
      </w:r>
      <w:r w:rsidRPr="004F6DAA">
        <w:rPr>
          <w:noProof/>
        </w:rPr>
        <w:t xml:space="preserve"> </w:t>
      </w:r>
    </w:p>
    <w:p w14:paraId="30A7CAEB" w14:textId="77777777" w:rsidR="00DE3BCD" w:rsidRPr="004F6DAA" w:rsidRDefault="00DE3BCD" w:rsidP="00DE3BCD">
      <w:pPr>
        <w:pBdr>
          <w:top w:val="nil"/>
          <w:left w:val="nil"/>
          <w:bottom w:val="nil"/>
          <w:right w:val="nil"/>
          <w:between w:val="nil"/>
          <w:bar w:val="nil"/>
        </w:pBdr>
        <w:spacing w:before="0"/>
        <w:rPr>
          <w:noProof/>
        </w:rPr>
      </w:pPr>
      <w:r w:rsidRPr="004F6DAA">
        <w:rPr>
          <w:noProof/>
        </w:rPr>
        <w:t>Uzasadnione zastrzeżenia mogą dotyczyć konkretnych dostaw, dostawców, podmiotów, podmiotów handlowych lub wszelkich sytuacji</w:t>
      </w:r>
      <w:r w:rsidR="00062BFA" w:rsidRPr="004F6DAA">
        <w:rPr>
          <w:noProof/>
        </w:rPr>
        <w:t xml:space="preserve"> w</w:t>
      </w:r>
      <w:r w:rsidR="00062BFA">
        <w:rPr>
          <w:noProof/>
        </w:rPr>
        <w:t> </w:t>
      </w:r>
      <w:r w:rsidR="00062BFA" w:rsidRPr="004F6DAA">
        <w:rPr>
          <w:noProof/>
        </w:rPr>
        <w:t>kon</w:t>
      </w:r>
      <w:r w:rsidRPr="004F6DAA">
        <w:rPr>
          <w:noProof/>
        </w:rPr>
        <w:t>kretnych krajach produkcji, które stwarzają ryzyko wprowadzenia do obrotu odnośnego towaru lub produktu, co</w:t>
      </w:r>
      <w:r w:rsidR="00062BFA" w:rsidRPr="004F6DAA">
        <w:rPr>
          <w:noProof/>
        </w:rPr>
        <w:t xml:space="preserve"> w</w:t>
      </w:r>
      <w:r w:rsidR="00062BFA">
        <w:rPr>
          <w:noProof/>
        </w:rPr>
        <w:t> </w:t>
      </w:r>
      <w:r w:rsidR="00062BFA" w:rsidRPr="004F6DAA">
        <w:rPr>
          <w:noProof/>
        </w:rPr>
        <w:t>rez</w:t>
      </w:r>
      <w:r w:rsidRPr="004F6DAA">
        <w:rPr>
          <w:noProof/>
        </w:rPr>
        <w:t>ultacie może wymagać interwencji właściwych organów. Uzasadnione zastrzeżenia były również częścią systemu ustanowionego</w:t>
      </w:r>
      <w:r w:rsidR="00062BFA" w:rsidRPr="004F6DAA">
        <w:rPr>
          <w:noProof/>
        </w:rPr>
        <w:t xml:space="preserve"> w</w:t>
      </w:r>
      <w:r w:rsidR="00062BFA">
        <w:rPr>
          <w:noProof/>
        </w:rPr>
        <w:t> </w:t>
      </w:r>
      <w:r w:rsidR="00062BFA" w:rsidRPr="004F6DAA">
        <w:rPr>
          <w:noProof/>
        </w:rPr>
        <w:t>roz</w:t>
      </w:r>
      <w:r w:rsidRPr="004F6DAA">
        <w:rPr>
          <w:noProof/>
        </w:rPr>
        <w:t>porządzeniu</w:t>
      </w:r>
      <w:r w:rsidR="00062BFA" w:rsidRPr="004F6DAA">
        <w:rPr>
          <w:noProof/>
        </w:rPr>
        <w:t xml:space="preserve"> w</w:t>
      </w:r>
      <w:r w:rsidR="00062BFA">
        <w:rPr>
          <w:noProof/>
        </w:rPr>
        <w:t> </w:t>
      </w:r>
      <w:r w:rsidR="00062BFA" w:rsidRPr="004F6DAA">
        <w:rPr>
          <w:noProof/>
        </w:rPr>
        <w:t>spr</w:t>
      </w:r>
      <w:r w:rsidRPr="004F6DAA">
        <w:rPr>
          <w:noProof/>
        </w:rPr>
        <w:t>awie drewna [(</w:t>
      </w:r>
      <w:r w:rsidRPr="00062BFA">
        <w:rPr>
          <w:noProof/>
        </w:rPr>
        <w:t>art.</w:t>
      </w:r>
      <w:r w:rsidR="00062BFA" w:rsidRPr="00062BFA">
        <w:rPr>
          <w:noProof/>
        </w:rPr>
        <w:t> </w:t>
      </w:r>
      <w:r w:rsidRPr="00062BFA">
        <w:rPr>
          <w:noProof/>
        </w:rPr>
        <w:t>1</w:t>
      </w:r>
      <w:r w:rsidRPr="004F6DAA">
        <w:rPr>
          <w:noProof/>
        </w:rPr>
        <w:t xml:space="preserve">0 </w:t>
      </w:r>
      <w:r w:rsidRPr="00062BFA">
        <w:rPr>
          <w:noProof/>
        </w:rPr>
        <w:t>ust.</w:t>
      </w:r>
      <w:r w:rsidR="00062BFA" w:rsidRPr="00062BFA">
        <w:rPr>
          <w:noProof/>
        </w:rPr>
        <w:t> </w:t>
      </w:r>
      <w:r w:rsidRPr="00062BFA">
        <w:rPr>
          <w:noProof/>
        </w:rPr>
        <w:t>2</w:t>
      </w:r>
      <w:r w:rsidRPr="004F6DAA">
        <w:rPr>
          <w:noProof/>
        </w:rPr>
        <w:t>)]. Art. 29 oparto na tych doświadczeniach</w:t>
      </w:r>
      <w:r w:rsidR="00062BFA" w:rsidRPr="004F6DAA">
        <w:rPr>
          <w:noProof/>
        </w:rPr>
        <w:t xml:space="preserve"> i</w:t>
      </w:r>
      <w:r w:rsidR="00062BFA">
        <w:rPr>
          <w:noProof/>
        </w:rPr>
        <w:t> </w:t>
      </w:r>
      <w:r w:rsidR="00062BFA" w:rsidRPr="004F6DAA">
        <w:rPr>
          <w:noProof/>
        </w:rPr>
        <w:t>wyj</w:t>
      </w:r>
      <w:r w:rsidRPr="004F6DAA">
        <w:rPr>
          <w:noProof/>
        </w:rPr>
        <w:t>aśniono</w:t>
      </w:r>
      <w:r w:rsidR="00062BFA" w:rsidRPr="004F6DAA">
        <w:rPr>
          <w:noProof/>
        </w:rPr>
        <w:t xml:space="preserve"> w</w:t>
      </w:r>
      <w:r w:rsidR="00062BFA">
        <w:rPr>
          <w:noProof/>
        </w:rPr>
        <w:t> </w:t>
      </w:r>
      <w:r w:rsidR="00062BFA" w:rsidRPr="004F6DAA">
        <w:rPr>
          <w:noProof/>
        </w:rPr>
        <w:t>nim</w:t>
      </w:r>
      <w:r w:rsidRPr="004F6DAA">
        <w:rPr>
          <w:noProof/>
        </w:rPr>
        <w:t xml:space="preserve"> obowiązki właściwego organu</w:t>
      </w:r>
      <w:r w:rsidR="00062BFA" w:rsidRPr="004F6DAA">
        <w:rPr>
          <w:noProof/>
        </w:rPr>
        <w:t xml:space="preserve"> w</w:t>
      </w:r>
      <w:r w:rsidR="00062BFA">
        <w:rPr>
          <w:noProof/>
        </w:rPr>
        <w:t> </w:t>
      </w:r>
      <w:r w:rsidR="00062BFA" w:rsidRPr="004F6DAA">
        <w:rPr>
          <w:noProof/>
        </w:rPr>
        <w:t>zak</w:t>
      </w:r>
      <w:r w:rsidRPr="004F6DAA">
        <w:rPr>
          <w:noProof/>
        </w:rPr>
        <w:t>resie oceny uzasadnionych zastrzeżeń</w:t>
      </w:r>
      <w:r w:rsidR="00062BFA" w:rsidRPr="004F6DAA">
        <w:rPr>
          <w:noProof/>
        </w:rPr>
        <w:t xml:space="preserve"> i</w:t>
      </w:r>
      <w:r w:rsidR="00062BFA">
        <w:rPr>
          <w:noProof/>
        </w:rPr>
        <w:t> </w:t>
      </w:r>
      <w:r w:rsidR="00062BFA" w:rsidRPr="004F6DAA">
        <w:rPr>
          <w:noProof/>
        </w:rPr>
        <w:t>pod</w:t>
      </w:r>
      <w:r w:rsidRPr="004F6DAA">
        <w:rPr>
          <w:noProof/>
        </w:rPr>
        <w:t>ejmowania koniecznych działań operacyjnych, które mogą okazać się niezbędne do wykrycia naruszeń</w:t>
      </w:r>
      <w:r w:rsidR="00062BFA" w:rsidRPr="004F6DAA">
        <w:rPr>
          <w:noProof/>
        </w:rPr>
        <w:t xml:space="preserve"> i</w:t>
      </w:r>
      <w:r w:rsidR="00062BFA">
        <w:rPr>
          <w:noProof/>
        </w:rPr>
        <w:t> </w:t>
      </w:r>
      <w:r w:rsidR="00062BFA" w:rsidRPr="004F6DAA">
        <w:rPr>
          <w:noProof/>
        </w:rPr>
        <w:t>zap</w:t>
      </w:r>
      <w:r w:rsidRPr="004F6DAA">
        <w:rPr>
          <w:noProof/>
        </w:rPr>
        <w:t>obieżenia dalszemu wprowadzaniu produktów do obrotu</w:t>
      </w:r>
      <w:r w:rsidR="00062BFA" w:rsidRPr="004F6DAA">
        <w:rPr>
          <w:noProof/>
        </w:rPr>
        <w:t xml:space="preserve"> i</w:t>
      </w:r>
      <w:r w:rsidR="00062BFA">
        <w:rPr>
          <w:noProof/>
        </w:rPr>
        <w:t> </w:t>
      </w:r>
      <w:r w:rsidR="00062BFA" w:rsidRPr="004F6DAA">
        <w:rPr>
          <w:noProof/>
        </w:rPr>
        <w:t>ich</w:t>
      </w:r>
      <w:r w:rsidRPr="004F6DAA">
        <w:rPr>
          <w:noProof/>
        </w:rPr>
        <w:t xml:space="preserve"> obrotowi na rynku wewnętrznym.</w:t>
      </w:r>
    </w:p>
    <w:p w14:paraId="30207203" w14:textId="77777777" w:rsidR="00DE3BCD" w:rsidRPr="004F6DAA" w:rsidRDefault="00DE3BCD" w:rsidP="00DE3BCD">
      <w:pPr>
        <w:pBdr>
          <w:top w:val="nil"/>
          <w:left w:val="nil"/>
          <w:bottom w:val="nil"/>
          <w:right w:val="nil"/>
          <w:between w:val="nil"/>
          <w:bar w:val="nil"/>
        </w:pBdr>
        <w:spacing w:before="0"/>
        <w:rPr>
          <w:noProof/>
        </w:rPr>
      </w:pPr>
      <w:r w:rsidRPr="004F6DAA">
        <w:rPr>
          <w:noProof/>
        </w:rPr>
        <w:t>Uzasadnione zastrzeżenia są również istotne</w:t>
      </w:r>
      <w:r w:rsidR="00062BFA" w:rsidRPr="004F6DAA">
        <w:rPr>
          <w:noProof/>
        </w:rPr>
        <w:t xml:space="preserve"> z</w:t>
      </w:r>
      <w:r w:rsidR="00062BFA">
        <w:rPr>
          <w:noProof/>
        </w:rPr>
        <w:t> </w:t>
      </w:r>
      <w:r w:rsidR="00062BFA" w:rsidRPr="004F6DAA">
        <w:rPr>
          <w:noProof/>
        </w:rPr>
        <w:t>pun</w:t>
      </w:r>
      <w:r w:rsidRPr="004F6DAA">
        <w:rPr>
          <w:noProof/>
        </w:rPr>
        <w:t>ktu widzenia podmiotów</w:t>
      </w:r>
      <w:r w:rsidR="00062BFA" w:rsidRPr="004F6DAA">
        <w:rPr>
          <w:noProof/>
        </w:rPr>
        <w:t xml:space="preserve"> i</w:t>
      </w:r>
      <w:r w:rsidR="00062BFA">
        <w:rPr>
          <w:noProof/>
        </w:rPr>
        <w:t> </w:t>
      </w:r>
      <w:r w:rsidR="00062BFA" w:rsidRPr="004F6DAA">
        <w:rPr>
          <w:noProof/>
        </w:rPr>
        <w:t>pod</w:t>
      </w:r>
      <w:r w:rsidRPr="004F6DAA">
        <w:rPr>
          <w:noProof/>
        </w:rPr>
        <w:t>miotów handlowych</w:t>
      </w:r>
      <w:r w:rsidR="00062BFA" w:rsidRPr="004F6DAA">
        <w:rPr>
          <w:noProof/>
        </w:rPr>
        <w:t>. W</w:t>
      </w:r>
      <w:r w:rsidR="00062BFA">
        <w:rPr>
          <w:noProof/>
        </w:rPr>
        <w:t> </w:t>
      </w:r>
      <w:r w:rsidR="00062BFA" w:rsidRPr="00062BFA">
        <w:rPr>
          <w:noProof/>
        </w:rPr>
        <w:t>art</w:t>
      </w:r>
      <w:r w:rsidRPr="00062BFA">
        <w:rPr>
          <w:noProof/>
        </w:rPr>
        <w:t>.</w:t>
      </w:r>
      <w:r w:rsidR="00062BFA" w:rsidRPr="00062BFA">
        <w:rPr>
          <w:noProof/>
        </w:rPr>
        <w:t> </w:t>
      </w:r>
      <w:r w:rsidRPr="00062BFA">
        <w:rPr>
          <w:noProof/>
        </w:rPr>
        <w:t>4</w:t>
      </w:r>
      <w:r w:rsidRPr="004F6DAA">
        <w:rPr>
          <w:noProof/>
        </w:rPr>
        <w:t xml:space="preserve"> </w:t>
      </w:r>
      <w:r w:rsidRPr="00062BFA">
        <w:rPr>
          <w:noProof/>
        </w:rPr>
        <w:t>ust.</w:t>
      </w:r>
      <w:r w:rsidR="00062BFA" w:rsidRPr="00062BFA">
        <w:rPr>
          <w:noProof/>
        </w:rPr>
        <w:t> </w:t>
      </w:r>
      <w:r w:rsidRPr="00062BFA">
        <w:rPr>
          <w:noProof/>
        </w:rPr>
        <w:t>6</w:t>
      </w:r>
      <w:r w:rsidRPr="004F6DAA">
        <w:rPr>
          <w:noProof/>
        </w:rPr>
        <w:t xml:space="preserve"> niniejszego rozporządzenia nałożono na podmiot, który został powiadomiony,</w:t>
      </w:r>
      <w:r w:rsidR="00062BFA" w:rsidRPr="004F6DAA">
        <w:rPr>
          <w:noProof/>
        </w:rPr>
        <w:t xml:space="preserve"> w</w:t>
      </w:r>
      <w:r w:rsidR="00062BFA">
        <w:rPr>
          <w:noProof/>
        </w:rPr>
        <w:t> </w:t>
      </w:r>
      <w:r w:rsidR="00062BFA" w:rsidRPr="004F6DAA">
        <w:rPr>
          <w:noProof/>
        </w:rPr>
        <w:t>dro</w:t>
      </w:r>
      <w:r w:rsidRPr="004F6DAA">
        <w:rPr>
          <w:noProof/>
        </w:rPr>
        <w:t>dze uzasadnionego zastrzeżenia,</w:t>
      </w:r>
      <w:r w:rsidR="00062BFA" w:rsidRPr="004F6DAA">
        <w:rPr>
          <w:noProof/>
        </w:rPr>
        <w:t xml:space="preserve"> o</w:t>
      </w:r>
      <w:r w:rsidR="00062BFA">
        <w:rPr>
          <w:noProof/>
        </w:rPr>
        <w:t> </w:t>
      </w:r>
      <w:r w:rsidR="00062BFA" w:rsidRPr="004F6DAA">
        <w:rPr>
          <w:noProof/>
        </w:rPr>
        <w:t>nie</w:t>
      </w:r>
      <w:r w:rsidRPr="004F6DAA">
        <w:rPr>
          <w:noProof/>
        </w:rPr>
        <w:t>zgodności odnośnego towaru lub produktu, obowiązek niezwłocznego powiadomienia odpowiedniego właściwego organu państwa,</w:t>
      </w:r>
      <w:r w:rsidR="00062BFA" w:rsidRPr="004F6DAA">
        <w:rPr>
          <w:noProof/>
        </w:rPr>
        <w:t xml:space="preserve"> w</w:t>
      </w:r>
      <w:r w:rsidR="00062BFA">
        <w:rPr>
          <w:noProof/>
        </w:rPr>
        <w:t> </w:t>
      </w:r>
      <w:r w:rsidR="00062BFA" w:rsidRPr="004F6DAA">
        <w:rPr>
          <w:noProof/>
        </w:rPr>
        <w:t>któ</w:t>
      </w:r>
      <w:r w:rsidRPr="004F6DAA">
        <w:rPr>
          <w:noProof/>
        </w:rPr>
        <w:t>rym produkt został wprowadzony do obrotu lub</w:t>
      </w:r>
      <w:r w:rsidR="00062BFA" w:rsidRPr="004F6DAA">
        <w:rPr>
          <w:noProof/>
        </w:rPr>
        <w:t xml:space="preserve"> z</w:t>
      </w:r>
      <w:r w:rsidR="00062BFA">
        <w:rPr>
          <w:noProof/>
        </w:rPr>
        <w:t> </w:t>
      </w:r>
      <w:r w:rsidR="00062BFA" w:rsidRPr="004F6DAA">
        <w:rPr>
          <w:noProof/>
        </w:rPr>
        <w:t>któ</w:t>
      </w:r>
      <w:r w:rsidRPr="004F6DAA">
        <w:rPr>
          <w:noProof/>
        </w:rPr>
        <w:t>rego został wywieziony. Ten sam obowiązek ma zastosowanie do podmiotów handlowych, niezależnie od ich wielkości [</w:t>
      </w:r>
      <w:r w:rsidRPr="00062BFA">
        <w:rPr>
          <w:noProof/>
        </w:rPr>
        <w:t>art.</w:t>
      </w:r>
      <w:r w:rsidR="00062BFA" w:rsidRPr="00062BFA">
        <w:rPr>
          <w:noProof/>
        </w:rPr>
        <w:t> </w:t>
      </w:r>
      <w:r w:rsidRPr="00062BFA">
        <w:rPr>
          <w:noProof/>
        </w:rPr>
        <w:t>6</w:t>
      </w:r>
      <w:r w:rsidRPr="004F6DAA">
        <w:rPr>
          <w:noProof/>
        </w:rPr>
        <w:t xml:space="preserve"> </w:t>
      </w:r>
      <w:r w:rsidRPr="00062BFA">
        <w:rPr>
          <w:noProof/>
        </w:rPr>
        <w:t>ust.</w:t>
      </w:r>
      <w:r w:rsidR="00062BFA" w:rsidRPr="00062BFA">
        <w:rPr>
          <w:noProof/>
        </w:rPr>
        <w:t> </w:t>
      </w:r>
      <w:r w:rsidRPr="00062BFA">
        <w:rPr>
          <w:noProof/>
        </w:rPr>
        <w:t>4</w:t>
      </w:r>
      <w:r w:rsidR="00062BFA" w:rsidRPr="004F6DAA">
        <w:rPr>
          <w:noProof/>
        </w:rPr>
        <w:t xml:space="preserve"> i</w:t>
      </w:r>
      <w:r w:rsidR="00062BFA">
        <w:rPr>
          <w:noProof/>
        </w:rPr>
        <w:t> </w:t>
      </w:r>
      <w:r w:rsidR="00062BFA" w:rsidRPr="004F6DAA">
        <w:rPr>
          <w:noProof/>
        </w:rPr>
        <w:t>5</w:t>
      </w:r>
      <w:r w:rsidRPr="004F6DAA">
        <w:rPr>
          <w:noProof/>
        </w:rPr>
        <w:t>]</w:t>
      </w:r>
      <w:r w:rsidR="00062BFA" w:rsidRPr="004F6DAA">
        <w:rPr>
          <w:noProof/>
        </w:rPr>
        <w:t>. W</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 xml:space="preserve">0 </w:t>
      </w:r>
      <w:r w:rsidRPr="00062BFA">
        <w:rPr>
          <w:noProof/>
        </w:rPr>
        <w:t>ust.</w:t>
      </w:r>
      <w:r w:rsidR="00062BFA" w:rsidRPr="00062BFA">
        <w:rPr>
          <w:noProof/>
        </w:rPr>
        <w:t> </w:t>
      </w:r>
      <w:r w:rsidRPr="00062BFA">
        <w:rPr>
          <w:noProof/>
        </w:rPr>
        <w:t>2</w:t>
      </w:r>
      <w:r w:rsidRPr="004F6DAA">
        <w:rPr>
          <w:noProof/>
        </w:rPr>
        <w:t xml:space="preserve"> </w:t>
      </w:r>
      <w:r w:rsidRPr="00062BFA">
        <w:rPr>
          <w:noProof/>
        </w:rPr>
        <w:t>lit.</w:t>
      </w:r>
      <w:r w:rsidR="00062BFA" w:rsidRPr="00062BFA">
        <w:rPr>
          <w:noProof/>
        </w:rPr>
        <w:t> </w:t>
      </w:r>
      <w:r w:rsidRPr="00062BFA">
        <w:rPr>
          <w:noProof/>
        </w:rPr>
        <w:t>i)</w:t>
      </w:r>
      <w:r w:rsidRPr="004F6DAA">
        <w:rPr>
          <w:noProof/>
        </w:rPr>
        <w:t xml:space="preserve"> zawarto również wymóg uwzględniania uzasadnionych zastrzeżeń jako kryterium oceny ryzyka.</w:t>
      </w:r>
    </w:p>
    <w:p w14:paraId="67C2B25B" w14:textId="77777777" w:rsidR="00DE3BCD" w:rsidRPr="004F6DAA" w:rsidRDefault="00DE3BCD" w:rsidP="00DE3BCD">
      <w:pPr>
        <w:pStyle w:val="Bullet1"/>
        <w:rPr>
          <w:i/>
          <w:noProof/>
        </w:rPr>
      </w:pPr>
      <w:r w:rsidRPr="004F6DAA">
        <w:rPr>
          <w:i/>
          <w:noProof/>
        </w:rPr>
        <w:t>Artykuł 31: „Rejestr” – system informacyjny</w:t>
      </w:r>
    </w:p>
    <w:p w14:paraId="33414206" w14:textId="77777777" w:rsidR="00DE3BCD" w:rsidRPr="004F6DAA" w:rsidRDefault="00DE3BCD" w:rsidP="00DE3BCD">
      <w:pPr>
        <w:pBdr>
          <w:top w:val="nil"/>
          <w:left w:val="nil"/>
          <w:bottom w:val="nil"/>
          <w:right w:val="nil"/>
          <w:between w:val="nil"/>
          <w:bar w:val="nil"/>
        </w:pBdr>
        <w:spacing w:before="0"/>
        <w:rPr>
          <w:rFonts w:eastAsia="Arial Unicode MS"/>
          <w:noProof/>
        </w:rPr>
      </w:pPr>
      <w:r w:rsidRPr="004F6DAA">
        <w:rPr>
          <w:noProof/>
        </w:rPr>
        <w:t xml:space="preserve">W </w:t>
      </w:r>
      <w:r w:rsidRPr="00062BFA">
        <w:rPr>
          <w:noProof/>
        </w:rPr>
        <w:t>art.</w:t>
      </w:r>
      <w:r w:rsidR="00062BFA" w:rsidRPr="00062BFA">
        <w:rPr>
          <w:noProof/>
        </w:rPr>
        <w:t> </w:t>
      </w:r>
      <w:r w:rsidRPr="00062BFA">
        <w:rPr>
          <w:noProof/>
        </w:rPr>
        <w:t>3</w:t>
      </w:r>
      <w:r w:rsidRPr="004F6DAA">
        <w:rPr>
          <w:noProof/>
        </w:rPr>
        <w:t>1 nałożono na Komisję obowiązek ustanowienia systemu informacyjnego, za pośrednictwem którego właściwym organom należy udostępniać oświadczenia</w:t>
      </w:r>
      <w:r w:rsidR="00062BFA" w:rsidRPr="004F6DAA">
        <w:rPr>
          <w:noProof/>
        </w:rPr>
        <w:t xml:space="preserve"> o</w:t>
      </w:r>
      <w:r w:rsidR="00062BFA">
        <w:rPr>
          <w:noProof/>
        </w:rPr>
        <w:t> </w:t>
      </w:r>
      <w:r w:rsidR="00062BFA" w:rsidRPr="004F6DAA">
        <w:rPr>
          <w:noProof/>
        </w:rPr>
        <w:t>zac</w:t>
      </w:r>
      <w:r w:rsidRPr="004F6DAA">
        <w:rPr>
          <w:noProof/>
        </w:rPr>
        <w:t>howaniu należytej staranności przewidziane</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4</w:t>
      </w:r>
      <w:r w:rsidRPr="004F6DAA">
        <w:rPr>
          <w:noProof/>
        </w:rPr>
        <w:t xml:space="preserve"> </w:t>
      </w:r>
      <w:r w:rsidRPr="00062BFA">
        <w:rPr>
          <w:noProof/>
        </w:rPr>
        <w:t>ust.</w:t>
      </w:r>
      <w:r w:rsidR="00062BFA" w:rsidRPr="00062BFA">
        <w:rPr>
          <w:noProof/>
        </w:rPr>
        <w:t> </w:t>
      </w:r>
      <w:r w:rsidRPr="00062BFA">
        <w:rPr>
          <w:noProof/>
        </w:rPr>
        <w:t>2</w:t>
      </w:r>
      <w:r w:rsidRPr="004F6DAA">
        <w:rPr>
          <w:noProof/>
        </w:rPr>
        <w:t xml:space="preserve">. </w:t>
      </w:r>
    </w:p>
    <w:p w14:paraId="698EA869" w14:textId="77777777" w:rsidR="00DE3BCD" w:rsidRPr="004F6DAA" w:rsidRDefault="00DE3BCD" w:rsidP="00DE3BCD">
      <w:pPr>
        <w:pBdr>
          <w:top w:val="nil"/>
          <w:left w:val="nil"/>
          <w:bottom w:val="nil"/>
          <w:right w:val="nil"/>
          <w:between w:val="nil"/>
          <w:bar w:val="nil"/>
        </w:pBdr>
        <w:spacing w:before="0"/>
        <w:rPr>
          <w:rFonts w:eastAsia="Arial Unicode MS"/>
          <w:noProof/>
        </w:rPr>
      </w:pPr>
      <w:r w:rsidRPr="004F6DAA">
        <w:rPr>
          <w:noProof/>
        </w:rPr>
        <w:t xml:space="preserve">W </w:t>
      </w:r>
      <w:r w:rsidRPr="00062BFA">
        <w:rPr>
          <w:noProof/>
        </w:rPr>
        <w:t>ust.</w:t>
      </w:r>
      <w:r w:rsidR="00062BFA" w:rsidRPr="00062BFA">
        <w:rPr>
          <w:noProof/>
        </w:rPr>
        <w:t> </w:t>
      </w:r>
      <w:r w:rsidRPr="00062BFA">
        <w:rPr>
          <w:noProof/>
        </w:rPr>
        <w:t>2</w:t>
      </w:r>
      <w:r w:rsidRPr="004F6DAA">
        <w:rPr>
          <w:noProof/>
        </w:rPr>
        <w:t xml:space="preserve"> określono minimalne wymagane funkcje systemu,</w:t>
      </w:r>
      <w:r w:rsidR="00062BFA" w:rsidRPr="004F6DAA">
        <w:rPr>
          <w:noProof/>
        </w:rPr>
        <w:t xml:space="preserve"> w</w:t>
      </w:r>
      <w:r w:rsidR="00062BFA">
        <w:rPr>
          <w:noProof/>
        </w:rPr>
        <w:t> </w:t>
      </w:r>
      <w:r w:rsidR="00062BFA" w:rsidRPr="004F6DAA">
        <w:rPr>
          <w:noProof/>
        </w:rPr>
        <w:t>tym</w:t>
      </w:r>
      <w:r w:rsidRPr="004F6DAA">
        <w:rPr>
          <w:noProof/>
        </w:rPr>
        <w:t xml:space="preserve"> między innymi połączenie</w:t>
      </w:r>
      <w:r w:rsidR="00062BFA" w:rsidRPr="004F6DAA">
        <w:rPr>
          <w:noProof/>
        </w:rPr>
        <w:t xml:space="preserve"> z</w:t>
      </w:r>
      <w:r w:rsidR="00062BFA">
        <w:rPr>
          <w:noProof/>
        </w:rPr>
        <w:t> </w:t>
      </w:r>
      <w:r w:rsidR="00062BFA" w:rsidRPr="004F6DAA">
        <w:rPr>
          <w:noProof/>
        </w:rPr>
        <w:t>org</w:t>
      </w:r>
      <w:r w:rsidRPr="004F6DAA">
        <w:rPr>
          <w:noProof/>
        </w:rPr>
        <w:t>anami celnymi za pośrednictwem unijnego środowiska jednego okienka</w:t>
      </w:r>
      <w:r w:rsidR="00062BFA" w:rsidRPr="004F6DAA">
        <w:rPr>
          <w:noProof/>
        </w:rPr>
        <w:t xml:space="preserve"> w</w:t>
      </w:r>
      <w:r w:rsidR="00062BFA">
        <w:rPr>
          <w:noProof/>
        </w:rPr>
        <w:t> </w:t>
      </w:r>
      <w:r w:rsidR="00062BFA" w:rsidRPr="004F6DAA">
        <w:rPr>
          <w:noProof/>
        </w:rPr>
        <w:t>dzi</w:t>
      </w:r>
      <w:r w:rsidRPr="004F6DAA">
        <w:rPr>
          <w:noProof/>
        </w:rPr>
        <w:t>edzinie ceł</w:t>
      </w:r>
      <w:r w:rsidR="00062BFA" w:rsidRPr="004F6DAA">
        <w:rPr>
          <w:noProof/>
        </w:rPr>
        <w:t>. W</w:t>
      </w:r>
      <w:r w:rsidR="00062BFA">
        <w:rPr>
          <w:noProof/>
        </w:rPr>
        <w:t> </w:t>
      </w:r>
      <w:r w:rsidR="00062BFA" w:rsidRPr="00062BFA">
        <w:rPr>
          <w:noProof/>
        </w:rPr>
        <w:t>ust</w:t>
      </w:r>
      <w:r w:rsidRPr="00062BFA">
        <w:rPr>
          <w:noProof/>
        </w:rPr>
        <w:t>.</w:t>
      </w:r>
      <w:r w:rsidR="00062BFA" w:rsidRPr="00062BFA">
        <w:rPr>
          <w:noProof/>
        </w:rPr>
        <w:t> </w:t>
      </w:r>
      <w:r w:rsidRPr="00062BFA">
        <w:rPr>
          <w:noProof/>
        </w:rPr>
        <w:t>3</w:t>
      </w:r>
      <w:r w:rsidRPr="004F6DAA">
        <w:rPr>
          <w:noProof/>
        </w:rPr>
        <w:t xml:space="preserve"> powierzono Komisji zadanie ustanowienia zasad funkcjonowania systemu za pośrednictwem aktu wykonawczego. </w:t>
      </w:r>
    </w:p>
    <w:p w14:paraId="20DFA1E2" w14:textId="77777777" w:rsidR="00DE3BCD" w:rsidRPr="004F6DAA" w:rsidRDefault="00DE3BCD" w:rsidP="00DE3BCD">
      <w:pPr>
        <w:pBdr>
          <w:top w:val="nil"/>
          <w:left w:val="nil"/>
          <w:bottom w:val="nil"/>
          <w:right w:val="nil"/>
          <w:between w:val="nil"/>
          <w:bar w:val="nil"/>
        </w:pBdr>
        <w:spacing w:before="0"/>
        <w:rPr>
          <w:rFonts w:eastAsia="Arial Unicode MS"/>
          <w:noProof/>
        </w:rPr>
      </w:pPr>
      <w:r w:rsidRPr="004F6DAA">
        <w:rPr>
          <w:noProof/>
        </w:rPr>
        <w:t>Ust. 4</w:t>
      </w:r>
      <w:r w:rsidR="00062BFA" w:rsidRPr="004F6DAA">
        <w:rPr>
          <w:noProof/>
        </w:rPr>
        <w:t xml:space="preserve"> i</w:t>
      </w:r>
      <w:r w:rsidR="00062BFA">
        <w:rPr>
          <w:noProof/>
        </w:rPr>
        <w:t> </w:t>
      </w:r>
      <w:r w:rsidR="00062BFA" w:rsidRPr="004F6DAA">
        <w:rPr>
          <w:noProof/>
        </w:rPr>
        <w:t>5</w:t>
      </w:r>
      <w:r w:rsidRPr="004F6DAA">
        <w:rPr>
          <w:noProof/>
        </w:rPr>
        <w:t xml:space="preserve"> dotyczą dostępu do systemu informacyjnego. Podmioty</w:t>
      </w:r>
      <w:r w:rsidR="00062BFA" w:rsidRPr="004F6DAA">
        <w:rPr>
          <w:noProof/>
        </w:rPr>
        <w:t xml:space="preserve"> i</w:t>
      </w:r>
      <w:r w:rsidR="00062BFA">
        <w:rPr>
          <w:noProof/>
        </w:rPr>
        <w:t> </w:t>
      </w:r>
      <w:r w:rsidR="00062BFA" w:rsidRPr="004F6DAA">
        <w:rPr>
          <w:noProof/>
        </w:rPr>
        <w:t>pod</w:t>
      </w:r>
      <w:r w:rsidRPr="004F6DAA">
        <w:rPr>
          <w:noProof/>
        </w:rPr>
        <w:t>mioty handlowe oraz właściwe organy będą miały dostęp do centralnej bazy danych służącej wdrażaniu rozporządzenia, którego szczegóły będą uzależnione od ich obowiązków. Ogół społeczeństwa również otrzyma dostęp do danych</w:t>
      </w:r>
      <w:r w:rsidR="00062BFA" w:rsidRPr="004F6DAA">
        <w:rPr>
          <w:noProof/>
        </w:rPr>
        <w:t xml:space="preserve"> w</w:t>
      </w:r>
      <w:r w:rsidR="00062BFA">
        <w:rPr>
          <w:noProof/>
        </w:rPr>
        <w:t> </w:t>
      </w:r>
      <w:r w:rsidR="00062BFA" w:rsidRPr="004F6DAA">
        <w:rPr>
          <w:noProof/>
        </w:rPr>
        <w:t>zan</w:t>
      </w:r>
      <w:r w:rsidRPr="004F6DAA">
        <w:rPr>
          <w:noProof/>
        </w:rPr>
        <w:t>onimizowanej formie.</w:t>
      </w:r>
    </w:p>
    <w:p w14:paraId="3E52177F" w14:textId="77777777" w:rsidR="00DE3BCD" w:rsidRPr="004F6DAA" w:rsidRDefault="00DE3BCD" w:rsidP="00DE3BCD">
      <w:pPr>
        <w:pStyle w:val="Bullet1"/>
        <w:rPr>
          <w:i/>
          <w:noProof/>
        </w:rPr>
      </w:pPr>
      <w:r w:rsidRPr="004F6DAA">
        <w:rPr>
          <w:i/>
          <w:noProof/>
        </w:rPr>
        <w:t xml:space="preserve">Artykuł 32: Przegląd </w:t>
      </w:r>
    </w:p>
    <w:p w14:paraId="6E5C260C" w14:textId="77777777" w:rsidR="00DE3BCD" w:rsidRPr="00062BFA" w:rsidRDefault="00DE3BCD" w:rsidP="00DE3BCD">
      <w:pPr>
        <w:pBdr>
          <w:top w:val="nil"/>
          <w:left w:val="nil"/>
          <w:bottom w:val="nil"/>
          <w:right w:val="nil"/>
          <w:between w:val="nil"/>
          <w:bar w:val="nil"/>
        </w:pBdr>
        <w:spacing w:before="0"/>
        <w:rPr>
          <w:noProof/>
        </w:rPr>
      </w:pPr>
      <w:r w:rsidRPr="004F6DAA">
        <w:rPr>
          <w:noProof/>
        </w:rPr>
        <w:t xml:space="preserve">W </w:t>
      </w:r>
      <w:r w:rsidRPr="00062BFA">
        <w:rPr>
          <w:noProof/>
        </w:rPr>
        <w:t>art.</w:t>
      </w:r>
      <w:r w:rsidR="00062BFA" w:rsidRPr="00062BFA">
        <w:rPr>
          <w:noProof/>
        </w:rPr>
        <w:t> </w:t>
      </w:r>
      <w:r w:rsidRPr="00062BFA">
        <w:rPr>
          <w:noProof/>
        </w:rPr>
        <w:t>3</w:t>
      </w:r>
      <w:r w:rsidRPr="004F6DAA">
        <w:rPr>
          <w:noProof/>
        </w:rPr>
        <w:t>2 ustanowiono przepisy regulujące przegląd rozporządzenia</w:t>
      </w:r>
      <w:r w:rsidR="00062BFA" w:rsidRPr="004F6DAA">
        <w:rPr>
          <w:noProof/>
        </w:rPr>
        <w:t>. W</w:t>
      </w:r>
      <w:r w:rsidR="00062BFA">
        <w:rPr>
          <w:noProof/>
        </w:rPr>
        <w:t> </w:t>
      </w:r>
      <w:r w:rsidR="00062BFA" w:rsidRPr="00062BFA">
        <w:rPr>
          <w:noProof/>
        </w:rPr>
        <w:t>ust</w:t>
      </w:r>
      <w:r w:rsidRPr="00062BFA">
        <w:rPr>
          <w:noProof/>
        </w:rPr>
        <w:t>.</w:t>
      </w:r>
      <w:r w:rsidR="00062BFA" w:rsidRPr="00062BFA">
        <w:rPr>
          <w:noProof/>
        </w:rPr>
        <w:t> </w:t>
      </w:r>
      <w:r w:rsidRPr="00062BFA">
        <w:rPr>
          <w:noProof/>
        </w:rPr>
        <w:t>1</w:t>
      </w:r>
      <w:r w:rsidRPr="004F6DAA">
        <w:rPr>
          <w:noProof/>
        </w:rPr>
        <w:t xml:space="preserve"> przewidziano, że pierwszy proces przeglądu odbędzie się nie później niż dwa lata od dnia wejścia</w:t>
      </w:r>
      <w:r w:rsidR="00062BFA" w:rsidRPr="004F6DAA">
        <w:rPr>
          <w:noProof/>
        </w:rPr>
        <w:t xml:space="preserve"> w</w:t>
      </w:r>
      <w:r w:rsidR="00062BFA">
        <w:rPr>
          <w:noProof/>
        </w:rPr>
        <w:t> </w:t>
      </w:r>
      <w:r w:rsidR="00062BFA" w:rsidRPr="004F6DAA">
        <w:rPr>
          <w:noProof/>
        </w:rPr>
        <w:t>życ</w:t>
      </w:r>
      <w:r w:rsidRPr="004F6DAA">
        <w:rPr>
          <w:noProof/>
        </w:rPr>
        <w:t>ie i że</w:t>
      </w:r>
      <w:r w:rsidR="00062BFA" w:rsidRPr="004F6DAA">
        <w:rPr>
          <w:noProof/>
        </w:rPr>
        <w:t xml:space="preserve"> w</w:t>
      </w:r>
      <w:r w:rsidR="00062BFA">
        <w:rPr>
          <w:noProof/>
        </w:rPr>
        <w:t> </w:t>
      </w:r>
      <w:r w:rsidR="00062BFA" w:rsidRPr="004F6DAA">
        <w:rPr>
          <w:noProof/>
        </w:rPr>
        <w:t>jeg</w:t>
      </w:r>
      <w:r w:rsidRPr="004F6DAA">
        <w:rPr>
          <w:noProof/>
        </w:rPr>
        <w:t>o wyniku sporządzone zostaną sprawozdanie</w:t>
      </w:r>
      <w:r w:rsidR="00062BFA" w:rsidRPr="004F6DAA">
        <w:rPr>
          <w:noProof/>
        </w:rPr>
        <w:t xml:space="preserve"> i</w:t>
      </w:r>
      <w:r w:rsidR="00062BFA">
        <w:rPr>
          <w:noProof/>
        </w:rPr>
        <w:t> </w:t>
      </w:r>
      <w:r w:rsidR="00062BFA" w:rsidRPr="004F6DAA">
        <w:rPr>
          <w:noProof/>
        </w:rPr>
        <w:t>ewe</w:t>
      </w:r>
      <w:r w:rsidRPr="004F6DAA">
        <w:rPr>
          <w:noProof/>
        </w:rPr>
        <w:t>ntualne wnioski ustawodawcze mające na celu zmianę rozporządzenia. Pierwszy przegląd będzie koncentrować się na potrzebie</w:t>
      </w:r>
      <w:r w:rsidR="00062BFA" w:rsidRPr="004F6DAA">
        <w:rPr>
          <w:noProof/>
        </w:rPr>
        <w:t xml:space="preserve"> i</w:t>
      </w:r>
      <w:r w:rsidR="00062BFA">
        <w:rPr>
          <w:noProof/>
        </w:rPr>
        <w:t> </w:t>
      </w:r>
      <w:r w:rsidR="00062BFA" w:rsidRPr="004F6DAA">
        <w:rPr>
          <w:noProof/>
        </w:rPr>
        <w:t>wyk</w:t>
      </w:r>
      <w:r w:rsidRPr="004F6DAA">
        <w:rPr>
          <w:noProof/>
        </w:rPr>
        <w:t>onalności rozszerzenia zakresu rozporządzenia na inne ekosystemy nieobejmujące lasów oraz na inne towary</w:t>
      </w:r>
      <w:r w:rsidRPr="00062BFA">
        <w:rPr>
          <w:noProof/>
        </w:rPr>
        <w:t>.</w:t>
      </w:r>
      <w:r w:rsidR="00062BFA" w:rsidRPr="00062BFA">
        <w:rPr>
          <w:noProof/>
        </w:rPr>
        <w:t xml:space="preserve"> </w:t>
      </w:r>
    </w:p>
    <w:p w14:paraId="602C7C10" w14:textId="77777777" w:rsidR="00DE3BCD" w:rsidRPr="004F6DAA" w:rsidRDefault="00DE3BCD" w:rsidP="008E648C">
      <w:pPr>
        <w:pBdr>
          <w:top w:val="nil"/>
          <w:left w:val="nil"/>
          <w:bottom w:val="nil"/>
          <w:right w:val="nil"/>
          <w:between w:val="nil"/>
          <w:bar w:val="nil"/>
        </w:pBdr>
        <w:spacing w:before="0"/>
        <w:rPr>
          <w:noProof/>
        </w:rPr>
      </w:pPr>
      <w:r w:rsidRPr="004F6DAA">
        <w:rPr>
          <w:noProof/>
        </w:rPr>
        <w:t>Ogólny przegląd przewidziany</w:t>
      </w:r>
      <w:r w:rsidR="00062BFA" w:rsidRPr="004F6DAA">
        <w:rPr>
          <w:noProof/>
        </w:rPr>
        <w:t xml:space="preserve"> w</w:t>
      </w:r>
      <w:r w:rsidR="00062BFA">
        <w:rPr>
          <w:noProof/>
        </w:rPr>
        <w:t> </w:t>
      </w:r>
      <w:r w:rsidR="00062BFA" w:rsidRPr="00062BFA">
        <w:rPr>
          <w:noProof/>
        </w:rPr>
        <w:t>ust</w:t>
      </w:r>
      <w:r w:rsidRPr="00062BFA">
        <w:rPr>
          <w:noProof/>
        </w:rPr>
        <w:t>.</w:t>
      </w:r>
      <w:r w:rsidR="00062BFA" w:rsidRPr="00062BFA">
        <w:rPr>
          <w:noProof/>
        </w:rPr>
        <w:t> </w:t>
      </w:r>
      <w:r w:rsidRPr="00062BFA">
        <w:rPr>
          <w:noProof/>
        </w:rPr>
        <w:t>2</w:t>
      </w:r>
      <w:r w:rsidRPr="004F6DAA">
        <w:rPr>
          <w:noProof/>
        </w:rPr>
        <w:t xml:space="preserve"> zostanie przeprowadzony</w:t>
      </w:r>
      <w:r w:rsidR="00062BFA" w:rsidRPr="004F6DAA">
        <w:rPr>
          <w:noProof/>
        </w:rPr>
        <w:t xml:space="preserve"> w</w:t>
      </w:r>
      <w:r w:rsidR="00062BFA">
        <w:rPr>
          <w:noProof/>
        </w:rPr>
        <w:t> </w:t>
      </w:r>
      <w:r w:rsidR="00062BFA" w:rsidRPr="004F6DAA">
        <w:rPr>
          <w:noProof/>
        </w:rPr>
        <w:t>cią</w:t>
      </w:r>
      <w:r w:rsidRPr="004F6DAA">
        <w:rPr>
          <w:noProof/>
        </w:rPr>
        <w:t>gu pięciu lat od daty przewidzianej</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 xml:space="preserve">2 </w:t>
      </w:r>
      <w:r w:rsidRPr="00062BFA">
        <w:rPr>
          <w:noProof/>
        </w:rPr>
        <w:t>ust.</w:t>
      </w:r>
      <w:r w:rsidR="00062BFA" w:rsidRPr="00062BFA">
        <w:rPr>
          <w:noProof/>
        </w:rPr>
        <w:t> </w:t>
      </w:r>
      <w:r w:rsidRPr="00062BFA">
        <w:rPr>
          <w:noProof/>
        </w:rPr>
        <w:t>2</w:t>
      </w:r>
      <w:r w:rsidRPr="004F6DAA">
        <w:rPr>
          <w:noProof/>
        </w:rPr>
        <w:t xml:space="preserve">, </w:t>
      </w:r>
      <w:r w:rsidRPr="00062BFA">
        <w:rPr>
          <w:noProof/>
        </w:rPr>
        <w:t>tj.</w:t>
      </w:r>
      <w:r w:rsidR="00062BFA" w:rsidRPr="00062BFA">
        <w:rPr>
          <w:noProof/>
        </w:rPr>
        <w:t> </w:t>
      </w:r>
      <w:r w:rsidRPr="00062BFA">
        <w:rPr>
          <w:noProof/>
        </w:rPr>
        <w:t>1</w:t>
      </w:r>
      <w:r w:rsidRPr="004F6DAA">
        <w:rPr>
          <w:noProof/>
        </w:rPr>
        <w:t>2 miesięcy od dnia wejścia</w:t>
      </w:r>
      <w:r w:rsidR="00062BFA" w:rsidRPr="004F6DAA">
        <w:rPr>
          <w:noProof/>
        </w:rPr>
        <w:t xml:space="preserve"> w</w:t>
      </w:r>
      <w:r w:rsidR="00062BFA">
        <w:rPr>
          <w:noProof/>
        </w:rPr>
        <w:t> </w:t>
      </w:r>
      <w:r w:rsidR="00062BFA" w:rsidRPr="004F6DAA">
        <w:rPr>
          <w:noProof/>
        </w:rPr>
        <w:t>życ</w:t>
      </w:r>
      <w:r w:rsidRPr="004F6DAA">
        <w:rPr>
          <w:noProof/>
        </w:rPr>
        <w:t>ie. Przepis ten przewiduje również treść pierwszego ogólnego przeglądu, który będzie obejmował ocenę możliwości wprowadzenia dodatkowych ułatwień</w:t>
      </w:r>
      <w:r w:rsidR="00062BFA" w:rsidRPr="004F6DAA">
        <w:rPr>
          <w:noProof/>
        </w:rPr>
        <w:t xml:space="preserve"> w</w:t>
      </w:r>
      <w:r w:rsidR="00062BFA">
        <w:rPr>
          <w:noProof/>
        </w:rPr>
        <w:t> </w:t>
      </w:r>
      <w:r w:rsidR="00062BFA" w:rsidRPr="004F6DAA">
        <w:rPr>
          <w:noProof/>
        </w:rPr>
        <w:t>han</w:t>
      </w:r>
      <w:r w:rsidRPr="004F6DAA">
        <w:rPr>
          <w:noProof/>
        </w:rPr>
        <w:t>dlu oraz wpływu pierwszych lat stosowania niniejszego rozporządzenia na rolników.</w:t>
      </w:r>
    </w:p>
    <w:p w14:paraId="25A06C9F" w14:textId="77777777" w:rsidR="00DE3BCD" w:rsidRPr="004F6DAA" w:rsidRDefault="00DE3BCD" w:rsidP="00DE3BCD">
      <w:pPr>
        <w:pBdr>
          <w:top w:val="nil"/>
          <w:left w:val="nil"/>
          <w:bottom w:val="nil"/>
          <w:right w:val="nil"/>
          <w:between w:val="nil"/>
          <w:bar w:val="nil"/>
        </w:pBdr>
        <w:spacing w:before="0"/>
        <w:rPr>
          <w:noProof/>
        </w:rPr>
      </w:pPr>
      <w:r w:rsidRPr="004F6DAA">
        <w:rPr>
          <w:noProof/>
        </w:rPr>
        <w:t xml:space="preserve">Ponadto </w:t>
      </w:r>
      <w:r w:rsidRPr="00062BFA">
        <w:rPr>
          <w:noProof/>
        </w:rPr>
        <w:t>ust.</w:t>
      </w:r>
      <w:r w:rsidR="00062BFA" w:rsidRPr="00062BFA">
        <w:rPr>
          <w:noProof/>
        </w:rPr>
        <w:t> </w:t>
      </w:r>
      <w:r w:rsidRPr="00062BFA">
        <w:rPr>
          <w:noProof/>
        </w:rPr>
        <w:t>3</w:t>
      </w:r>
      <w:r w:rsidRPr="004F6DAA">
        <w:rPr>
          <w:noProof/>
        </w:rPr>
        <w:t xml:space="preserve"> koncentruje się na przeglądzie odnośnych produktów wymienionych</w:t>
      </w:r>
      <w:r w:rsidR="00062BFA" w:rsidRPr="004F6DAA">
        <w:rPr>
          <w:noProof/>
        </w:rPr>
        <w:t xml:space="preserve"> w</w:t>
      </w:r>
      <w:r w:rsidR="00062BFA">
        <w:rPr>
          <w:noProof/>
        </w:rPr>
        <w:t> </w:t>
      </w:r>
      <w:r w:rsidR="00062BFA" w:rsidRPr="004F6DAA">
        <w:rPr>
          <w:noProof/>
        </w:rPr>
        <w:t>zał</w:t>
      </w:r>
      <w:r w:rsidRPr="004F6DAA">
        <w:rPr>
          <w:noProof/>
        </w:rPr>
        <w:t>ączniku 1. Przegląd ten zostanie przeprowadzony</w:t>
      </w:r>
      <w:r w:rsidR="00062BFA" w:rsidRPr="004F6DAA">
        <w:rPr>
          <w:noProof/>
        </w:rPr>
        <w:t xml:space="preserve"> w</w:t>
      </w:r>
      <w:r w:rsidR="00062BFA">
        <w:rPr>
          <w:noProof/>
        </w:rPr>
        <w:t> </w:t>
      </w:r>
      <w:r w:rsidR="00062BFA" w:rsidRPr="004F6DAA">
        <w:rPr>
          <w:noProof/>
        </w:rPr>
        <w:t>cią</w:t>
      </w:r>
      <w:r w:rsidRPr="004F6DAA">
        <w:rPr>
          <w:noProof/>
        </w:rPr>
        <w:t>gu dwóch lat od dnia wejścia</w:t>
      </w:r>
      <w:r w:rsidR="00062BFA" w:rsidRPr="004F6DAA">
        <w:rPr>
          <w:noProof/>
        </w:rPr>
        <w:t xml:space="preserve"> w</w:t>
      </w:r>
      <w:r w:rsidR="00062BFA">
        <w:rPr>
          <w:noProof/>
        </w:rPr>
        <w:t> </w:t>
      </w:r>
      <w:r w:rsidR="00062BFA" w:rsidRPr="004F6DAA">
        <w:rPr>
          <w:noProof/>
        </w:rPr>
        <w:t>życ</w:t>
      </w:r>
      <w:r w:rsidRPr="004F6DAA">
        <w:rPr>
          <w:noProof/>
        </w:rPr>
        <w:t>ie rozporządzenia,</w:t>
      </w:r>
      <w:r w:rsidR="00062BFA" w:rsidRPr="004F6DAA">
        <w:rPr>
          <w:noProof/>
        </w:rPr>
        <w:t xml:space="preserve"> a</w:t>
      </w:r>
      <w:r w:rsidR="00062BFA">
        <w:rPr>
          <w:noProof/>
        </w:rPr>
        <w:t> </w:t>
      </w:r>
      <w:r w:rsidR="00062BFA" w:rsidRPr="004F6DAA">
        <w:rPr>
          <w:noProof/>
        </w:rPr>
        <w:t>nas</w:t>
      </w:r>
      <w:r w:rsidRPr="004F6DAA">
        <w:rPr>
          <w:noProof/>
        </w:rPr>
        <w:t>tępnie będzie przeprowadzany</w:t>
      </w:r>
      <w:r w:rsidR="00062BFA" w:rsidRPr="004F6DAA">
        <w:rPr>
          <w:noProof/>
        </w:rPr>
        <w:t xml:space="preserve"> w</w:t>
      </w:r>
      <w:r w:rsidR="00062BFA">
        <w:rPr>
          <w:noProof/>
        </w:rPr>
        <w:t> </w:t>
      </w:r>
      <w:r w:rsidR="00062BFA" w:rsidRPr="004F6DAA">
        <w:rPr>
          <w:noProof/>
        </w:rPr>
        <w:t>reg</w:t>
      </w:r>
      <w:r w:rsidRPr="004F6DAA">
        <w:rPr>
          <w:noProof/>
        </w:rPr>
        <w:t>ularnych odstępach czasu, co pozwoli na stopniowe rozszerzanie zakresu produktów. Zmiana wykazu produktów</w:t>
      </w:r>
      <w:r w:rsidR="00062BFA" w:rsidRPr="004F6DAA">
        <w:rPr>
          <w:noProof/>
        </w:rPr>
        <w:t xml:space="preserve"> w</w:t>
      </w:r>
      <w:r w:rsidR="00062BFA">
        <w:rPr>
          <w:noProof/>
        </w:rPr>
        <w:t> </w:t>
      </w:r>
      <w:r w:rsidR="00062BFA" w:rsidRPr="004F6DAA">
        <w:rPr>
          <w:noProof/>
        </w:rPr>
        <w:t>zał</w:t>
      </w:r>
      <w:r w:rsidRPr="004F6DAA">
        <w:rPr>
          <w:noProof/>
        </w:rPr>
        <w:t>ączniku 1 zostanie dokonana</w:t>
      </w:r>
      <w:r w:rsidR="00062BFA" w:rsidRPr="004F6DAA">
        <w:rPr>
          <w:noProof/>
        </w:rPr>
        <w:t xml:space="preserve"> w</w:t>
      </w:r>
      <w:r w:rsidR="00062BFA">
        <w:rPr>
          <w:noProof/>
        </w:rPr>
        <w:t> </w:t>
      </w:r>
      <w:r w:rsidR="00062BFA" w:rsidRPr="004F6DAA">
        <w:rPr>
          <w:noProof/>
        </w:rPr>
        <w:t>dro</w:t>
      </w:r>
      <w:r w:rsidRPr="004F6DAA">
        <w:rPr>
          <w:noProof/>
        </w:rPr>
        <w:t>dze aktu delegowanego (</w:t>
      </w:r>
      <w:r w:rsidRPr="00062BFA">
        <w:rPr>
          <w:noProof/>
        </w:rPr>
        <w:t>ust.</w:t>
      </w:r>
      <w:r w:rsidR="00062BFA" w:rsidRPr="00062BFA">
        <w:rPr>
          <w:noProof/>
        </w:rPr>
        <w:t> </w:t>
      </w:r>
      <w:r w:rsidRPr="00062BFA">
        <w:rPr>
          <w:noProof/>
        </w:rPr>
        <w:t>4</w:t>
      </w:r>
      <w:r w:rsidRPr="004F6DAA">
        <w:rPr>
          <w:noProof/>
        </w:rPr>
        <w:t xml:space="preserve">). </w:t>
      </w:r>
    </w:p>
    <w:p w14:paraId="1673DE70" w14:textId="77777777" w:rsidR="00DE3BCD" w:rsidRPr="004F6DAA" w:rsidRDefault="00DE3BCD" w:rsidP="00DE3BCD">
      <w:pPr>
        <w:pStyle w:val="Bullet1"/>
        <w:rPr>
          <w:i/>
          <w:noProof/>
        </w:rPr>
      </w:pPr>
      <w:r w:rsidRPr="004F6DAA">
        <w:rPr>
          <w:i/>
          <w:noProof/>
        </w:rPr>
        <w:t>Artykuł 36: Wejście</w:t>
      </w:r>
      <w:r w:rsidR="00062BFA" w:rsidRPr="004F6DAA">
        <w:rPr>
          <w:i/>
          <w:noProof/>
        </w:rPr>
        <w:t xml:space="preserve"> w</w:t>
      </w:r>
      <w:r w:rsidR="00062BFA">
        <w:rPr>
          <w:i/>
          <w:noProof/>
        </w:rPr>
        <w:t> </w:t>
      </w:r>
      <w:r w:rsidR="00062BFA" w:rsidRPr="004F6DAA">
        <w:rPr>
          <w:i/>
          <w:noProof/>
        </w:rPr>
        <w:t>życ</w:t>
      </w:r>
      <w:r w:rsidRPr="004F6DAA">
        <w:rPr>
          <w:i/>
          <w:noProof/>
        </w:rPr>
        <w:t>ie</w:t>
      </w:r>
      <w:r w:rsidR="00062BFA" w:rsidRPr="004F6DAA">
        <w:rPr>
          <w:i/>
          <w:noProof/>
        </w:rPr>
        <w:t xml:space="preserve"> i</w:t>
      </w:r>
      <w:r w:rsidR="00062BFA">
        <w:rPr>
          <w:i/>
          <w:noProof/>
        </w:rPr>
        <w:t> </w:t>
      </w:r>
      <w:r w:rsidR="00062BFA" w:rsidRPr="004F6DAA">
        <w:rPr>
          <w:i/>
          <w:noProof/>
        </w:rPr>
        <w:t>dat</w:t>
      </w:r>
      <w:r w:rsidRPr="004F6DAA">
        <w:rPr>
          <w:i/>
          <w:noProof/>
        </w:rPr>
        <w:t>a rozpoczęcia stosowania</w:t>
      </w:r>
    </w:p>
    <w:p w14:paraId="76293DE2" w14:textId="77777777" w:rsidR="00DE3BCD" w:rsidRPr="004F6DAA" w:rsidRDefault="00DE3BCD" w:rsidP="00915664">
      <w:pPr>
        <w:rPr>
          <w:noProof/>
        </w:rPr>
      </w:pPr>
      <w:r w:rsidRPr="004F6DAA">
        <w:rPr>
          <w:noProof/>
        </w:rPr>
        <w:t>Niniejsze rozporządzenie stosuje się od dnia jego wejścia</w:t>
      </w:r>
      <w:r w:rsidR="00062BFA" w:rsidRPr="004F6DAA">
        <w:rPr>
          <w:noProof/>
        </w:rPr>
        <w:t xml:space="preserve"> w</w:t>
      </w:r>
      <w:r w:rsidR="00062BFA">
        <w:rPr>
          <w:noProof/>
        </w:rPr>
        <w:t> </w:t>
      </w:r>
      <w:r w:rsidR="00062BFA" w:rsidRPr="004F6DAA">
        <w:rPr>
          <w:noProof/>
        </w:rPr>
        <w:t>życ</w:t>
      </w:r>
      <w:r w:rsidRPr="004F6DAA">
        <w:rPr>
          <w:noProof/>
        </w:rPr>
        <w:t>ie</w:t>
      </w:r>
      <w:r w:rsidR="00062BFA" w:rsidRPr="004F6DAA">
        <w:rPr>
          <w:noProof/>
        </w:rPr>
        <w:t>. W</w:t>
      </w:r>
      <w:r w:rsidR="00062BFA">
        <w:rPr>
          <w:noProof/>
        </w:rPr>
        <w:t> </w:t>
      </w:r>
      <w:r w:rsidR="00062BFA" w:rsidRPr="00062BFA">
        <w:rPr>
          <w:noProof/>
        </w:rPr>
        <w:t>ust</w:t>
      </w:r>
      <w:r w:rsidRPr="00062BFA">
        <w:rPr>
          <w:noProof/>
        </w:rPr>
        <w:t>.</w:t>
      </w:r>
      <w:r w:rsidR="00062BFA" w:rsidRPr="00062BFA">
        <w:rPr>
          <w:noProof/>
        </w:rPr>
        <w:t> </w:t>
      </w:r>
      <w:r w:rsidRPr="00062BFA">
        <w:rPr>
          <w:noProof/>
        </w:rPr>
        <w:t>2</w:t>
      </w:r>
      <w:r w:rsidRPr="004F6DAA">
        <w:rPr>
          <w:noProof/>
        </w:rPr>
        <w:t xml:space="preserve"> określono jednak, że </w:t>
      </w:r>
      <w:r w:rsidRPr="00062BFA">
        <w:rPr>
          <w:noProof/>
        </w:rPr>
        <w:t>art.</w:t>
      </w:r>
      <w:r w:rsidR="00062BFA" w:rsidRPr="00062BFA">
        <w:rPr>
          <w:noProof/>
        </w:rPr>
        <w:t> </w:t>
      </w:r>
      <w:r w:rsidRPr="00062BFA">
        <w:rPr>
          <w:noProof/>
        </w:rPr>
        <w:t>3</w:t>
      </w:r>
      <w:r w:rsidRPr="004F6DAA">
        <w:rPr>
          <w:noProof/>
        </w:rPr>
        <w:t>–12, 14–22, 24, 29</w:t>
      </w:r>
      <w:r w:rsidR="00062BFA" w:rsidRPr="004F6DAA">
        <w:rPr>
          <w:noProof/>
        </w:rPr>
        <w:t xml:space="preserve"> i</w:t>
      </w:r>
      <w:r w:rsidR="00062BFA">
        <w:rPr>
          <w:noProof/>
        </w:rPr>
        <w:t> </w:t>
      </w:r>
      <w:r w:rsidR="00062BFA" w:rsidRPr="004F6DAA">
        <w:rPr>
          <w:noProof/>
        </w:rPr>
        <w:t>3</w:t>
      </w:r>
      <w:r w:rsidRPr="004F6DAA">
        <w:rPr>
          <w:noProof/>
        </w:rPr>
        <w:t>0 stosuje się po upływie 12 miesięcy od wejścia</w:t>
      </w:r>
      <w:r w:rsidR="00062BFA" w:rsidRPr="004F6DAA">
        <w:rPr>
          <w:noProof/>
        </w:rPr>
        <w:t xml:space="preserve"> w</w:t>
      </w:r>
      <w:r w:rsidR="00062BFA">
        <w:rPr>
          <w:noProof/>
        </w:rPr>
        <w:t> </w:t>
      </w:r>
      <w:r w:rsidR="00062BFA" w:rsidRPr="004F6DAA">
        <w:rPr>
          <w:noProof/>
        </w:rPr>
        <w:t>życ</w:t>
      </w:r>
      <w:r w:rsidRPr="004F6DAA">
        <w:rPr>
          <w:noProof/>
        </w:rPr>
        <w:t>ie niniejszego rozporządzenia</w:t>
      </w:r>
      <w:r w:rsidR="00062BFA" w:rsidRPr="004F6DAA">
        <w:rPr>
          <w:noProof/>
        </w:rPr>
        <w:t>. W</w:t>
      </w:r>
      <w:r w:rsidR="00062BFA">
        <w:rPr>
          <w:noProof/>
        </w:rPr>
        <w:t> </w:t>
      </w:r>
      <w:r w:rsidR="00062BFA" w:rsidRPr="00062BFA">
        <w:rPr>
          <w:noProof/>
        </w:rPr>
        <w:t>ust</w:t>
      </w:r>
      <w:r w:rsidRPr="00062BFA">
        <w:rPr>
          <w:noProof/>
        </w:rPr>
        <w:t>.</w:t>
      </w:r>
      <w:r w:rsidR="00062BFA" w:rsidRPr="00062BFA">
        <w:rPr>
          <w:noProof/>
        </w:rPr>
        <w:t> </w:t>
      </w:r>
      <w:r w:rsidRPr="00062BFA">
        <w:rPr>
          <w:noProof/>
        </w:rPr>
        <w:t>3</w:t>
      </w:r>
      <w:r w:rsidRPr="004F6DAA">
        <w:rPr>
          <w:noProof/>
        </w:rPr>
        <w:t xml:space="preserve"> określono zaś, że artykuły te stosuje się po upływie 24 miesięcy od wejścia</w:t>
      </w:r>
      <w:r w:rsidR="00062BFA" w:rsidRPr="004F6DAA">
        <w:rPr>
          <w:noProof/>
        </w:rPr>
        <w:t xml:space="preserve"> w</w:t>
      </w:r>
      <w:r w:rsidR="00062BFA">
        <w:rPr>
          <w:noProof/>
        </w:rPr>
        <w:t> </w:t>
      </w:r>
      <w:r w:rsidR="00062BFA" w:rsidRPr="004F6DAA">
        <w:rPr>
          <w:noProof/>
        </w:rPr>
        <w:t>życ</w:t>
      </w:r>
      <w:r w:rsidRPr="004F6DAA">
        <w:rPr>
          <w:noProof/>
        </w:rPr>
        <w:t>ie niniejszego rozporządzenia</w:t>
      </w:r>
      <w:r w:rsidR="00062BFA" w:rsidRPr="004F6DAA">
        <w:rPr>
          <w:noProof/>
        </w:rPr>
        <w:t xml:space="preserve"> w</w:t>
      </w:r>
      <w:r w:rsidR="00062BFA">
        <w:rPr>
          <w:noProof/>
        </w:rPr>
        <w:t> </w:t>
      </w:r>
      <w:r w:rsidR="00062BFA" w:rsidRPr="004F6DAA">
        <w:rPr>
          <w:noProof/>
        </w:rPr>
        <w:t>odn</w:t>
      </w:r>
      <w:r w:rsidRPr="004F6DAA">
        <w:rPr>
          <w:noProof/>
        </w:rPr>
        <w:t>iesieniu do podmiotów, które są mikroprzedsiębiorstwami utworzonymi do dnia 31 grudnia 20</w:t>
      </w:r>
      <w:r w:rsidRPr="00062BFA">
        <w:rPr>
          <w:noProof/>
        </w:rPr>
        <w:t>20</w:t>
      </w:r>
      <w:r w:rsidR="00062BFA" w:rsidRPr="00062BFA">
        <w:rPr>
          <w:noProof/>
        </w:rPr>
        <w:t> </w:t>
      </w:r>
      <w:r w:rsidRPr="00062BFA">
        <w:rPr>
          <w:noProof/>
        </w:rPr>
        <w:t>r.</w:t>
      </w:r>
      <w:r w:rsidRPr="004F6DAA">
        <w:rPr>
          <w:noProof/>
        </w:rPr>
        <w:t>,</w:t>
      </w:r>
      <w:r w:rsidR="00062BFA" w:rsidRPr="004F6DAA">
        <w:rPr>
          <w:noProof/>
        </w:rPr>
        <w:t xml:space="preserve"> z</w:t>
      </w:r>
      <w:r w:rsidR="00062BFA">
        <w:rPr>
          <w:noProof/>
        </w:rPr>
        <w:t> </w:t>
      </w:r>
      <w:r w:rsidR="00062BFA" w:rsidRPr="004F6DAA">
        <w:rPr>
          <w:noProof/>
        </w:rPr>
        <w:t>wyj</w:t>
      </w:r>
      <w:r w:rsidRPr="004F6DAA">
        <w:rPr>
          <w:noProof/>
        </w:rPr>
        <w:t>ątkiem produktów zamieszczonych</w:t>
      </w:r>
      <w:r w:rsidR="00062BFA" w:rsidRPr="004F6DAA">
        <w:rPr>
          <w:noProof/>
        </w:rPr>
        <w:t xml:space="preserve"> w</w:t>
      </w:r>
      <w:r w:rsidR="00062BFA">
        <w:rPr>
          <w:noProof/>
        </w:rPr>
        <w:t> </w:t>
      </w:r>
      <w:r w:rsidR="00062BFA" w:rsidRPr="004F6DAA">
        <w:rPr>
          <w:noProof/>
        </w:rPr>
        <w:t>zał</w:t>
      </w:r>
      <w:r w:rsidRPr="004F6DAA">
        <w:rPr>
          <w:noProof/>
        </w:rPr>
        <w:t xml:space="preserve">ączniku do rozporządzenia (UE) </w:t>
      </w:r>
      <w:r w:rsidRPr="00062BFA">
        <w:rPr>
          <w:noProof/>
        </w:rPr>
        <w:t>nr</w:t>
      </w:r>
      <w:r w:rsidR="00062BFA" w:rsidRPr="00062BFA">
        <w:rPr>
          <w:noProof/>
        </w:rPr>
        <w:t> </w:t>
      </w:r>
      <w:r w:rsidRPr="00062BFA">
        <w:rPr>
          <w:noProof/>
        </w:rPr>
        <w:t>9</w:t>
      </w:r>
      <w:r w:rsidRPr="004F6DAA">
        <w:rPr>
          <w:noProof/>
        </w:rPr>
        <w:t>95/2010 (rozporządzenie</w:t>
      </w:r>
      <w:r w:rsidR="00062BFA" w:rsidRPr="004F6DAA">
        <w:rPr>
          <w:noProof/>
        </w:rPr>
        <w:t xml:space="preserve"> w</w:t>
      </w:r>
      <w:r w:rsidR="00062BFA">
        <w:rPr>
          <w:noProof/>
        </w:rPr>
        <w:t> </w:t>
      </w:r>
      <w:r w:rsidR="00062BFA" w:rsidRPr="004F6DAA">
        <w:rPr>
          <w:noProof/>
        </w:rPr>
        <w:t>spr</w:t>
      </w:r>
      <w:r w:rsidRPr="004F6DAA">
        <w:rPr>
          <w:noProof/>
        </w:rPr>
        <w:t>awie drewna).</w:t>
      </w:r>
    </w:p>
    <w:p w14:paraId="27380715" w14:textId="77777777" w:rsidR="00DE3BCD" w:rsidRPr="004F6DAA" w:rsidRDefault="00DE3BCD" w:rsidP="00DE3BCD">
      <w:pPr>
        <w:pBdr>
          <w:top w:val="nil"/>
          <w:left w:val="nil"/>
          <w:bottom w:val="nil"/>
          <w:right w:val="nil"/>
          <w:between w:val="nil"/>
          <w:bar w:val="nil"/>
        </w:pBdr>
        <w:spacing w:before="0"/>
        <w:rPr>
          <w:rFonts w:eastAsia="Arial Unicode MS"/>
          <w:noProof/>
        </w:rPr>
      </w:pPr>
      <w:r w:rsidRPr="004F6DAA">
        <w:rPr>
          <w:noProof/>
        </w:rPr>
        <w:t>Powyższe odroczenia terminu rozpoczęcia stosowania tworzą okres przejściowy,</w:t>
      </w:r>
      <w:r w:rsidR="00062BFA" w:rsidRPr="004F6DAA">
        <w:rPr>
          <w:noProof/>
        </w:rPr>
        <w:t xml:space="preserve"> w</w:t>
      </w:r>
      <w:r w:rsidR="00062BFA">
        <w:rPr>
          <w:noProof/>
        </w:rPr>
        <w:t> </w:t>
      </w:r>
      <w:r w:rsidR="00062BFA" w:rsidRPr="004F6DAA">
        <w:rPr>
          <w:noProof/>
        </w:rPr>
        <w:t>któ</w:t>
      </w:r>
      <w:r w:rsidRPr="004F6DAA">
        <w:rPr>
          <w:noProof/>
        </w:rPr>
        <w:t>rym nie mają zastosowania zobowiązania podmiotów</w:t>
      </w:r>
      <w:r w:rsidR="00062BFA" w:rsidRPr="004F6DAA">
        <w:rPr>
          <w:noProof/>
        </w:rPr>
        <w:t xml:space="preserve"> i</w:t>
      </w:r>
      <w:r w:rsidR="00062BFA">
        <w:rPr>
          <w:noProof/>
        </w:rPr>
        <w:t> </w:t>
      </w:r>
      <w:r w:rsidR="00062BFA" w:rsidRPr="004F6DAA">
        <w:rPr>
          <w:noProof/>
        </w:rPr>
        <w:t>pod</w:t>
      </w:r>
      <w:r w:rsidRPr="004F6DAA">
        <w:rPr>
          <w:noProof/>
        </w:rPr>
        <w:t>miotów handlowych, jak również zobowiązania właściwych organów do przeprowadzania kontroli. Taki okres przejściowy, który jest dłuższy dla mikroprzedsiębiorstw,</w:t>
      </w:r>
      <w:r w:rsidRPr="004F6DAA">
        <w:rPr>
          <w:i/>
          <w:noProof/>
        </w:rPr>
        <w:t xml:space="preserve"> </w:t>
      </w:r>
      <w:r w:rsidRPr="004F6DAA">
        <w:rPr>
          <w:noProof/>
        </w:rPr>
        <w:t>da podmiotom</w:t>
      </w:r>
      <w:r w:rsidR="00062BFA" w:rsidRPr="004F6DAA">
        <w:rPr>
          <w:noProof/>
        </w:rPr>
        <w:t xml:space="preserve"> i</w:t>
      </w:r>
      <w:r w:rsidR="00062BFA">
        <w:rPr>
          <w:noProof/>
        </w:rPr>
        <w:t> </w:t>
      </w:r>
      <w:r w:rsidR="00062BFA" w:rsidRPr="004F6DAA">
        <w:rPr>
          <w:noProof/>
        </w:rPr>
        <w:t>pod</w:t>
      </w:r>
      <w:r w:rsidRPr="004F6DAA">
        <w:rPr>
          <w:noProof/>
        </w:rPr>
        <w:t>miotom handlowym odpowiedni czas na dostosowanie się do ich obowiązków wynikających</w:t>
      </w:r>
      <w:r w:rsidR="00062BFA" w:rsidRPr="004F6DAA">
        <w:rPr>
          <w:noProof/>
        </w:rPr>
        <w:t xml:space="preserve"> z</w:t>
      </w:r>
      <w:r w:rsidR="00062BFA">
        <w:rPr>
          <w:noProof/>
        </w:rPr>
        <w:t> </w:t>
      </w:r>
      <w:r w:rsidR="00062BFA" w:rsidRPr="004F6DAA">
        <w:rPr>
          <w:noProof/>
        </w:rPr>
        <w:t>roz</w:t>
      </w:r>
      <w:r w:rsidRPr="004F6DAA">
        <w:rPr>
          <w:noProof/>
        </w:rPr>
        <w:t>porządzenia.</w:t>
      </w:r>
    </w:p>
    <w:p w14:paraId="2B746D66" w14:textId="77777777" w:rsidR="001C3FCC" w:rsidRPr="004F6DAA" w:rsidRDefault="001C3FCC" w:rsidP="009A3168">
      <w:pPr>
        <w:rPr>
          <w:noProof/>
        </w:rPr>
        <w:sectPr w:rsidR="001C3FCC" w:rsidRPr="004F6DAA" w:rsidSect="00007A34">
          <w:footerReference w:type="default" r:id="rId17"/>
          <w:footerReference w:type="first" r:id="rId18"/>
          <w:pgSz w:w="11907" w:h="16839"/>
          <w:pgMar w:top="1134" w:right="1417" w:bottom="1134" w:left="1417" w:header="709" w:footer="709" w:gutter="0"/>
          <w:cols w:space="708"/>
          <w:docGrid w:linePitch="360"/>
        </w:sectPr>
      </w:pPr>
    </w:p>
    <w:p w14:paraId="2C95A172" w14:textId="77777777" w:rsidR="00FA7653" w:rsidRPr="004F6DAA" w:rsidRDefault="00951CD9" w:rsidP="00951CD9">
      <w:pPr>
        <w:pStyle w:val="Rfrenceinterinstitutionnelle"/>
        <w:rPr>
          <w:noProof/>
        </w:rPr>
      </w:pPr>
      <w:r w:rsidRPr="00951CD9">
        <w:t>2021/0366 (COD)</w:t>
      </w:r>
    </w:p>
    <w:p w14:paraId="035F5F85" w14:textId="77777777" w:rsidR="001C3FCC" w:rsidRPr="004F6DAA" w:rsidRDefault="00062BFA" w:rsidP="00062BFA">
      <w:pPr>
        <w:pStyle w:val="Statut"/>
        <w:rPr>
          <w:noProof/>
        </w:rPr>
      </w:pPr>
      <w:r w:rsidRPr="00062BFA">
        <w:rPr>
          <w:noProof/>
        </w:rPr>
        <w:t>Wniosek</w:t>
      </w:r>
    </w:p>
    <w:p w14:paraId="7CE02144" w14:textId="77777777" w:rsidR="001C3FCC" w:rsidRPr="004F6DAA" w:rsidRDefault="00062BFA" w:rsidP="00062BFA">
      <w:pPr>
        <w:pStyle w:val="Typedudocument"/>
        <w:rPr>
          <w:noProof/>
        </w:rPr>
      </w:pPr>
      <w:r w:rsidRPr="00062BFA">
        <w:rPr>
          <w:noProof/>
        </w:rPr>
        <w:t>ROZPORZĄDZENIE PARLAMENTU EUROPEJSKIEGO I RADY</w:t>
      </w:r>
    </w:p>
    <w:p w14:paraId="3D69377F" w14:textId="77777777" w:rsidR="009A3168" w:rsidRPr="004F6DAA" w:rsidRDefault="00062BFA" w:rsidP="00062BFA">
      <w:pPr>
        <w:pStyle w:val="Titreobjet"/>
        <w:rPr>
          <w:noProof/>
        </w:rPr>
      </w:pPr>
      <w:r w:rsidRPr="00062BFA">
        <w:rPr>
          <w:noProof/>
        </w:rPr>
        <w:t>w sprawie udostępniania na rynku unijnym i wywozu z Unii niektórych towarów i produktów związanych z wylesianiem i degradacją lasów oraz uchylenia rozporządzenia (UE) nr 995/2010</w:t>
      </w:r>
    </w:p>
    <w:p w14:paraId="0882DE7A" w14:textId="77777777" w:rsidR="009A3168" w:rsidRPr="004F6DAA" w:rsidRDefault="00062BFA" w:rsidP="00062BFA">
      <w:pPr>
        <w:pStyle w:val="IntrtEEE"/>
        <w:rPr>
          <w:noProof/>
        </w:rPr>
      </w:pPr>
      <w:r w:rsidRPr="00062BFA">
        <w:rPr>
          <w:noProof/>
        </w:rPr>
        <w:t>(Tekst mający znaczenie dla EOG)</w:t>
      </w:r>
    </w:p>
    <w:p w14:paraId="1F9DB1E8" w14:textId="77777777" w:rsidR="001C3FCC" w:rsidRPr="004F6DAA" w:rsidRDefault="001C3FCC" w:rsidP="009A3168">
      <w:pPr>
        <w:pStyle w:val="Institutionquiagit"/>
        <w:rPr>
          <w:noProof/>
        </w:rPr>
      </w:pPr>
      <w:r w:rsidRPr="004F6DAA">
        <w:rPr>
          <w:noProof/>
        </w:rPr>
        <w:t>PARLAMENT EUROPEJSKI I RADA UNII EUROPEJSKIEJ,</w:t>
      </w:r>
    </w:p>
    <w:p w14:paraId="7FBEE4F9" w14:textId="77777777" w:rsidR="00702088" w:rsidRPr="004F6DAA" w:rsidRDefault="00702088" w:rsidP="00702088">
      <w:pPr>
        <w:rPr>
          <w:noProof/>
        </w:rPr>
      </w:pPr>
      <w:r w:rsidRPr="004F6DAA">
        <w:rPr>
          <w:noProof/>
        </w:rPr>
        <w:t>uwzględniając Traktat</w:t>
      </w:r>
      <w:r w:rsidR="00062BFA" w:rsidRPr="004F6DAA">
        <w:rPr>
          <w:noProof/>
        </w:rPr>
        <w:t xml:space="preserve"> o</w:t>
      </w:r>
      <w:r w:rsidR="00062BFA">
        <w:rPr>
          <w:noProof/>
        </w:rPr>
        <w:t> </w:t>
      </w:r>
      <w:r w:rsidR="00062BFA" w:rsidRPr="004F6DAA">
        <w:rPr>
          <w:noProof/>
        </w:rPr>
        <w:t>fun</w:t>
      </w:r>
      <w:r w:rsidRPr="004F6DAA">
        <w:rPr>
          <w:noProof/>
        </w:rPr>
        <w:t>kcjonowaniu Unii Europejskiej,</w:t>
      </w:r>
      <w:r w:rsidR="00062BFA" w:rsidRPr="004F6DAA">
        <w:rPr>
          <w:noProof/>
        </w:rPr>
        <w:t xml:space="preserve"> w</w:t>
      </w:r>
      <w:r w:rsidR="00062BFA">
        <w:rPr>
          <w:noProof/>
        </w:rPr>
        <w:t> </w:t>
      </w:r>
      <w:r w:rsidR="00062BFA" w:rsidRPr="004F6DAA">
        <w:rPr>
          <w:noProof/>
        </w:rPr>
        <w:t>szc</w:t>
      </w:r>
      <w:r w:rsidRPr="004F6DAA">
        <w:rPr>
          <w:noProof/>
        </w:rPr>
        <w:t xml:space="preserve">zególności jego </w:t>
      </w:r>
      <w:r w:rsidRPr="00062BFA">
        <w:rPr>
          <w:noProof/>
        </w:rPr>
        <w:t>art.</w:t>
      </w:r>
      <w:r w:rsidR="00062BFA" w:rsidRPr="00062BFA">
        <w:rPr>
          <w:noProof/>
        </w:rPr>
        <w:t> </w:t>
      </w:r>
      <w:r w:rsidRPr="00062BFA">
        <w:rPr>
          <w:noProof/>
        </w:rPr>
        <w:t>1</w:t>
      </w:r>
      <w:r w:rsidRPr="004F6DAA">
        <w:rPr>
          <w:noProof/>
        </w:rPr>
        <w:t>92,</w:t>
      </w:r>
    </w:p>
    <w:p w14:paraId="59632089" w14:textId="77777777" w:rsidR="00702088" w:rsidRPr="004F6DAA" w:rsidRDefault="00702088" w:rsidP="00702088">
      <w:pPr>
        <w:rPr>
          <w:noProof/>
        </w:rPr>
      </w:pPr>
      <w:r w:rsidRPr="004F6DAA">
        <w:rPr>
          <w:noProof/>
        </w:rPr>
        <w:t>uwzględniając wniosek Komisji Europejskiej,</w:t>
      </w:r>
    </w:p>
    <w:p w14:paraId="4AE4202E" w14:textId="77777777" w:rsidR="00702088" w:rsidRPr="004F6DAA" w:rsidRDefault="00702088" w:rsidP="00702088">
      <w:pPr>
        <w:rPr>
          <w:noProof/>
        </w:rPr>
      </w:pPr>
      <w:r w:rsidRPr="004F6DAA">
        <w:rPr>
          <w:noProof/>
        </w:rPr>
        <w:t>po przekazaniu projektu aktu ustawodawczego parlamentom narodowym,</w:t>
      </w:r>
    </w:p>
    <w:p w14:paraId="2CB35A95" w14:textId="77777777" w:rsidR="00702088" w:rsidRPr="004F6DAA" w:rsidRDefault="00702088" w:rsidP="00702088">
      <w:pPr>
        <w:rPr>
          <w:noProof/>
        </w:rPr>
      </w:pPr>
      <w:r w:rsidRPr="004F6DAA">
        <w:rPr>
          <w:noProof/>
        </w:rPr>
        <w:t>uwzględniając opinię Europejskiego Komitetu Ekonomiczno-Społecznego</w:t>
      </w:r>
      <w:r w:rsidRPr="004F6DAA">
        <w:rPr>
          <w:rStyle w:val="Odwoanieprzypisudolnego"/>
          <w:noProof/>
        </w:rPr>
        <w:footnoteReference w:id="16"/>
      </w:r>
      <w:r w:rsidRPr="004F6DAA">
        <w:rPr>
          <w:noProof/>
        </w:rPr>
        <w:t>,</w:t>
      </w:r>
    </w:p>
    <w:p w14:paraId="77A6BFBF" w14:textId="77777777" w:rsidR="00702088" w:rsidRPr="004F6DAA" w:rsidRDefault="00702088" w:rsidP="00702088">
      <w:pPr>
        <w:rPr>
          <w:noProof/>
        </w:rPr>
      </w:pPr>
      <w:r w:rsidRPr="004F6DAA">
        <w:rPr>
          <w:noProof/>
        </w:rPr>
        <w:t>uwzględniając opinię Komitetu Regionów</w:t>
      </w:r>
      <w:r w:rsidRPr="004F6DAA">
        <w:rPr>
          <w:rStyle w:val="Odwoanieprzypisudolnego"/>
          <w:noProof/>
        </w:rPr>
        <w:footnoteReference w:id="17"/>
      </w:r>
      <w:r w:rsidRPr="004F6DAA">
        <w:rPr>
          <w:noProof/>
        </w:rPr>
        <w:t>,</w:t>
      </w:r>
    </w:p>
    <w:p w14:paraId="5316F660" w14:textId="77777777" w:rsidR="00702088" w:rsidRPr="004F6DAA" w:rsidRDefault="00702088" w:rsidP="00702088">
      <w:pPr>
        <w:rPr>
          <w:noProof/>
        </w:rPr>
      </w:pPr>
      <w:r w:rsidRPr="004F6DAA">
        <w:rPr>
          <w:noProof/>
        </w:rPr>
        <w:t>stanowiąc zgodnie ze zwykłą procedurą ustawodawczą,</w:t>
      </w:r>
    </w:p>
    <w:p w14:paraId="32F6A19C" w14:textId="77777777" w:rsidR="00B56C8F" w:rsidRPr="004F6DAA" w:rsidRDefault="00B56C8F" w:rsidP="00B56C8F">
      <w:pPr>
        <w:rPr>
          <w:noProof/>
        </w:rPr>
      </w:pPr>
      <w:r w:rsidRPr="004F6DAA">
        <w:rPr>
          <w:noProof/>
        </w:rPr>
        <w:t>a także mając na uwadze, co następuje:</w:t>
      </w:r>
    </w:p>
    <w:p w14:paraId="3AA2A441" w14:textId="77777777" w:rsidR="008E648C" w:rsidRPr="004F6DAA" w:rsidRDefault="007B7EB7" w:rsidP="007B7EB7">
      <w:pPr>
        <w:pStyle w:val="ManualConsidrant"/>
        <w:rPr>
          <w:noProof/>
        </w:rPr>
      </w:pPr>
      <w:r w:rsidRPr="007B7EB7">
        <w:t>(1)</w:t>
      </w:r>
      <w:r w:rsidRPr="007B7EB7">
        <w:tab/>
      </w:r>
      <w:r w:rsidR="008E648C" w:rsidRPr="004F6DAA">
        <w:rPr>
          <w:noProof/>
        </w:rPr>
        <w:t>Lasy przynoszą różnorodne korzyści środowisku, gospodarce</w:t>
      </w:r>
      <w:r w:rsidR="00062BFA" w:rsidRPr="004F6DAA">
        <w:rPr>
          <w:noProof/>
        </w:rPr>
        <w:t xml:space="preserve"> i</w:t>
      </w:r>
      <w:r w:rsidR="00062BFA">
        <w:rPr>
          <w:noProof/>
        </w:rPr>
        <w:t> </w:t>
      </w:r>
      <w:r w:rsidR="00062BFA" w:rsidRPr="004F6DAA">
        <w:rPr>
          <w:noProof/>
        </w:rPr>
        <w:t>spo</w:t>
      </w:r>
      <w:r w:rsidR="008E648C" w:rsidRPr="004F6DAA">
        <w:rPr>
          <w:noProof/>
        </w:rPr>
        <w:t>łeczeństwu, między innymi dostarczają drewno</w:t>
      </w:r>
      <w:r w:rsidR="00062BFA" w:rsidRPr="004F6DAA">
        <w:rPr>
          <w:noProof/>
        </w:rPr>
        <w:t xml:space="preserve"> i</w:t>
      </w:r>
      <w:r w:rsidR="00062BFA">
        <w:rPr>
          <w:noProof/>
        </w:rPr>
        <w:t> </w:t>
      </w:r>
      <w:r w:rsidR="00062BFA" w:rsidRPr="004F6DAA">
        <w:rPr>
          <w:noProof/>
        </w:rPr>
        <w:t>inn</w:t>
      </w:r>
      <w:r w:rsidR="008E648C" w:rsidRPr="004F6DAA">
        <w:rPr>
          <w:noProof/>
        </w:rPr>
        <w:t>e niedrzewne produkty leśne oraz zapewniają usługi ekosystemowe, które są niezbędne dla ludzkości, ponieważ lasy stanowią siedlisko większości gatunków lądowych będących częścią różnorodność biologiczną na Ziemi. Utrzymują one funkcje ekosystemów, pomagają chronić system klimatyczny, zapewniają czyste powietrze</w:t>
      </w:r>
      <w:r w:rsidR="00062BFA" w:rsidRPr="004F6DAA">
        <w:rPr>
          <w:noProof/>
        </w:rPr>
        <w:t xml:space="preserve"> i</w:t>
      </w:r>
      <w:r w:rsidR="00062BFA">
        <w:rPr>
          <w:noProof/>
        </w:rPr>
        <w:t> </w:t>
      </w:r>
      <w:r w:rsidR="00062BFA" w:rsidRPr="004F6DAA">
        <w:rPr>
          <w:noProof/>
        </w:rPr>
        <w:t>odg</w:t>
      </w:r>
      <w:r w:rsidR="008E648C" w:rsidRPr="004F6DAA">
        <w:rPr>
          <w:noProof/>
        </w:rPr>
        <w:t>rywają istotną rolę</w:t>
      </w:r>
      <w:r w:rsidR="00062BFA" w:rsidRPr="004F6DAA">
        <w:rPr>
          <w:noProof/>
        </w:rPr>
        <w:t xml:space="preserve"> w</w:t>
      </w:r>
      <w:r w:rsidR="00062BFA">
        <w:rPr>
          <w:noProof/>
        </w:rPr>
        <w:t> </w:t>
      </w:r>
      <w:r w:rsidR="00062BFA" w:rsidRPr="004F6DAA">
        <w:rPr>
          <w:noProof/>
        </w:rPr>
        <w:t>ocz</w:t>
      </w:r>
      <w:r w:rsidR="008E648C" w:rsidRPr="004F6DAA">
        <w:rPr>
          <w:noProof/>
        </w:rPr>
        <w:t>yszczaniu wód</w:t>
      </w:r>
      <w:r w:rsidR="00062BFA" w:rsidRPr="004F6DAA">
        <w:rPr>
          <w:noProof/>
        </w:rPr>
        <w:t xml:space="preserve"> i</w:t>
      </w:r>
      <w:r w:rsidR="00062BFA">
        <w:rPr>
          <w:noProof/>
        </w:rPr>
        <w:t> </w:t>
      </w:r>
      <w:r w:rsidR="00062BFA" w:rsidRPr="004F6DAA">
        <w:rPr>
          <w:noProof/>
        </w:rPr>
        <w:t>gle</w:t>
      </w:r>
      <w:r w:rsidR="008E648C" w:rsidRPr="004F6DAA">
        <w:rPr>
          <w:noProof/>
        </w:rPr>
        <w:t>b,</w:t>
      </w:r>
      <w:r w:rsidR="00062BFA" w:rsidRPr="004F6DAA">
        <w:rPr>
          <w:noProof/>
        </w:rPr>
        <w:t xml:space="preserve"> a</w:t>
      </w:r>
      <w:r w:rsidR="00062BFA">
        <w:rPr>
          <w:noProof/>
        </w:rPr>
        <w:t> </w:t>
      </w:r>
      <w:r w:rsidR="00062BFA" w:rsidRPr="004F6DAA">
        <w:rPr>
          <w:noProof/>
        </w:rPr>
        <w:t>tak</w:t>
      </w:r>
      <w:r w:rsidR="008E648C" w:rsidRPr="004F6DAA">
        <w:rPr>
          <w:noProof/>
        </w:rPr>
        <w:t>że</w:t>
      </w:r>
      <w:r w:rsidR="00062BFA" w:rsidRPr="004F6DAA">
        <w:rPr>
          <w:noProof/>
        </w:rPr>
        <w:t xml:space="preserve"> w</w:t>
      </w:r>
      <w:r w:rsidR="00062BFA">
        <w:rPr>
          <w:noProof/>
        </w:rPr>
        <w:t> </w:t>
      </w:r>
      <w:r w:rsidR="00062BFA" w:rsidRPr="004F6DAA">
        <w:rPr>
          <w:noProof/>
        </w:rPr>
        <w:t>ret</w:t>
      </w:r>
      <w:r w:rsidR="008E648C" w:rsidRPr="004F6DAA">
        <w:rPr>
          <w:noProof/>
        </w:rPr>
        <w:t>encji wody. Ponadto lasy zapewniają utrzymanie</w:t>
      </w:r>
      <w:r w:rsidR="00062BFA" w:rsidRPr="004F6DAA">
        <w:rPr>
          <w:noProof/>
        </w:rPr>
        <w:t xml:space="preserve"> i</w:t>
      </w:r>
      <w:r w:rsidR="00062BFA">
        <w:rPr>
          <w:noProof/>
        </w:rPr>
        <w:t> </w:t>
      </w:r>
      <w:r w:rsidR="00062BFA" w:rsidRPr="004F6DAA">
        <w:rPr>
          <w:noProof/>
        </w:rPr>
        <w:t>doc</w:t>
      </w:r>
      <w:r w:rsidR="008E648C" w:rsidRPr="004F6DAA">
        <w:rPr>
          <w:noProof/>
        </w:rPr>
        <w:t>hód około jednej trzeciej ludności świata,</w:t>
      </w:r>
      <w:r w:rsidR="00062BFA" w:rsidRPr="004F6DAA">
        <w:rPr>
          <w:noProof/>
        </w:rPr>
        <w:t xml:space="preserve"> a</w:t>
      </w:r>
      <w:r w:rsidR="00062BFA">
        <w:rPr>
          <w:noProof/>
        </w:rPr>
        <w:t> </w:t>
      </w:r>
      <w:r w:rsidR="00062BFA" w:rsidRPr="004F6DAA">
        <w:rPr>
          <w:noProof/>
        </w:rPr>
        <w:t>wyl</w:t>
      </w:r>
      <w:r w:rsidR="008E648C" w:rsidRPr="004F6DAA">
        <w:rPr>
          <w:noProof/>
        </w:rPr>
        <w:t>esianie drastycznie ogranicza środki utrzymania osób najbardziej narażonych,</w:t>
      </w:r>
      <w:r w:rsidR="00062BFA" w:rsidRPr="004F6DAA">
        <w:rPr>
          <w:noProof/>
        </w:rPr>
        <w:t xml:space="preserve"> w</w:t>
      </w:r>
      <w:r w:rsidR="00062BFA">
        <w:rPr>
          <w:noProof/>
        </w:rPr>
        <w:t> </w:t>
      </w:r>
      <w:r w:rsidR="00062BFA" w:rsidRPr="004F6DAA">
        <w:rPr>
          <w:noProof/>
        </w:rPr>
        <w:t>tym</w:t>
      </w:r>
      <w:r w:rsidR="008E648C" w:rsidRPr="004F6DAA">
        <w:rPr>
          <w:noProof/>
        </w:rPr>
        <w:t xml:space="preserve"> społeczności tubylczych</w:t>
      </w:r>
      <w:r w:rsidR="00062BFA" w:rsidRPr="004F6DAA">
        <w:rPr>
          <w:noProof/>
        </w:rPr>
        <w:t xml:space="preserve"> i</w:t>
      </w:r>
      <w:r w:rsidR="00062BFA">
        <w:rPr>
          <w:noProof/>
        </w:rPr>
        <w:t> </w:t>
      </w:r>
      <w:r w:rsidR="00062BFA" w:rsidRPr="004F6DAA">
        <w:rPr>
          <w:noProof/>
        </w:rPr>
        <w:t>lok</w:t>
      </w:r>
      <w:r w:rsidR="008E648C" w:rsidRPr="004F6DAA">
        <w:rPr>
          <w:noProof/>
        </w:rPr>
        <w:t xml:space="preserve">alnych, które są w </w:t>
      </w:r>
      <w:r w:rsidR="008E648C" w:rsidRPr="004F6DAA">
        <w:rPr>
          <w:rStyle w:val="Odwoanieprzypisudolnego"/>
          <w:noProof/>
        </w:rPr>
        <w:footnoteReference w:id="18"/>
      </w:r>
      <w:r w:rsidR="008E648C" w:rsidRPr="004F6DAA">
        <w:rPr>
          <w:noProof/>
        </w:rPr>
        <w:t>. Ponadto wylesianie</w:t>
      </w:r>
      <w:r w:rsidR="00062BFA" w:rsidRPr="004F6DAA">
        <w:rPr>
          <w:noProof/>
        </w:rPr>
        <w:t xml:space="preserve"> i</w:t>
      </w:r>
      <w:r w:rsidR="00062BFA">
        <w:rPr>
          <w:noProof/>
        </w:rPr>
        <w:t> </w:t>
      </w:r>
      <w:r w:rsidR="00062BFA" w:rsidRPr="004F6DAA">
        <w:rPr>
          <w:noProof/>
        </w:rPr>
        <w:t>deg</w:t>
      </w:r>
      <w:r w:rsidR="008E648C" w:rsidRPr="004F6DAA">
        <w:rPr>
          <w:noProof/>
        </w:rPr>
        <w:t>radacja lasów przyczyniają się do zmniejszenia ilości niezbędnych pochłaniaczy dwutlenku węgla</w:t>
      </w:r>
      <w:r w:rsidR="00062BFA" w:rsidRPr="004F6DAA">
        <w:rPr>
          <w:noProof/>
        </w:rPr>
        <w:t xml:space="preserve"> i</w:t>
      </w:r>
      <w:r w:rsidR="00062BFA">
        <w:rPr>
          <w:noProof/>
        </w:rPr>
        <w:t> </w:t>
      </w:r>
      <w:r w:rsidR="00062BFA" w:rsidRPr="004F6DAA">
        <w:rPr>
          <w:noProof/>
        </w:rPr>
        <w:t>zwi</w:t>
      </w:r>
      <w:r w:rsidR="008E648C" w:rsidRPr="004F6DAA">
        <w:rPr>
          <w:noProof/>
        </w:rPr>
        <w:t>ększają prawdopodobieństwo rozprzestrzeniania się nowych chorób ze zwierząt na ludzi.</w:t>
      </w:r>
    </w:p>
    <w:p w14:paraId="0C842F80" w14:textId="77777777" w:rsidR="008E648C" w:rsidRPr="004F6DAA" w:rsidRDefault="007B7EB7" w:rsidP="007B7EB7">
      <w:pPr>
        <w:pStyle w:val="ManualConsidrant"/>
        <w:rPr>
          <w:noProof/>
        </w:rPr>
      </w:pPr>
      <w:r w:rsidRPr="007B7EB7">
        <w:t>(2)</w:t>
      </w:r>
      <w:r w:rsidRPr="007B7EB7">
        <w:tab/>
      </w:r>
      <w:r w:rsidR="008E648C" w:rsidRPr="004F6DAA">
        <w:rPr>
          <w:noProof/>
        </w:rPr>
        <w:t>Wylesianie</w:t>
      </w:r>
      <w:r w:rsidR="00062BFA" w:rsidRPr="004F6DAA">
        <w:rPr>
          <w:noProof/>
        </w:rPr>
        <w:t xml:space="preserve"> i</w:t>
      </w:r>
      <w:r w:rsidR="00062BFA">
        <w:rPr>
          <w:noProof/>
        </w:rPr>
        <w:t> </w:t>
      </w:r>
      <w:r w:rsidR="00062BFA" w:rsidRPr="004F6DAA">
        <w:rPr>
          <w:noProof/>
        </w:rPr>
        <w:t>deg</w:t>
      </w:r>
      <w:r w:rsidR="008E648C" w:rsidRPr="004F6DAA">
        <w:rPr>
          <w:noProof/>
        </w:rPr>
        <w:t>radacja lasów postępują</w:t>
      </w:r>
      <w:r w:rsidR="00062BFA" w:rsidRPr="004F6DAA">
        <w:rPr>
          <w:noProof/>
        </w:rPr>
        <w:t xml:space="preserve"> w</w:t>
      </w:r>
      <w:r w:rsidR="00062BFA">
        <w:rPr>
          <w:noProof/>
        </w:rPr>
        <w:t> </w:t>
      </w:r>
      <w:r w:rsidR="00062BFA" w:rsidRPr="004F6DAA">
        <w:rPr>
          <w:noProof/>
        </w:rPr>
        <w:t>ala</w:t>
      </w:r>
      <w:r w:rsidR="008E648C" w:rsidRPr="004F6DAA">
        <w:rPr>
          <w:noProof/>
        </w:rPr>
        <w:t>rmującym tempie. Organizacja Narodów Zjednoczonych ds. Wyżywienia</w:t>
      </w:r>
      <w:r w:rsidR="00062BFA" w:rsidRPr="004F6DAA">
        <w:rPr>
          <w:noProof/>
        </w:rPr>
        <w:t xml:space="preserve"> i</w:t>
      </w:r>
      <w:r w:rsidR="00062BFA">
        <w:rPr>
          <w:noProof/>
        </w:rPr>
        <w:t> </w:t>
      </w:r>
      <w:r w:rsidR="00062BFA" w:rsidRPr="004F6DAA">
        <w:rPr>
          <w:noProof/>
        </w:rPr>
        <w:t>Rol</w:t>
      </w:r>
      <w:r w:rsidR="008E648C" w:rsidRPr="004F6DAA">
        <w:rPr>
          <w:noProof/>
        </w:rPr>
        <w:t>nictwa szacuje, że</w:t>
      </w:r>
      <w:r w:rsidR="00062BFA" w:rsidRPr="004F6DAA">
        <w:rPr>
          <w:noProof/>
        </w:rPr>
        <w:t xml:space="preserve"> w</w:t>
      </w:r>
      <w:r w:rsidR="00062BFA">
        <w:rPr>
          <w:noProof/>
        </w:rPr>
        <w:t> </w:t>
      </w:r>
      <w:r w:rsidR="00062BFA" w:rsidRPr="004F6DAA">
        <w:rPr>
          <w:noProof/>
        </w:rPr>
        <w:t>lat</w:t>
      </w:r>
      <w:r w:rsidR="008E648C" w:rsidRPr="004F6DAA">
        <w:rPr>
          <w:noProof/>
        </w:rPr>
        <w:t>ach 1990–2020 na całym świecie ubyło 420 mln hektarów lasów – co odpowiada około 1</w:t>
      </w:r>
      <w:r w:rsidR="008E648C" w:rsidRPr="00062BFA">
        <w:rPr>
          <w:noProof/>
        </w:rPr>
        <w:t>0</w:t>
      </w:r>
      <w:r w:rsidR="00062BFA" w:rsidRPr="00062BFA">
        <w:rPr>
          <w:noProof/>
        </w:rPr>
        <w:t> </w:t>
      </w:r>
      <w:r w:rsidR="008E648C" w:rsidRPr="00062BFA">
        <w:rPr>
          <w:noProof/>
        </w:rPr>
        <w:t>%</w:t>
      </w:r>
      <w:r w:rsidR="008E648C" w:rsidRPr="004F6DAA">
        <w:rPr>
          <w:noProof/>
        </w:rPr>
        <w:t xml:space="preserve"> pozostałych lasów na świecie – który to obszar jest większy niż powierzchnia całej Unii Europejskiej</w:t>
      </w:r>
      <w:r w:rsidR="008E648C" w:rsidRPr="004F6DAA">
        <w:rPr>
          <w:rStyle w:val="Odwoanieprzypisudolnego"/>
          <w:noProof/>
        </w:rPr>
        <w:footnoteReference w:id="19"/>
      </w:r>
      <w:r w:rsidR="008E648C" w:rsidRPr="004F6DAA">
        <w:rPr>
          <w:noProof/>
        </w:rPr>
        <w:t>. Wylesianie</w:t>
      </w:r>
      <w:r w:rsidR="00062BFA" w:rsidRPr="004F6DAA">
        <w:rPr>
          <w:noProof/>
        </w:rPr>
        <w:t xml:space="preserve"> i</w:t>
      </w:r>
      <w:r w:rsidR="00062BFA">
        <w:rPr>
          <w:noProof/>
        </w:rPr>
        <w:t> </w:t>
      </w:r>
      <w:r w:rsidR="00062BFA" w:rsidRPr="004F6DAA">
        <w:rPr>
          <w:noProof/>
        </w:rPr>
        <w:t>deg</w:t>
      </w:r>
      <w:r w:rsidR="008E648C" w:rsidRPr="004F6DAA">
        <w:rPr>
          <w:noProof/>
        </w:rPr>
        <w:t>radacja lasów są</w:t>
      </w:r>
      <w:r w:rsidR="00062BFA" w:rsidRPr="004F6DAA">
        <w:rPr>
          <w:noProof/>
        </w:rPr>
        <w:t xml:space="preserve"> z</w:t>
      </w:r>
      <w:r w:rsidR="00062BFA">
        <w:rPr>
          <w:noProof/>
        </w:rPr>
        <w:t> </w:t>
      </w:r>
      <w:r w:rsidR="00062BFA" w:rsidRPr="004F6DAA">
        <w:rPr>
          <w:noProof/>
        </w:rPr>
        <w:t>kol</w:t>
      </w:r>
      <w:r w:rsidR="008E648C" w:rsidRPr="004F6DAA">
        <w:rPr>
          <w:noProof/>
        </w:rPr>
        <w:t>ei ważnymi czynnikami powodującymi globalne ocieplenie</w:t>
      </w:r>
      <w:r w:rsidR="00062BFA" w:rsidRPr="004F6DAA">
        <w:rPr>
          <w:noProof/>
        </w:rPr>
        <w:t xml:space="preserve"> i</w:t>
      </w:r>
      <w:r w:rsidR="00062BFA">
        <w:rPr>
          <w:noProof/>
        </w:rPr>
        <w:t> </w:t>
      </w:r>
      <w:r w:rsidR="00062BFA" w:rsidRPr="004F6DAA">
        <w:rPr>
          <w:noProof/>
        </w:rPr>
        <w:t>utr</w:t>
      </w:r>
      <w:r w:rsidR="008E648C" w:rsidRPr="004F6DAA">
        <w:rPr>
          <w:noProof/>
        </w:rPr>
        <w:t>atę różnorodności biologicznej – dwa najważniejsze wyzwania środowiskowe naszych czasów. Każdego roku na świecie wciąż ubywa jednak 10 mln hektarów lasów.</w:t>
      </w:r>
    </w:p>
    <w:p w14:paraId="461F0BD4" w14:textId="77777777" w:rsidR="008E648C" w:rsidRPr="004F6DAA" w:rsidRDefault="007B7EB7" w:rsidP="007B7EB7">
      <w:pPr>
        <w:pStyle w:val="ManualConsidrant"/>
        <w:rPr>
          <w:noProof/>
        </w:rPr>
      </w:pPr>
      <w:r w:rsidRPr="007B7EB7">
        <w:t>(3)</w:t>
      </w:r>
      <w:r w:rsidRPr="007B7EB7">
        <w:tab/>
      </w:r>
      <w:r w:rsidR="008E648C" w:rsidRPr="004F6DAA">
        <w:rPr>
          <w:noProof/>
        </w:rPr>
        <w:t>Wylesianie</w:t>
      </w:r>
      <w:r w:rsidR="00062BFA" w:rsidRPr="004F6DAA">
        <w:rPr>
          <w:noProof/>
        </w:rPr>
        <w:t xml:space="preserve"> i</w:t>
      </w:r>
      <w:r w:rsidR="00062BFA">
        <w:rPr>
          <w:noProof/>
        </w:rPr>
        <w:t> </w:t>
      </w:r>
      <w:r w:rsidR="00062BFA" w:rsidRPr="004F6DAA">
        <w:rPr>
          <w:noProof/>
        </w:rPr>
        <w:t>deg</w:t>
      </w:r>
      <w:r w:rsidR="008E648C" w:rsidRPr="004F6DAA">
        <w:rPr>
          <w:noProof/>
        </w:rPr>
        <w:t>radacja lasów</w:t>
      </w:r>
      <w:r w:rsidR="00062BFA" w:rsidRPr="004F6DAA">
        <w:rPr>
          <w:noProof/>
        </w:rPr>
        <w:t xml:space="preserve"> w</w:t>
      </w:r>
      <w:r w:rsidR="00062BFA">
        <w:rPr>
          <w:noProof/>
        </w:rPr>
        <w:t> </w:t>
      </w:r>
      <w:r w:rsidR="00062BFA" w:rsidRPr="004F6DAA">
        <w:rPr>
          <w:noProof/>
        </w:rPr>
        <w:t>wie</w:t>
      </w:r>
      <w:r w:rsidR="008E648C" w:rsidRPr="004F6DAA">
        <w:rPr>
          <w:noProof/>
        </w:rPr>
        <w:t>loraki sposób przyczyniają się do globalnego kryzysu klimatycznego. Co najważniejsze, powodują wzrost emisji gazów cieplarnianych wskutek związanych</w:t>
      </w:r>
      <w:r w:rsidR="00062BFA" w:rsidRPr="004F6DAA">
        <w:rPr>
          <w:noProof/>
        </w:rPr>
        <w:t xml:space="preserve"> z</w:t>
      </w:r>
      <w:r w:rsidR="00062BFA">
        <w:rPr>
          <w:noProof/>
        </w:rPr>
        <w:t> </w:t>
      </w:r>
      <w:r w:rsidR="00062BFA" w:rsidRPr="004F6DAA">
        <w:rPr>
          <w:noProof/>
        </w:rPr>
        <w:t>nim</w:t>
      </w:r>
      <w:r w:rsidR="008E648C" w:rsidRPr="004F6DAA">
        <w:rPr>
          <w:noProof/>
        </w:rPr>
        <w:t>i pożarów lasów, trwale pozbawiając dany obszar zdolności do pochłaniania dwutlenku węgla, zmniejszając jego odporność na zmianę klimatu</w:t>
      </w:r>
      <w:r w:rsidR="00062BFA" w:rsidRPr="004F6DAA">
        <w:rPr>
          <w:noProof/>
        </w:rPr>
        <w:t xml:space="preserve"> i</w:t>
      </w:r>
      <w:r w:rsidR="00062BFA">
        <w:rPr>
          <w:noProof/>
        </w:rPr>
        <w:t> </w:t>
      </w:r>
      <w:r w:rsidR="00062BFA" w:rsidRPr="004F6DAA">
        <w:rPr>
          <w:noProof/>
        </w:rPr>
        <w:t>zna</w:t>
      </w:r>
      <w:r w:rsidR="008E648C" w:rsidRPr="004F6DAA">
        <w:rPr>
          <w:noProof/>
        </w:rPr>
        <w:t xml:space="preserve">cząco ograniczając jego różnorodność biologiczną. </w:t>
      </w:r>
      <w:r w:rsidR="008E648C" w:rsidRPr="004F6DAA">
        <w:rPr>
          <w:noProof/>
          <w:shd w:val="clear" w:color="auto" w:fill="FFFFFF"/>
        </w:rPr>
        <w:t xml:space="preserve">Samo wylesianie odpowiada </w:t>
      </w:r>
      <w:r w:rsidR="008E648C" w:rsidRPr="00062BFA">
        <w:rPr>
          <w:noProof/>
          <w:shd w:val="clear" w:color="auto" w:fill="FFFFFF"/>
        </w:rPr>
        <w:t>za</w:t>
      </w:r>
      <w:r w:rsidR="00062BFA" w:rsidRPr="00062BFA">
        <w:rPr>
          <w:noProof/>
          <w:shd w:val="clear" w:color="auto" w:fill="FFFFFF"/>
        </w:rPr>
        <w:t> </w:t>
      </w:r>
      <w:r w:rsidR="008E648C" w:rsidRPr="00062BFA">
        <w:rPr>
          <w:noProof/>
          <w:shd w:val="clear" w:color="auto" w:fill="FFFFFF"/>
        </w:rPr>
        <w:t>11</w:t>
      </w:r>
      <w:r w:rsidR="00062BFA" w:rsidRPr="00062BFA">
        <w:rPr>
          <w:noProof/>
          <w:shd w:val="clear" w:color="auto" w:fill="FFFFFF"/>
        </w:rPr>
        <w:t> </w:t>
      </w:r>
      <w:r w:rsidR="008E648C" w:rsidRPr="00062BFA">
        <w:rPr>
          <w:noProof/>
          <w:shd w:val="clear" w:color="auto" w:fill="FFFFFF"/>
        </w:rPr>
        <w:t>%</w:t>
      </w:r>
      <w:r w:rsidR="008E648C" w:rsidRPr="004F6DAA">
        <w:rPr>
          <w:noProof/>
          <w:shd w:val="clear" w:color="auto" w:fill="FFFFFF"/>
        </w:rPr>
        <w:t xml:space="preserve"> emisji gazów cieplarnianych</w:t>
      </w:r>
      <w:r w:rsidR="008E648C" w:rsidRPr="004F6DAA">
        <w:rPr>
          <w:rStyle w:val="Odwoanieprzypisudolnego"/>
          <w:noProof/>
        </w:rPr>
        <w:footnoteReference w:id="20"/>
      </w:r>
      <w:r w:rsidR="008E648C" w:rsidRPr="004F6DAA">
        <w:rPr>
          <w:noProof/>
          <w:shd w:val="clear" w:color="auto" w:fill="FFFFFF"/>
        </w:rPr>
        <w:t>.</w:t>
      </w:r>
      <w:r w:rsidR="008E648C" w:rsidRPr="004F6DAA">
        <w:rPr>
          <w:noProof/>
        </w:rPr>
        <w:t xml:space="preserve"> </w:t>
      </w:r>
    </w:p>
    <w:p w14:paraId="3015A50D" w14:textId="77777777" w:rsidR="008E648C" w:rsidRPr="004F6DAA" w:rsidRDefault="007B7EB7" w:rsidP="007B7EB7">
      <w:pPr>
        <w:pStyle w:val="ManualConsidrant"/>
        <w:rPr>
          <w:noProof/>
        </w:rPr>
      </w:pPr>
      <w:r w:rsidRPr="007B7EB7">
        <w:t>(4)</w:t>
      </w:r>
      <w:r w:rsidRPr="007B7EB7">
        <w:tab/>
      </w:r>
      <w:r w:rsidR="008E648C" w:rsidRPr="004F6DAA">
        <w:rPr>
          <w:noProof/>
        </w:rPr>
        <w:t>Kryzys klimatyczny przyczynia się do globalnej utraty różnorodności biologicznej, która</w:t>
      </w:r>
      <w:r w:rsidR="00062BFA" w:rsidRPr="004F6DAA">
        <w:rPr>
          <w:noProof/>
        </w:rPr>
        <w:t xml:space="preserve"> z</w:t>
      </w:r>
      <w:r w:rsidR="00062BFA">
        <w:rPr>
          <w:noProof/>
        </w:rPr>
        <w:t> </w:t>
      </w:r>
      <w:r w:rsidR="00062BFA" w:rsidRPr="004F6DAA">
        <w:rPr>
          <w:noProof/>
        </w:rPr>
        <w:t>kol</w:t>
      </w:r>
      <w:r w:rsidR="008E648C" w:rsidRPr="004F6DAA">
        <w:rPr>
          <w:noProof/>
        </w:rPr>
        <w:t>ei pogłębia zmianę klimatu – są to zjawiska nierozerwalnie ze sobą powiązane, co potwierdzono</w:t>
      </w:r>
      <w:r w:rsidR="00062BFA" w:rsidRPr="004F6DAA">
        <w:rPr>
          <w:noProof/>
        </w:rPr>
        <w:t xml:space="preserve"> w</w:t>
      </w:r>
      <w:r w:rsidR="00062BFA">
        <w:rPr>
          <w:noProof/>
        </w:rPr>
        <w:t> </w:t>
      </w:r>
      <w:r w:rsidR="00062BFA" w:rsidRPr="004F6DAA">
        <w:rPr>
          <w:noProof/>
        </w:rPr>
        <w:t>ost</w:t>
      </w:r>
      <w:r w:rsidR="008E648C" w:rsidRPr="004F6DAA">
        <w:rPr>
          <w:noProof/>
        </w:rPr>
        <w:t>atnich badaniach. Różnorodność biologiczna pomaga łagodzić zmianę klimatu. Owady, ptaki</w:t>
      </w:r>
      <w:r w:rsidR="00062BFA" w:rsidRPr="004F6DAA">
        <w:rPr>
          <w:noProof/>
        </w:rPr>
        <w:t xml:space="preserve"> i</w:t>
      </w:r>
      <w:r w:rsidR="00062BFA">
        <w:rPr>
          <w:noProof/>
        </w:rPr>
        <w:t> </w:t>
      </w:r>
      <w:r w:rsidR="00062BFA" w:rsidRPr="004F6DAA">
        <w:rPr>
          <w:noProof/>
        </w:rPr>
        <w:t>ssa</w:t>
      </w:r>
      <w:r w:rsidR="008E648C" w:rsidRPr="004F6DAA">
        <w:rPr>
          <w:noProof/>
        </w:rPr>
        <w:t>ki pełnią funkcję zapylaczy</w:t>
      </w:r>
      <w:r w:rsidR="00062BFA" w:rsidRPr="004F6DAA">
        <w:rPr>
          <w:noProof/>
        </w:rPr>
        <w:t xml:space="preserve"> i</w:t>
      </w:r>
      <w:r w:rsidR="00062BFA">
        <w:rPr>
          <w:noProof/>
        </w:rPr>
        <w:t> </w:t>
      </w:r>
      <w:r w:rsidR="00062BFA" w:rsidRPr="004F6DAA">
        <w:rPr>
          <w:noProof/>
        </w:rPr>
        <w:t>roz</w:t>
      </w:r>
      <w:r w:rsidR="008E648C" w:rsidRPr="004F6DAA">
        <w:rPr>
          <w:noProof/>
        </w:rPr>
        <w:t>siewaczy nasion,</w:t>
      </w:r>
      <w:r w:rsidR="00062BFA" w:rsidRPr="004F6DAA">
        <w:rPr>
          <w:noProof/>
        </w:rPr>
        <w:t xml:space="preserve"> a</w:t>
      </w:r>
      <w:r w:rsidR="00062BFA">
        <w:rPr>
          <w:noProof/>
        </w:rPr>
        <w:t> </w:t>
      </w:r>
      <w:r w:rsidR="00062BFA" w:rsidRPr="004F6DAA">
        <w:rPr>
          <w:noProof/>
        </w:rPr>
        <w:t>tak</w:t>
      </w:r>
      <w:r w:rsidR="008E648C" w:rsidRPr="004F6DAA">
        <w:rPr>
          <w:noProof/>
        </w:rPr>
        <w:t>że mogą bezpośrednio lub pośrednio przyczynić się do skuteczniejszego składowania dwutlenku węgla. Lasy zapewniają również stałe uzupełnianie zasobów wodnych oraz zapobiegają suszom</w:t>
      </w:r>
      <w:r w:rsidR="00062BFA" w:rsidRPr="004F6DAA">
        <w:rPr>
          <w:noProof/>
        </w:rPr>
        <w:t xml:space="preserve"> i</w:t>
      </w:r>
      <w:r w:rsidR="00062BFA">
        <w:rPr>
          <w:noProof/>
        </w:rPr>
        <w:t> </w:t>
      </w:r>
      <w:r w:rsidR="00062BFA" w:rsidRPr="004F6DAA">
        <w:rPr>
          <w:noProof/>
        </w:rPr>
        <w:t>ich</w:t>
      </w:r>
      <w:r w:rsidR="008E648C" w:rsidRPr="004F6DAA">
        <w:rPr>
          <w:noProof/>
        </w:rPr>
        <w:t xml:space="preserve"> szkodliwym skutkom dla społeczności lokalnych,</w:t>
      </w:r>
      <w:r w:rsidR="00062BFA" w:rsidRPr="004F6DAA">
        <w:rPr>
          <w:noProof/>
        </w:rPr>
        <w:t xml:space="preserve"> w</w:t>
      </w:r>
      <w:r w:rsidR="00062BFA">
        <w:rPr>
          <w:noProof/>
        </w:rPr>
        <w:t> </w:t>
      </w:r>
      <w:r w:rsidR="00062BFA" w:rsidRPr="004F6DAA">
        <w:rPr>
          <w:noProof/>
        </w:rPr>
        <w:t>tym</w:t>
      </w:r>
      <w:r w:rsidR="008E648C" w:rsidRPr="004F6DAA">
        <w:rPr>
          <w:noProof/>
        </w:rPr>
        <w:t xml:space="preserve"> ludności rdzennej. Drastyczne ograniczenie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oraz systematyczne odtwarzanie lasów</w:t>
      </w:r>
      <w:r w:rsidR="00062BFA" w:rsidRPr="004F6DAA">
        <w:rPr>
          <w:noProof/>
        </w:rPr>
        <w:t xml:space="preserve"> i</w:t>
      </w:r>
      <w:r w:rsidR="00062BFA">
        <w:rPr>
          <w:noProof/>
        </w:rPr>
        <w:t> </w:t>
      </w:r>
      <w:r w:rsidR="00062BFA" w:rsidRPr="004F6DAA">
        <w:rPr>
          <w:noProof/>
        </w:rPr>
        <w:t>inn</w:t>
      </w:r>
      <w:r w:rsidR="008E648C" w:rsidRPr="004F6DAA">
        <w:rPr>
          <w:noProof/>
        </w:rPr>
        <w:t>ych ekosystemów to najważniejsze oparte na zasobach przyrody rozwiązanie umożliwiające łagodzenie zmiany klimatu.</w:t>
      </w:r>
    </w:p>
    <w:p w14:paraId="49699FD1" w14:textId="77777777" w:rsidR="008E648C" w:rsidRPr="004F6DAA" w:rsidRDefault="007B7EB7" w:rsidP="007B7EB7">
      <w:pPr>
        <w:pStyle w:val="ManualConsidrant"/>
        <w:rPr>
          <w:noProof/>
        </w:rPr>
      </w:pPr>
      <w:r w:rsidRPr="007B7EB7">
        <w:t>(5)</w:t>
      </w:r>
      <w:r w:rsidRPr="007B7EB7">
        <w:tab/>
      </w:r>
      <w:r w:rsidR="008E648C" w:rsidRPr="004F6DAA">
        <w:rPr>
          <w:noProof/>
        </w:rPr>
        <w:t>Różnorodność biologiczna ma zasadnicze znaczenie dla odporności ekosystemów</w:t>
      </w:r>
      <w:r w:rsidR="00062BFA" w:rsidRPr="004F6DAA">
        <w:rPr>
          <w:noProof/>
        </w:rPr>
        <w:t xml:space="preserve"> i</w:t>
      </w:r>
      <w:r w:rsidR="00062BFA">
        <w:rPr>
          <w:noProof/>
        </w:rPr>
        <w:t> </w:t>
      </w:r>
      <w:r w:rsidR="00062BFA" w:rsidRPr="004F6DAA">
        <w:rPr>
          <w:noProof/>
        </w:rPr>
        <w:t>świ</w:t>
      </w:r>
      <w:r w:rsidR="008E648C" w:rsidRPr="004F6DAA">
        <w:rPr>
          <w:noProof/>
        </w:rPr>
        <w:t>adczonych przez nie usług zarówno na poziomie lokalnym, jak</w:t>
      </w:r>
      <w:r w:rsidR="00062BFA" w:rsidRPr="004F6DAA">
        <w:rPr>
          <w:noProof/>
        </w:rPr>
        <w:t xml:space="preserve"> i</w:t>
      </w:r>
      <w:r w:rsidR="00062BFA">
        <w:rPr>
          <w:noProof/>
        </w:rPr>
        <w:t> </w:t>
      </w:r>
      <w:r w:rsidR="00062BFA" w:rsidRPr="004F6DAA">
        <w:rPr>
          <w:noProof/>
        </w:rPr>
        <w:t>glo</w:t>
      </w:r>
      <w:r w:rsidR="008E648C" w:rsidRPr="004F6DAA">
        <w:rPr>
          <w:noProof/>
        </w:rPr>
        <w:t>balnym. Ponad połowa światowego produktu krajowego brutto zależy od przyrody</w:t>
      </w:r>
      <w:r w:rsidR="00062BFA" w:rsidRPr="004F6DAA">
        <w:rPr>
          <w:noProof/>
        </w:rPr>
        <w:t xml:space="preserve"> i</w:t>
      </w:r>
      <w:r w:rsidR="00062BFA">
        <w:rPr>
          <w:noProof/>
        </w:rPr>
        <w:t> </w:t>
      </w:r>
      <w:r w:rsidR="00062BFA" w:rsidRPr="004F6DAA">
        <w:rPr>
          <w:noProof/>
        </w:rPr>
        <w:t>jej</w:t>
      </w:r>
      <w:r w:rsidR="008E648C" w:rsidRPr="004F6DAA">
        <w:rPr>
          <w:noProof/>
        </w:rPr>
        <w:t xml:space="preserve"> usług. Trzy kluczowe sektory gospodarki – budownictwo, rolnictwo, żywność</w:t>
      </w:r>
      <w:r w:rsidR="00062BFA" w:rsidRPr="004F6DAA">
        <w:rPr>
          <w:noProof/>
        </w:rPr>
        <w:t xml:space="preserve"> i</w:t>
      </w:r>
      <w:r w:rsidR="00062BFA">
        <w:rPr>
          <w:noProof/>
        </w:rPr>
        <w:t> </w:t>
      </w:r>
      <w:r w:rsidR="00062BFA" w:rsidRPr="004F6DAA">
        <w:rPr>
          <w:noProof/>
        </w:rPr>
        <w:t>nap</w:t>
      </w:r>
      <w:r w:rsidR="008E648C" w:rsidRPr="004F6DAA">
        <w:rPr>
          <w:noProof/>
        </w:rPr>
        <w:t>oje – są</w:t>
      </w:r>
      <w:r w:rsidR="00062BFA" w:rsidRPr="004F6DAA">
        <w:rPr>
          <w:noProof/>
        </w:rPr>
        <w:t xml:space="preserve"> w</w:t>
      </w:r>
      <w:r w:rsidR="00062BFA">
        <w:rPr>
          <w:noProof/>
        </w:rPr>
        <w:t> </w:t>
      </w:r>
      <w:r w:rsidR="00062BFA" w:rsidRPr="004F6DAA">
        <w:rPr>
          <w:noProof/>
        </w:rPr>
        <w:t>wys</w:t>
      </w:r>
      <w:r w:rsidR="008E648C" w:rsidRPr="004F6DAA">
        <w:rPr>
          <w:noProof/>
        </w:rPr>
        <w:t>okim stopniu powiązane</w:t>
      </w:r>
      <w:r w:rsidR="00062BFA" w:rsidRPr="004F6DAA">
        <w:rPr>
          <w:noProof/>
        </w:rPr>
        <w:t xml:space="preserve"> z</w:t>
      </w:r>
      <w:r w:rsidR="00062BFA">
        <w:rPr>
          <w:noProof/>
        </w:rPr>
        <w:t> </w:t>
      </w:r>
      <w:r w:rsidR="00062BFA" w:rsidRPr="004F6DAA">
        <w:rPr>
          <w:noProof/>
        </w:rPr>
        <w:t>prz</w:t>
      </w:r>
      <w:r w:rsidR="008E648C" w:rsidRPr="004F6DAA">
        <w:rPr>
          <w:noProof/>
        </w:rPr>
        <w:t>yrodą. Utrata różnorodności biologicznej zagraża zrównoważonemu cyklowi hydrologicznemu oraz naszym systemom żywnościowym, narażając na szwank nasze bezpieczeństwo żywnościowe</w:t>
      </w:r>
      <w:r w:rsidR="00062BFA" w:rsidRPr="004F6DAA">
        <w:rPr>
          <w:noProof/>
        </w:rPr>
        <w:t xml:space="preserve"> i</w:t>
      </w:r>
      <w:r w:rsidR="00062BFA">
        <w:rPr>
          <w:noProof/>
        </w:rPr>
        <w:t> </w:t>
      </w:r>
      <w:r w:rsidR="00062BFA" w:rsidRPr="004F6DAA">
        <w:rPr>
          <w:noProof/>
        </w:rPr>
        <w:t>pol</w:t>
      </w:r>
      <w:r w:rsidR="008E648C" w:rsidRPr="004F6DAA">
        <w:rPr>
          <w:noProof/>
        </w:rPr>
        <w:t>itykę żywieniową. Ponad 7</w:t>
      </w:r>
      <w:r w:rsidR="008E648C" w:rsidRPr="00062BFA">
        <w:rPr>
          <w:noProof/>
        </w:rPr>
        <w:t>5</w:t>
      </w:r>
      <w:r w:rsidR="00062BFA" w:rsidRPr="00062BFA">
        <w:rPr>
          <w:noProof/>
        </w:rPr>
        <w:t> </w:t>
      </w:r>
      <w:r w:rsidR="008E648C" w:rsidRPr="00062BFA">
        <w:rPr>
          <w:noProof/>
        </w:rPr>
        <w:t>%</w:t>
      </w:r>
      <w:r w:rsidR="008E648C" w:rsidRPr="004F6DAA">
        <w:rPr>
          <w:noProof/>
        </w:rPr>
        <w:t xml:space="preserve"> rodzajów upraw roślin spożywczych na świecie jest uzależnione od zapylania przez zwierzęta. Ponadto różnorodność genetyczna</w:t>
      </w:r>
      <w:r w:rsidR="00062BFA" w:rsidRPr="004F6DAA">
        <w:rPr>
          <w:noProof/>
        </w:rPr>
        <w:t xml:space="preserve"> i</w:t>
      </w:r>
      <w:r w:rsidR="00062BFA">
        <w:rPr>
          <w:noProof/>
        </w:rPr>
        <w:t> </w:t>
      </w:r>
      <w:r w:rsidR="00062BFA" w:rsidRPr="004F6DAA">
        <w:rPr>
          <w:noProof/>
        </w:rPr>
        <w:t>usł</w:t>
      </w:r>
      <w:r w:rsidR="008E648C" w:rsidRPr="004F6DAA">
        <w:rPr>
          <w:noProof/>
        </w:rPr>
        <w:t>ugi ekosystemowe to krytyczne elementy wykorzystywane przez szereg sektorów przemysłu</w:t>
      </w:r>
      <w:r w:rsidR="00062BFA" w:rsidRPr="004F6DAA">
        <w:rPr>
          <w:noProof/>
        </w:rPr>
        <w:t xml:space="preserve"> w</w:t>
      </w:r>
      <w:r w:rsidR="00062BFA">
        <w:rPr>
          <w:noProof/>
        </w:rPr>
        <w:t> </w:t>
      </w:r>
      <w:r w:rsidR="00062BFA" w:rsidRPr="004F6DAA">
        <w:rPr>
          <w:noProof/>
        </w:rPr>
        <w:t>pro</w:t>
      </w:r>
      <w:r w:rsidR="008E648C" w:rsidRPr="004F6DAA">
        <w:rPr>
          <w:noProof/>
        </w:rPr>
        <w:t>cesie produkcji, przede wszystkim leków.</w:t>
      </w:r>
    </w:p>
    <w:p w14:paraId="7424E253" w14:textId="77777777" w:rsidR="008E648C" w:rsidRPr="004F6DAA" w:rsidRDefault="007B7EB7" w:rsidP="007B7EB7">
      <w:pPr>
        <w:pStyle w:val="ManualConsidrant"/>
        <w:rPr>
          <w:noProof/>
        </w:rPr>
      </w:pPr>
      <w:r w:rsidRPr="007B7EB7">
        <w:t>(6)</w:t>
      </w:r>
      <w:r w:rsidRPr="007B7EB7">
        <w:tab/>
      </w:r>
      <w:r w:rsidR="008E648C" w:rsidRPr="004F6DAA">
        <w:rPr>
          <w:noProof/>
        </w:rPr>
        <w:t>Zmiana klimatu, utrata różnorodności biologicznej</w:t>
      </w:r>
      <w:r w:rsidR="00062BFA" w:rsidRPr="004F6DAA">
        <w:rPr>
          <w:noProof/>
        </w:rPr>
        <w:t xml:space="preserve"> i</w:t>
      </w:r>
      <w:r w:rsidR="00062BFA">
        <w:rPr>
          <w:noProof/>
        </w:rPr>
        <w:t> </w:t>
      </w:r>
      <w:r w:rsidR="00062BFA" w:rsidRPr="004F6DAA">
        <w:rPr>
          <w:noProof/>
        </w:rPr>
        <w:t>wyl</w:t>
      </w:r>
      <w:r w:rsidR="008E648C" w:rsidRPr="004F6DAA">
        <w:rPr>
          <w:noProof/>
        </w:rPr>
        <w:t>esianie są problemami</w:t>
      </w:r>
      <w:r w:rsidR="00062BFA" w:rsidRPr="004F6DAA">
        <w:rPr>
          <w:noProof/>
        </w:rPr>
        <w:t xml:space="preserve"> o</w:t>
      </w:r>
      <w:r w:rsidR="00062BFA">
        <w:rPr>
          <w:noProof/>
        </w:rPr>
        <w:t> </w:t>
      </w:r>
      <w:r w:rsidR="00062BFA" w:rsidRPr="004F6DAA">
        <w:rPr>
          <w:noProof/>
        </w:rPr>
        <w:t>naj</w:t>
      </w:r>
      <w:r w:rsidR="008E648C" w:rsidRPr="004F6DAA">
        <w:rPr>
          <w:noProof/>
        </w:rPr>
        <w:t>wyższym znaczeniu globalnym, które wpływają na przetrwanie ludzkości</w:t>
      </w:r>
      <w:r w:rsidR="00062BFA" w:rsidRPr="004F6DAA">
        <w:rPr>
          <w:noProof/>
        </w:rPr>
        <w:t xml:space="preserve"> i</w:t>
      </w:r>
      <w:r w:rsidR="00062BFA">
        <w:rPr>
          <w:noProof/>
        </w:rPr>
        <w:t> </w:t>
      </w:r>
      <w:r w:rsidR="00062BFA" w:rsidRPr="004F6DAA">
        <w:rPr>
          <w:noProof/>
        </w:rPr>
        <w:t>zró</w:t>
      </w:r>
      <w:r w:rsidR="008E648C" w:rsidRPr="004F6DAA">
        <w:rPr>
          <w:noProof/>
        </w:rPr>
        <w:t>wnoważone warunki życia na Ziemi. Przyspieszenie zmiany klimatu, utrata różnorodności biologicznej</w:t>
      </w:r>
      <w:r w:rsidR="00062BFA" w:rsidRPr="004F6DAA">
        <w:rPr>
          <w:noProof/>
        </w:rPr>
        <w:t xml:space="preserve"> i</w:t>
      </w:r>
      <w:r w:rsidR="00062BFA">
        <w:rPr>
          <w:noProof/>
        </w:rPr>
        <w:t> </w:t>
      </w:r>
      <w:r w:rsidR="00062BFA" w:rsidRPr="004F6DAA">
        <w:rPr>
          <w:noProof/>
        </w:rPr>
        <w:t>deg</w:t>
      </w:r>
      <w:r w:rsidR="008E648C" w:rsidRPr="004F6DAA">
        <w:rPr>
          <w:noProof/>
        </w:rPr>
        <w:t>radacja środowiska,</w:t>
      </w:r>
      <w:r w:rsidR="00062BFA" w:rsidRPr="004F6DAA">
        <w:rPr>
          <w:noProof/>
        </w:rPr>
        <w:t xml:space="preserve"> w</w:t>
      </w:r>
      <w:r w:rsidR="00062BFA">
        <w:rPr>
          <w:noProof/>
        </w:rPr>
        <w:t> </w:t>
      </w:r>
      <w:r w:rsidR="00062BFA" w:rsidRPr="004F6DAA">
        <w:rPr>
          <w:noProof/>
        </w:rPr>
        <w:t>poł</w:t>
      </w:r>
      <w:r w:rsidR="008E648C" w:rsidRPr="004F6DAA">
        <w:rPr>
          <w:noProof/>
        </w:rPr>
        <w:t>ączeniu</w:t>
      </w:r>
      <w:r w:rsidR="00062BFA" w:rsidRPr="004F6DAA">
        <w:rPr>
          <w:noProof/>
        </w:rPr>
        <w:t xml:space="preserve"> z</w:t>
      </w:r>
      <w:r w:rsidR="00062BFA">
        <w:rPr>
          <w:noProof/>
        </w:rPr>
        <w:t> </w:t>
      </w:r>
      <w:r w:rsidR="00062BFA" w:rsidRPr="004F6DAA">
        <w:rPr>
          <w:noProof/>
        </w:rPr>
        <w:t>nam</w:t>
      </w:r>
      <w:r w:rsidR="008E648C" w:rsidRPr="004F6DAA">
        <w:rPr>
          <w:noProof/>
        </w:rPr>
        <w:t>acalnymi przykładami ich niszczących skutków dla przyrody, warunków życia ludzi</w:t>
      </w:r>
      <w:r w:rsidR="00062BFA" w:rsidRPr="004F6DAA">
        <w:rPr>
          <w:noProof/>
        </w:rPr>
        <w:t xml:space="preserve"> i</w:t>
      </w:r>
      <w:r w:rsidR="00062BFA">
        <w:rPr>
          <w:noProof/>
        </w:rPr>
        <w:t> </w:t>
      </w:r>
      <w:r w:rsidR="00062BFA" w:rsidRPr="004F6DAA">
        <w:rPr>
          <w:noProof/>
        </w:rPr>
        <w:t>lok</w:t>
      </w:r>
      <w:r w:rsidR="008E648C" w:rsidRPr="004F6DAA">
        <w:rPr>
          <w:noProof/>
        </w:rPr>
        <w:t>alnych gospodarek, doprowadziły do uznania zielonej transformacji za decydujący cel naszych czasów</w:t>
      </w:r>
      <w:r w:rsidR="00062BFA" w:rsidRPr="004F6DAA">
        <w:rPr>
          <w:noProof/>
        </w:rPr>
        <w:t xml:space="preserve"> i</w:t>
      </w:r>
      <w:r w:rsidR="00062BFA">
        <w:rPr>
          <w:noProof/>
        </w:rPr>
        <w:t> </w:t>
      </w:r>
      <w:r w:rsidR="00062BFA" w:rsidRPr="004F6DAA">
        <w:rPr>
          <w:noProof/>
        </w:rPr>
        <w:t>kwe</w:t>
      </w:r>
      <w:r w:rsidR="008E648C" w:rsidRPr="004F6DAA">
        <w:rPr>
          <w:noProof/>
        </w:rPr>
        <w:t xml:space="preserve">stię sprawiedliwości międzypokoleniowej. </w:t>
      </w:r>
    </w:p>
    <w:p w14:paraId="460B7C58" w14:textId="77777777" w:rsidR="008E648C" w:rsidRPr="004F6DAA" w:rsidRDefault="007B7EB7" w:rsidP="007B7EB7">
      <w:pPr>
        <w:pStyle w:val="ManualConsidrant"/>
        <w:rPr>
          <w:noProof/>
        </w:rPr>
      </w:pPr>
      <w:r w:rsidRPr="007B7EB7">
        <w:t>(7)</w:t>
      </w:r>
      <w:r w:rsidRPr="007B7EB7">
        <w:tab/>
      </w:r>
      <w:r w:rsidR="008E648C" w:rsidRPr="004F6DAA">
        <w:rPr>
          <w:noProof/>
        </w:rPr>
        <w:t>Konsumpcja</w:t>
      </w:r>
      <w:r w:rsidR="00062BFA" w:rsidRPr="004F6DAA">
        <w:rPr>
          <w:noProof/>
        </w:rPr>
        <w:t xml:space="preserve"> w</w:t>
      </w:r>
      <w:r w:rsidR="00062BFA">
        <w:rPr>
          <w:noProof/>
        </w:rPr>
        <w:t> </w:t>
      </w:r>
      <w:r w:rsidR="00062BFA" w:rsidRPr="004F6DAA">
        <w:rPr>
          <w:noProof/>
        </w:rPr>
        <w:t>Uni</w:t>
      </w:r>
      <w:r w:rsidR="008E648C" w:rsidRPr="004F6DAA">
        <w:rPr>
          <w:noProof/>
        </w:rPr>
        <w:t>i jest istotnym czynnikiem powodującym wylesianie</w:t>
      </w:r>
      <w:r w:rsidR="00062BFA" w:rsidRPr="004F6DAA">
        <w:rPr>
          <w:noProof/>
        </w:rPr>
        <w:t xml:space="preserve"> i</w:t>
      </w:r>
      <w:r w:rsidR="00062BFA">
        <w:rPr>
          <w:noProof/>
        </w:rPr>
        <w:t> </w:t>
      </w:r>
      <w:r w:rsidR="00062BFA" w:rsidRPr="004F6DAA">
        <w:rPr>
          <w:noProof/>
        </w:rPr>
        <w:t>deg</w:t>
      </w:r>
      <w:r w:rsidR="008E648C" w:rsidRPr="004F6DAA">
        <w:rPr>
          <w:noProof/>
        </w:rPr>
        <w:t>radację lasów</w:t>
      </w:r>
      <w:r w:rsidR="00062BFA" w:rsidRPr="004F6DAA">
        <w:rPr>
          <w:noProof/>
        </w:rPr>
        <w:t xml:space="preserve"> w</w:t>
      </w:r>
      <w:r w:rsidR="00062BFA">
        <w:rPr>
          <w:noProof/>
        </w:rPr>
        <w:t> </w:t>
      </w:r>
      <w:r w:rsidR="00062BFA" w:rsidRPr="004F6DAA">
        <w:rPr>
          <w:noProof/>
        </w:rPr>
        <w:t>ska</w:t>
      </w:r>
      <w:r w:rsidR="008E648C" w:rsidRPr="004F6DAA">
        <w:rPr>
          <w:noProof/>
        </w:rPr>
        <w:t>li globalnej</w:t>
      </w:r>
      <w:r w:rsidR="00062BFA" w:rsidRPr="004F6DAA">
        <w:rPr>
          <w:noProof/>
        </w:rPr>
        <w:t>. W</w:t>
      </w:r>
      <w:r w:rsidR="00062BFA">
        <w:rPr>
          <w:noProof/>
        </w:rPr>
        <w:t> </w:t>
      </w:r>
      <w:r w:rsidR="00062BFA" w:rsidRPr="004F6DAA">
        <w:rPr>
          <w:noProof/>
        </w:rPr>
        <w:t>oce</w:t>
      </w:r>
      <w:r w:rsidR="008E648C" w:rsidRPr="004F6DAA">
        <w:rPr>
          <w:noProof/>
        </w:rPr>
        <w:t>nie skutków inicjatywy oszacowano, że bez odpowiedniej interwencji regulacyjnej konsumpcja</w:t>
      </w:r>
      <w:r w:rsidR="00062BFA" w:rsidRPr="004F6DAA">
        <w:rPr>
          <w:noProof/>
        </w:rPr>
        <w:t xml:space="preserve"> i</w:t>
      </w:r>
      <w:r w:rsidR="00062BFA">
        <w:rPr>
          <w:noProof/>
        </w:rPr>
        <w:t> </w:t>
      </w:r>
      <w:r w:rsidR="00062BFA" w:rsidRPr="004F6DAA">
        <w:rPr>
          <w:noProof/>
        </w:rPr>
        <w:t>pro</w:t>
      </w:r>
      <w:r w:rsidR="008E648C" w:rsidRPr="004F6DAA">
        <w:rPr>
          <w:noProof/>
        </w:rPr>
        <w:t>dukcja w UE sześciu towarów objętych zakresem inicjatywy (drewna, bydła, soi, oleju palmowego, kakao</w:t>
      </w:r>
      <w:r w:rsidR="00062BFA" w:rsidRPr="004F6DAA">
        <w:rPr>
          <w:noProof/>
        </w:rPr>
        <w:t xml:space="preserve"> i</w:t>
      </w:r>
      <w:r w:rsidR="00062BFA">
        <w:rPr>
          <w:noProof/>
        </w:rPr>
        <w:t> </w:t>
      </w:r>
      <w:r w:rsidR="00062BFA" w:rsidRPr="004F6DAA">
        <w:rPr>
          <w:noProof/>
        </w:rPr>
        <w:t>kaw</w:t>
      </w:r>
      <w:r w:rsidR="008E648C" w:rsidRPr="004F6DAA">
        <w:rPr>
          <w:noProof/>
        </w:rPr>
        <w:t xml:space="preserve">y) spowoduje </w:t>
      </w:r>
      <w:r w:rsidR="008E648C" w:rsidRPr="00062BFA">
        <w:rPr>
          <w:noProof/>
        </w:rPr>
        <w:t>do</w:t>
      </w:r>
      <w:r w:rsidR="00062BFA" w:rsidRPr="00062BFA">
        <w:rPr>
          <w:noProof/>
        </w:rPr>
        <w:t> </w:t>
      </w:r>
      <w:r w:rsidR="008E648C" w:rsidRPr="00062BFA">
        <w:rPr>
          <w:noProof/>
        </w:rPr>
        <w:t>2</w:t>
      </w:r>
      <w:r w:rsidR="008E648C" w:rsidRPr="004F6DAA">
        <w:rPr>
          <w:noProof/>
        </w:rPr>
        <w:t>0</w:t>
      </w:r>
      <w:r w:rsidR="008E648C" w:rsidRPr="00062BFA">
        <w:rPr>
          <w:noProof/>
        </w:rPr>
        <w:t>30</w:t>
      </w:r>
      <w:r w:rsidR="00062BFA" w:rsidRPr="00062BFA">
        <w:rPr>
          <w:noProof/>
        </w:rPr>
        <w:t> </w:t>
      </w:r>
      <w:r w:rsidR="008E648C" w:rsidRPr="00062BFA">
        <w:rPr>
          <w:noProof/>
        </w:rPr>
        <w:t>r.</w:t>
      </w:r>
      <w:r w:rsidR="008E648C" w:rsidRPr="004F6DAA">
        <w:rPr>
          <w:noProof/>
        </w:rPr>
        <w:t xml:space="preserve"> wzrost do około 248 000 hektarów wylesionych obszarów rocznie. </w:t>
      </w:r>
    </w:p>
    <w:p w14:paraId="41AE0EEA" w14:textId="77777777" w:rsidR="008E648C" w:rsidRPr="004F6DAA" w:rsidRDefault="007B7EB7" w:rsidP="007B7EB7">
      <w:pPr>
        <w:pStyle w:val="ManualConsidrant"/>
        <w:rPr>
          <w:noProof/>
        </w:rPr>
      </w:pPr>
      <w:r w:rsidRPr="007B7EB7">
        <w:t>(8)</w:t>
      </w:r>
      <w:r w:rsidRPr="007B7EB7">
        <w:tab/>
      </w:r>
      <w:r w:rsidR="008E648C" w:rsidRPr="004F6DAA">
        <w:rPr>
          <w:noProof/>
        </w:rPr>
        <w:t>Jeśli chodzi</w:t>
      </w:r>
      <w:r w:rsidR="00062BFA" w:rsidRPr="004F6DAA">
        <w:rPr>
          <w:noProof/>
        </w:rPr>
        <w:t xml:space="preserve"> o</w:t>
      </w:r>
      <w:r w:rsidR="00062BFA">
        <w:rPr>
          <w:noProof/>
        </w:rPr>
        <w:t> </w:t>
      </w:r>
      <w:r w:rsidR="00062BFA" w:rsidRPr="004F6DAA">
        <w:rPr>
          <w:noProof/>
        </w:rPr>
        <w:t>syt</w:t>
      </w:r>
      <w:r w:rsidR="008E648C" w:rsidRPr="004F6DAA">
        <w:rPr>
          <w:noProof/>
        </w:rPr>
        <w:t>uację lasów w UE,</w:t>
      </w:r>
      <w:r w:rsidR="00062BFA" w:rsidRPr="004F6DAA">
        <w:rPr>
          <w:noProof/>
        </w:rPr>
        <w:t xml:space="preserve"> w</w:t>
      </w:r>
      <w:r w:rsidR="00062BFA">
        <w:rPr>
          <w:noProof/>
        </w:rPr>
        <w:t> </w:t>
      </w:r>
      <w:r w:rsidR="00062BFA" w:rsidRPr="004F6DAA">
        <w:rPr>
          <w:noProof/>
        </w:rPr>
        <w:t>spr</w:t>
      </w:r>
      <w:r w:rsidR="008E648C" w:rsidRPr="004F6DAA">
        <w:rPr>
          <w:noProof/>
        </w:rPr>
        <w:t>awozdaniu „Stan lasów Europy</w:t>
      </w:r>
      <w:r w:rsidR="00062BFA" w:rsidRPr="004F6DAA">
        <w:rPr>
          <w:noProof/>
        </w:rPr>
        <w:t xml:space="preserve"> w</w:t>
      </w:r>
      <w:r w:rsidR="00062BFA">
        <w:rPr>
          <w:noProof/>
        </w:rPr>
        <w:t> </w:t>
      </w:r>
      <w:r w:rsidR="00062BFA" w:rsidRPr="004F6DAA">
        <w:rPr>
          <w:noProof/>
        </w:rPr>
        <w:t>2</w:t>
      </w:r>
      <w:r w:rsidR="008E648C" w:rsidRPr="004F6DAA">
        <w:rPr>
          <w:noProof/>
        </w:rPr>
        <w:t>0</w:t>
      </w:r>
      <w:r w:rsidR="008E648C" w:rsidRPr="00062BFA">
        <w:rPr>
          <w:noProof/>
        </w:rPr>
        <w:t>20</w:t>
      </w:r>
      <w:r w:rsidR="00062BFA" w:rsidRPr="00062BFA">
        <w:rPr>
          <w:noProof/>
        </w:rPr>
        <w:t> </w:t>
      </w:r>
      <w:r w:rsidR="008E648C" w:rsidRPr="00062BFA">
        <w:rPr>
          <w:noProof/>
        </w:rPr>
        <w:t>r.</w:t>
      </w:r>
      <w:r w:rsidR="008E648C" w:rsidRPr="004F6DAA">
        <w:rPr>
          <w:noProof/>
        </w:rPr>
        <w:t>”</w:t>
      </w:r>
      <w:r w:rsidR="008E648C" w:rsidRPr="004F6DAA">
        <w:rPr>
          <w:rStyle w:val="Odwoanieprzypisudolnego"/>
          <w:noProof/>
        </w:rPr>
        <w:footnoteReference w:id="21"/>
      </w:r>
      <w:r w:rsidR="008E648C" w:rsidRPr="004F6DAA">
        <w:rPr>
          <w:noProof/>
        </w:rPr>
        <w:t xml:space="preserve"> stwierdzono, że</w:t>
      </w:r>
      <w:r w:rsidR="00062BFA" w:rsidRPr="004F6DAA">
        <w:rPr>
          <w:noProof/>
        </w:rPr>
        <w:t xml:space="preserve"> w</w:t>
      </w:r>
      <w:r w:rsidR="00062BFA">
        <w:rPr>
          <w:noProof/>
        </w:rPr>
        <w:t> </w:t>
      </w:r>
      <w:r w:rsidR="00062BFA" w:rsidRPr="004F6DAA">
        <w:rPr>
          <w:noProof/>
        </w:rPr>
        <w:t>lat</w:t>
      </w:r>
      <w:r w:rsidR="008E648C" w:rsidRPr="004F6DAA">
        <w:rPr>
          <w:noProof/>
        </w:rPr>
        <w:t>ach 1990–2020 powierzchnia lasów</w:t>
      </w:r>
      <w:r w:rsidR="00062BFA" w:rsidRPr="004F6DAA">
        <w:rPr>
          <w:noProof/>
        </w:rPr>
        <w:t xml:space="preserve"> w</w:t>
      </w:r>
      <w:r w:rsidR="00062BFA">
        <w:rPr>
          <w:noProof/>
        </w:rPr>
        <w:t> </w:t>
      </w:r>
      <w:r w:rsidR="00062BFA" w:rsidRPr="004F6DAA">
        <w:rPr>
          <w:noProof/>
        </w:rPr>
        <w:t>Eur</w:t>
      </w:r>
      <w:r w:rsidR="008E648C" w:rsidRPr="004F6DAA">
        <w:rPr>
          <w:noProof/>
        </w:rPr>
        <w:t>opie zwiększyła się</w:t>
      </w:r>
      <w:r w:rsidR="00062BFA" w:rsidRPr="004F6DAA">
        <w:rPr>
          <w:noProof/>
        </w:rPr>
        <w:t xml:space="preserve"> o</w:t>
      </w:r>
      <w:r w:rsidR="00062BFA">
        <w:rPr>
          <w:noProof/>
        </w:rPr>
        <w:t> </w:t>
      </w:r>
      <w:r w:rsidR="00062BFA" w:rsidRPr="00062BFA">
        <w:rPr>
          <w:noProof/>
        </w:rPr>
        <w:t>9 </w:t>
      </w:r>
      <w:r w:rsidR="008E648C" w:rsidRPr="00062BFA">
        <w:rPr>
          <w:noProof/>
        </w:rPr>
        <w:t>%</w:t>
      </w:r>
      <w:r w:rsidR="008E648C" w:rsidRPr="004F6DAA">
        <w:rPr>
          <w:noProof/>
        </w:rPr>
        <w:t>, ilość dwutlenku węgla składowanego</w:t>
      </w:r>
      <w:r w:rsidR="00062BFA" w:rsidRPr="004F6DAA">
        <w:rPr>
          <w:noProof/>
        </w:rPr>
        <w:t xml:space="preserve"> w</w:t>
      </w:r>
      <w:r w:rsidR="00062BFA">
        <w:rPr>
          <w:noProof/>
        </w:rPr>
        <w:t> </w:t>
      </w:r>
      <w:r w:rsidR="00062BFA" w:rsidRPr="004F6DAA">
        <w:rPr>
          <w:noProof/>
        </w:rPr>
        <w:t>bio</w:t>
      </w:r>
      <w:r w:rsidR="008E648C" w:rsidRPr="004F6DAA">
        <w:rPr>
          <w:noProof/>
        </w:rPr>
        <w:t>masie wzrosła</w:t>
      </w:r>
      <w:r w:rsidR="00062BFA" w:rsidRPr="004F6DAA">
        <w:rPr>
          <w:noProof/>
        </w:rPr>
        <w:t xml:space="preserve"> o</w:t>
      </w:r>
      <w:r w:rsidR="00062BFA">
        <w:rPr>
          <w:noProof/>
        </w:rPr>
        <w:t> </w:t>
      </w:r>
      <w:r w:rsidR="00062BFA" w:rsidRPr="004F6DAA">
        <w:rPr>
          <w:noProof/>
        </w:rPr>
        <w:t>5</w:t>
      </w:r>
      <w:r w:rsidR="008E648C" w:rsidRPr="00062BFA">
        <w:rPr>
          <w:noProof/>
        </w:rPr>
        <w:t>0</w:t>
      </w:r>
      <w:r w:rsidR="00062BFA" w:rsidRPr="00062BFA">
        <w:rPr>
          <w:noProof/>
        </w:rPr>
        <w:t> </w:t>
      </w:r>
      <w:r w:rsidR="008E648C" w:rsidRPr="00062BFA">
        <w:rPr>
          <w:noProof/>
        </w:rPr>
        <w:t>%</w:t>
      </w:r>
      <w:r w:rsidR="008E648C" w:rsidRPr="004F6DAA">
        <w:rPr>
          <w:noProof/>
        </w:rPr>
        <w:t>,</w:t>
      </w:r>
      <w:r w:rsidR="00062BFA" w:rsidRPr="004F6DAA">
        <w:rPr>
          <w:noProof/>
        </w:rPr>
        <w:t xml:space="preserve"> a</w:t>
      </w:r>
      <w:r w:rsidR="00062BFA">
        <w:rPr>
          <w:noProof/>
        </w:rPr>
        <w:t> </w:t>
      </w:r>
      <w:r w:rsidR="00062BFA" w:rsidRPr="004F6DAA">
        <w:rPr>
          <w:noProof/>
        </w:rPr>
        <w:t>pod</w:t>
      </w:r>
      <w:r w:rsidR="008E648C" w:rsidRPr="004F6DAA">
        <w:rPr>
          <w:noProof/>
        </w:rPr>
        <w:t>aż drewna wzrosła</w:t>
      </w:r>
      <w:r w:rsidR="00062BFA" w:rsidRPr="004F6DAA">
        <w:rPr>
          <w:noProof/>
        </w:rPr>
        <w:t xml:space="preserve"> o</w:t>
      </w:r>
      <w:r w:rsidR="00062BFA">
        <w:rPr>
          <w:noProof/>
        </w:rPr>
        <w:t> </w:t>
      </w:r>
      <w:r w:rsidR="00062BFA" w:rsidRPr="004F6DAA">
        <w:rPr>
          <w:noProof/>
        </w:rPr>
        <w:t>4</w:t>
      </w:r>
      <w:r w:rsidR="008E648C" w:rsidRPr="00062BFA">
        <w:rPr>
          <w:noProof/>
        </w:rPr>
        <w:t>0</w:t>
      </w:r>
      <w:r w:rsidR="00062BFA" w:rsidRPr="00062BFA">
        <w:rPr>
          <w:noProof/>
        </w:rPr>
        <w:t> </w:t>
      </w:r>
      <w:r w:rsidR="008E648C" w:rsidRPr="00062BFA">
        <w:rPr>
          <w:noProof/>
        </w:rPr>
        <w:t>%</w:t>
      </w:r>
      <w:r w:rsidR="008E648C" w:rsidRPr="004F6DAA">
        <w:rPr>
          <w:noProof/>
        </w:rPr>
        <w:t>. Według sprawozdania Europejskiej Agencji Środowiska „Stan środowiska</w:t>
      </w:r>
      <w:r w:rsidR="00062BFA" w:rsidRPr="004F6DAA">
        <w:rPr>
          <w:noProof/>
        </w:rPr>
        <w:t xml:space="preserve"> w</w:t>
      </w:r>
      <w:r w:rsidR="00062BFA">
        <w:rPr>
          <w:noProof/>
        </w:rPr>
        <w:t> </w:t>
      </w:r>
      <w:r w:rsidR="00062BFA" w:rsidRPr="004F6DAA">
        <w:rPr>
          <w:noProof/>
        </w:rPr>
        <w:t>2</w:t>
      </w:r>
      <w:r w:rsidR="008E648C" w:rsidRPr="004F6DAA">
        <w:rPr>
          <w:noProof/>
        </w:rPr>
        <w:t>0</w:t>
      </w:r>
      <w:r w:rsidR="008E648C" w:rsidRPr="00062BFA">
        <w:rPr>
          <w:noProof/>
        </w:rPr>
        <w:t>20</w:t>
      </w:r>
      <w:r w:rsidR="00062BFA" w:rsidRPr="00062BFA">
        <w:rPr>
          <w:noProof/>
        </w:rPr>
        <w:t> </w:t>
      </w:r>
      <w:r w:rsidR="008E648C" w:rsidRPr="00062BFA">
        <w:rPr>
          <w:noProof/>
        </w:rPr>
        <w:t>r.</w:t>
      </w:r>
      <w:r w:rsidR="008E648C" w:rsidRPr="004F6DAA">
        <w:rPr>
          <w:noProof/>
        </w:rPr>
        <w:t xml:space="preserve">” mniej niż </w:t>
      </w:r>
      <w:r w:rsidR="008E648C" w:rsidRPr="00062BFA">
        <w:rPr>
          <w:noProof/>
        </w:rPr>
        <w:t>5</w:t>
      </w:r>
      <w:r w:rsidR="00062BFA" w:rsidRPr="00062BFA">
        <w:rPr>
          <w:noProof/>
        </w:rPr>
        <w:t> </w:t>
      </w:r>
      <w:r w:rsidR="008E648C" w:rsidRPr="00062BFA">
        <w:rPr>
          <w:noProof/>
        </w:rPr>
        <w:t>%</w:t>
      </w:r>
      <w:r w:rsidR="008E648C" w:rsidRPr="004F6DAA">
        <w:rPr>
          <w:noProof/>
        </w:rPr>
        <w:t xml:space="preserve"> europejskich obszarów leśnych uznaje się jednak za niezakłócone ludzką działalnością lub naturalne</w:t>
      </w:r>
      <w:r w:rsidR="008E648C" w:rsidRPr="004F6DAA">
        <w:rPr>
          <w:rStyle w:val="Odwoanieprzypisudolnego"/>
          <w:noProof/>
        </w:rPr>
        <w:footnoteReference w:id="22"/>
      </w:r>
      <w:r w:rsidR="008E648C" w:rsidRPr="004F6DAA">
        <w:rPr>
          <w:noProof/>
        </w:rPr>
        <w:t>.</w:t>
      </w:r>
    </w:p>
    <w:p w14:paraId="4D7F03C5" w14:textId="77777777" w:rsidR="008E648C" w:rsidRPr="004F6DAA" w:rsidRDefault="007B7EB7" w:rsidP="007B7EB7">
      <w:pPr>
        <w:pStyle w:val="ManualConsidrant"/>
        <w:rPr>
          <w:noProof/>
        </w:rPr>
      </w:pPr>
      <w:r w:rsidRPr="007B7EB7">
        <w:t>(9)</w:t>
      </w:r>
      <w:r w:rsidRPr="007B7EB7">
        <w:tab/>
      </w:r>
      <w:r w:rsidR="008E648C" w:rsidRPr="004F6DAA">
        <w:rPr>
          <w:noProof/>
        </w:rPr>
        <w:t>W 20</w:t>
      </w:r>
      <w:r w:rsidR="008E648C" w:rsidRPr="00062BFA">
        <w:rPr>
          <w:noProof/>
        </w:rPr>
        <w:t>19</w:t>
      </w:r>
      <w:r w:rsidR="00062BFA" w:rsidRPr="00062BFA">
        <w:rPr>
          <w:noProof/>
        </w:rPr>
        <w:t> </w:t>
      </w:r>
      <w:r w:rsidR="008E648C" w:rsidRPr="00062BFA">
        <w:rPr>
          <w:noProof/>
        </w:rPr>
        <w:t>r.</w:t>
      </w:r>
      <w:r w:rsidR="008E648C" w:rsidRPr="004F6DAA">
        <w:rPr>
          <w:noProof/>
        </w:rPr>
        <w:t xml:space="preserve"> Komisja przyjęła szereg inicjatyw mających na celu zaradzenie kryzysowi środowiskowemu na świecie,</w:t>
      </w:r>
      <w:r w:rsidR="00062BFA" w:rsidRPr="004F6DAA">
        <w:rPr>
          <w:noProof/>
        </w:rPr>
        <w:t xml:space="preserve"> w</w:t>
      </w:r>
      <w:r w:rsidR="00062BFA">
        <w:rPr>
          <w:noProof/>
        </w:rPr>
        <w:t> </w:t>
      </w:r>
      <w:r w:rsidR="00062BFA" w:rsidRPr="004F6DAA">
        <w:rPr>
          <w:noProof/>
        </w:rPr>
        <w:t>tym</w:t>
      </w:r>
      <w:r w:rsidR="008E648C" w:rsidRPr="004F6DAA">
        <w:rPr>
          <w:noProof/>
        </w:rPr>
        <w:t xml:space="preserve"> konkretne działania przeciwdziałające wylesianiu</w:t>
      </w:r>
      <w:r w:rsidR="00062BFA" w:rsidRPr="004F6DAA">
        <w:rPr>
          <w:noProof/>
        </w:rPr>
        <w:t>. W</w:t>
      </w:r>
      <w:r w:rsidR="00062BFA">
        <w:rPr>
          <w:noProof/>
        </w:rPr>
        <w:t> </w:t>
      </w:r>
      <w:r w:rsidR="00062BFA" w:rsidRPr="004F6DAA">
        <w:rPr>
          <w:noProof/>
        </w:rPr>
        <w:t>swo</w:t>
      </w:r>
      <w:r w:rsidR="008E648C" w:rsidRPr="004F6DAA">
        <w:rPr>
          <w:noProof/>
        </w:rPr>
        <w:t>im komunikacie pt. „Zintensyfikowanie działań UE na rzecz ochrony</w:t>
      </w:r>
      <w:r w:rsidR="00062BFA" w:rsidRPr="004F6DAA">
        <w:rPr>
          <w:noProof/>
        </w:rPr>
        <w:t xml:space="preserve"> i</w:t>
      </w:r>
      <w:r w:rsidR="00062BFA">
        <w:rPr>
          <w:noProof/>
        </w:rPr>
        <w:t> </w:t>
      </w:r>
      <w:r w:rsidR="00062BFA" w:rsidRPr="004F6DAA">
        <w:rPr>
          <w:noProof/>
        </w:rPr>
        <w:t>odt</w:t>
      </w:r>
      <w:r w:rsidR="008E648C" w:rsidRPr="004F6DAA">
        <w:rPr>
          <w:noProof/>
        </w:rPr>
        <w:t>warzania światowych lasów”</w:t>
      </w:r>
      <w:r w:rsidR="008E648C" w:rsidRPr="004F6DAA">
        <w:rPr>
          <w:rStyle w:val="Odwoanieprzypisudolnego"/>
          <w:noProof/>
          <w:szCs w:val="24"/>
        </w:rPr>
        <w:footnoteReference w:id="23"/>
      </w:r>
      <w:r w:rsidR="008E648C" w:rsidRPr="004F6DAA">
        <w:rPr>
          <w:noProof/>
        </w:rPr>
        <w:t xml:space="preserve"> Komisja wskazała jako priorytet zmniejszenie unijnego śladu gruntowego związanego</w:t>
      </w:r>
      <w:r w:rsidR="00062BFA" w:rsidRPr="004F6DAA">
        <w:rPr>
          <w:noProof/>
        </w:rPr>
        <w:t xml:space="preserve"> z</w:t>
      </w:r>
      <w:r w:rsidR="00062BFA">
        <w:rPr>
          <w:noProof/>
        </w:rPr>
        <w:t> </w:t>
      </w:r>
      <w:r w:rsidR="00062BFA" w:rsidRPr="004F6DAA">
        <w:rPr>
          <w:noProof/>
        </w:rPr>
        <w:t>kon</w:t>
      </w:r>
      <w:r w:rsidR="008E648C" w:rsidRPr="004F6DAA">
        <w:rPr>
          <w:noProof/>
        </w:rPr>
        <w:t>sumpcją</w:t>
      </w:r>
      <w:r w:rsidR="00062BFA" w:rsidRPr="004F6DAA">
        <w:rPr>
          <w:noProof/>
        </w:rPr>
        <w:t xml:space="preserve"> i</w:t>
      </w:r>
      <w:r w:rsidR="00062BFA">
        <w:rPr>
          <w:noProof/>
        </w:rPr>
        <w:t> </w:t>
      </w:r>
      <w:r w:rsidR="00062BFA" w:rsidRPr="004F6DAA">
        <w:rPr>
          <w:noProof/>
        </w:rPr>
        <w:t>zac</w:t>
      </w:r>
      <w:r w:rsidR="008E648C" w:rsidRPr="004F6DAA">
        <w:rPr>
          <w:noProof/>
        </w:rPr>
        <w:t>hęcanie do konsumpcji</w:t>
      </w:r>
      <w:r w:rsidR="00062BFA" w:rsidRPr="004F6DAA">
        <w:rPr>
          <w:noProof/>
        </w:rPr>
        <w:t xml:space="preserve"> w</w:t>
      </w:r>
      <w:r w:rsidR="00062BFA">
        <w:rPr>
          <w:noProof/>
        </w:rPr>
        <w:t> </w:t>
      </w:r>
      <w:r w:rsidR="00062BFA" w:rsidRPr="004F6DAA">
        <w:rPr>
          <w:noProof/>
        </w:rPr>
        <w:t>Uni</w:t>
      </w:r>
      <w:r w:rsidR="008E648C" w:rsidRPr="004F6DAA">
        <w:rPr>
          <w:noProof/>
        </w:rPr>
        <w:t>i produktów</w:t>
      </w:r>
      <w:r w:rsidR="00062BFA" w:rsidRPr="004F6DAA">
        <w:rPr>
          <w:noProof/>
        </w:rPr>
        <w:t xml:space="preserve"> z</w:t>
      </w:r>
      <w:r w:rsidR="00062BFA">
        <w:rPr>
          <w:noProof/>
        </w:rPr>
        <w:t> </w:t>
      </w:r>
      <w:r w:rsidR="00062BFA" w:rsidRPr="004F6DAA">
        <w:rPr>
          <w:noProof/>
        </w:rPr>
        <w:t>łań</w:t>
      </w:r>
      <w:r w:rsidR="008E648C" w:rsidRPr="004F6DAA">
        <w:rPr>
          <w:noProof/>
        </w:rPr>
        <w:t>cuchów dostaw niepowodujących wylesiania</w:t>
      </w:r>
      <w:r w:rsidR="00062BFA" w:rsidRPr="004F6DAA">
        <w:rPr>
          <w:noProof/>
        </w:rPr>
        <w:t>. W</w:t>
      </w:r>
      <w:r w:rsidR="00062BFA">
        <w:rPr>
          <w:noProof/>
        </w:rPr>
        <w:t> </w:t>
      </w:r>
      <w:r w:rsidR="00062BFA" w:rsidRPr="004F6DAA">
        <w:rPr>
          <w:noProof/>
        </w:rPr>
        <w:t>kom</w:t>
      </w:r>
      <w:r w:rsidR="008E648C" w:rsidRPr="004F6DAA">
        <w:rPr>
          <w:noProof/>
        </w:rPr>
        <w:t>unikacie</w:t>
      </w:r>
      <w:r w:rsidR="00062BFA" w:rsidRPr="004F6DAA">
        <w:rPr>
          <w:noProof/>
        </w:rPr>
        <w:t xml:space="preserve"> z</w:t>
      </w:r>
      <w:r w:rsidR="00062BFA">
        <w:rPr>
          <w:noProof/>
        </w:rPr>
        <w:t> </w:t>
      </w:r>
      <w:r w:rsidR="00062BFA" w:rsidRPr="004F6DAA">
        <w:rPr>
          <w:noProof/>
        </w:rPr>
        <w:t>dni</w:t>
      </w:r>
      <w:r w:rsidR="008E648C" w:rsidRPr="004F6DAA">
        <w:rPr>
          <w:noProof/>
        </w:rPr>
        <w:t>a 11 grudnia 20</w:t>
      </w:r>
      <w:r w:rsidR="008E648C" w:rsidRPr="00062BFA">
        <w:rPr>
          <w:noProof/>
        </w:rPr>
        <w:t>19</w:t>
      </w:r>
      <w:r w:rsidR="00062BFA" w:rsidRPr="00062BFA">
        <w:rPr>
          <w:noProof/>
        </w:rPr>
        <w:t> </w:t>
      </w:r>
      <w:r w:rsidR="008E648C" w:rsidRPr="00062BFA">
        <w:rPr>
          <w:noProof/>
        </w:rPr>
        <w:t>r.</w:t>
      </w:r>
      <w:r w:rsidR="008E648C" w:rsidRPr="004F6DAA">
        <w:rPr>
          <w:noProof/>
        </w:rPr>
        <w:t xml:space="preserve"> zatytułowanym „Europejski Zielony Ład”</w:t>
      </w:r>
      <w:r w:rsidR="008E648C" w:rsidRPr="004F6DAA">
        <w:rPr>
          <w:rStyle w:val="Odwoanieprzypisudolnego"/>
          <w:noProof/>
          <w:szCs w:val="24"/>
        </w:rPr>
        <w:footnoteReference w:id="24"/>
      </w:r>
      <w:r w:rsidR="008E648C" w:rsidRPr="004F6DAA">
        <w:rPr>
          <w:noProof/>
        </w:rPr>
        <w:t xml:space="preserve"> Komisja przedstawiła nową strategię na rzecz wzrostu gospodarczego, której celem jest przekształcenie Unii</w:t>
      </w:r>
      <w:r w:rsidR="00062BFA" w:rsidRPr="004F6DAA">
        <w:rPr>
          <w:noProof/>
        </w:rPr>
        <w:t xml:space="preserve"> w</w:t>
      </w:r>
      <w:r w:rsidR="00062BFA">
        <w:rPr>
          <w:noProof/>
        </w:rPr>
        <w:t> </w:t>
      </w:r>
      <w:r w:rsidR="00062BFA" w:rsidRPr="004F6DAA">
        <w:rPr>
          <w:noProof/>
        </w:rPr>
        <w:t>spr</w:t>
      </w:r>
      <w:r w:rsidR="008E648C" w:rsidRPr="004F6DAA">
        <w:rPr>
          <w:noProof/>
        </w:rPr>
        <w:t>awiedliwe</w:t>
      </w:r>
      <w:r w:rsidR="00062BFA" w:rsidRPr="004F6DAA">
        <w:rPr>
          <w:noProof/>
        </w:rPr>
        <w:t xml:space="preserve"> i</w:t>
      </w:r>
      <w:r w:rsidR="00062BFA">
        <w:rPr>
          <w:noProof/>
        </w:rPr>
        <w:t> </w:t>
      </w:r>
      <w:r w:rsidR="00062BFA" w:rsidRPr="004F6DAA">
        <w:rPr>
          <w:noProof/>
        </w:rPr>
        <w:t>pro</w:t>
      </w:r>
      <w:r w:rsidR="008E648C" w:rsidRPr="004F6DAA">
        <w:rPr>
          <w:noProof/>
        </w:rPr>
        <w:t>sperujące społeczeństwo żyjące</w:t>
      </w:r>
      <w:r w:rsidR="00062BFA" w:rsidRPr="004F6DAA">
        <w:rPr>
          <w:noProof/>
        </w:rPr>
        <w:t xml:space="preserve"> w</w:t>
      </w:r>
      <w:r w:rsidR="00062BFA">
        <w:rPr>
          <w:noProof/>
        </w:rPr>
        <w:t> </w:t>
      </w:r>
      <w:r w:rsidR="00062BFA" w:rsidRPr="004F6DAA">
        <w:rPr>
          <w:noProof/>
        </w:rPr>
        <w:t>now</w:t>
      </w:r>
      <w:r w:rsidR="008E648C" w:rsidRPr="004F6DAA">
        <w:rPr>
          <w:noProof/>
        </w:rPr>
        <w:t>oczesnej, zasobooszczędnej</w:t>
      </w:r>
      <w:r w:rsidR="00062BFA" w:rsidRPr="004F6DAA">
        <w:rPr>
          <w:noProof/>
        </w:rPr>
        <w:t xml:space="preserve"> i</w:t>
      </w:r>
      <w:r w:rsidR="00062BFA">
        <w:rPr>
          <w:noProof/>
        </w:rPr>
        <w:t> </w:t>
      </w:r>
      <w:r w:rsidR="00062BFA" w:rsidRPr="004F6DAA">
        <w:rPr>
          <w:noProof/>
        </w:rPr>
        <w:t>kon</w:t>
      </w:r>
      <w:r w:rsidR="008E648C" w:rsidRPr="004F6DAA">
        <w:rPr>
          <w:noProof/>
        </w:rPr>
        <w:t>kurencyjnej gospodarce, która</w:t>
      </w:r>
      <w:r w:rsidR="00062BFA" w:rsidRPr="004F6DAA">
        <w:rPr>
          <w:noProof/>
        </w:rPr>
        <w:t xml:space="preserve"> w</w:t>
      </w:r>
      <w:r w:rsidR="00062BFA">
        <w:rPr>
          <w:noProof/>
        </w:rPr>
        <w:t> </w:t>
      </w:r>
      <w:r w:rsidR="00062BFA" w:rsidRPr="004F6DAA">
        <w:rPr>
          <w:noProof/>
        </w:rPr>
        <w:t>2</w:t>
      </w:r>
      <w:r w:rsidR="008E648C" w:rsidRPr="004F6DAA">
        <w:rPr>
          <w:noProof/>
        </w:rPr>
        <w:t>0</w:t>
      </w:r>
      <w:r w:rsidR="008E648C" w:rsidRPr="00062BFA">
        <w:rPr>
          <w:noProof/>
        </w:rPr>
        <w:t>50</w:t>
      </w:r>
      <w:r w:rsidR="00062BFA" w:rsidRPr="00062BFA">
        <w:rPr>
          <w:noProof/>
        </w:rPr>
        <w:t> </w:t>
      </w:r>
      <w:r w:rsidR="008E648C" w:rsidRPr="00062BFA">
        <w:rPr>
          <w:noProof/>
        </w:rPr>
        <w:t>r.</w:t>
      </w:r>
      <w:r w:rsidR="008E648C" w:rsidRPr="004F6DAA">
        <w:rPr>
          <w:noProof/>
        </w:rPr>
        <w:t xml:space="preserve"> osiągnie zerowy poziom emisji gazów cieplarnianych netto,</w:t>
      </w:r>
      <w:r w:rsidR="00062BFA" w:rsidRPr="004F6DAA">
        <w:rPr>
          <w:noProof/>
        </w:rPr>
        <w:t xml:space="preserve"> w</w:t>
      </w:r>
      <w:r w:rsidR="00062BFA">
        <w:rPr>
          <w:noProof/>
        </w:rPr>
        <w:t> </w:t>
      </w:r>
      <w:r w:rsidR="00062BFA" w:rsidRPr="004F6DAA">
        <w:rPr>
          <w:noProof/>
        </w:rPr>
        <w:t>ram</w:t>
      </w:r>
      <w:r w:rsidR="008E648C" w:rsidRPr="004F6DAA">
        <w:rPr>
          <w:noProof/>
        </w:rPr>
        <w:t>ach której wzrost gospodarczy będzie oddzielony od wykorzystania zasobów naturalnych,</w:t>
      </w:r>
      <w:r w:rsidR="00062BFA" w:rsidRPr="004F6DAA">
        <w:rPr>
          <w:noProof/>
        </w:rPr>
        <w:t xml:space="preserve"> a</w:t>
      </w:r>
      <w:r w:rsidR="00062BFA">
        <w:rPr>
          <w:noProof/>
        </w:rPr>
        <w:t> </w:t>
      </w:r>
      <w:r w:rsidR="00062BFA" w:rsidRPr="004F6DAA">
        <w:rPr>
          <w:noProof/>
        </w:rPr>
        <w:t>żad</w:t>
      </w:r>
      <w:r w:rsidR="008E648C" w:rsidRPr="004F6DAA">
        <w:rPr>
          <w:noProof/>
        </w:rPr>
        <w:t>na osoba ani miejsce nie zostaną pominięte. Jej celem jest również ochrona, zachowanie</w:t>
      </w:r>
      <w:r w:rsidR="00062BFA" w:rsidRPr="004F6DAA">
        <w:rPr>
          <w:noProof/>
        </w:rPr>
        <w:t xml:space="preserve"> i</w:t>
      </w:r>
      <w:r w:rsidR="00062BFA">
        <w:rPr>
          <w:noProof/>
        </w:rPr>
        <w:t> </w:t>
      </w:r>
      <w:r w:rsidR="00062BFA" w:rsidRPr="004F6DAA">
        <w:rPr>
          <w:noProof/>
        </w:rPr>
        <w:t>pop</w:t>
      </w:r>
      <w:r w:rsidR="008E648C" w:rsidRPr="004F6DAA">
        <w:rPr>
          <w:noProof/>
        </w:rPr>
        <w:t>rawa kapitału naturalnego Unii oraz ochrona zdrowia</w:t>
      </w:r>
      <w:r w:rsidR="00062BFA" w:rsidRPr="004F6DAA">
        <w:rPr>
          <w:noProof/>
        </w:rPr>
        <w:t xml:space="preserve"> i</w:t>
      </w:r>
      <w:r w:rsidR="00062BFA">
        <w:rPr>
          <w:noProof/>
        </w:rPr>
        <w:t> </w:t>
      </w:r>
      <w:r w:rsidR="00062BFA" w:rsidRPr="004F6DAA">
        <w:rPr>
          <w:noProof/>
        </w:rPr>
        <w:t>dob</w:t>
      </w:r>
      <w:r w:rsidR="008E648C" w:rsidRPr="004F6DAA">
        <w:rPr>
          <w:noProof/>
        </w:rPr>
        <w:t>rostanu obywateli</w:t>
      </w:r>
      <w:r w:rsidR="00062BFA" w:rsidRPr="004F6DAA">
        <w:rPr>
          <w:noProof/>
        </w:rPr>
        <w:t xml:space="preserve"> i</w:t>
      </w:r>
      <w:r w:rsidR="00062BFA">
        <w:rPr>
          <w:noProof/>
        </w:rPr>
        <w:t> </w:t>
      </w:r>
      <w:r w:rsidR="00062BFA" w:rsidRPr="004F6DAA">
        <w:rPr>
          <w:noProof/>
        </w:rPr>
        <w:t>prz</w:t>
      </w:r>
      <w:r w:rsidR="008E648C" w:rsidRPr="004F6DAA">
        <w:rPr>
          <w:noProof/>
        </w:rPr>
        <w:t>yszłych pokoleń przed zagrożeniami</w:t>
      </w:r>
      <w:r w:rsidR="00062BFA" w:rsidRPr="004F6DAA">
        <w:rPr>
          <w:noProof/>
        </w:rPr>
        <w:t xml:space="preserve"> i</w:t>
      </w:r>
      <w:r w:rsidR="00062BFA">
        <w:rPr>
          <w:noProof/>
        </w:rPr>
        <w:t> </w:t>
      </w:r>
      <w:r w:rsidR="00062BFA" w:rsidRPr="004F6DAA">
        <w:rPr>
          <w:noProof/>
        </w:rPr>
        <w:t>neg</w:t>
      </w:r>
      <w:r w:rsidR="008E648C" w:rsidRPr="004F6DAA">
        <w:rPr>
          <w:noProof/>
        </w:rPr>
        <w:t>atywnymi skutkami związanymi ze środowiskiem. Ponadto celem Europejskiego Zielonego Ładu jest zapewnienie obywatelom</w:t>
      </w:r>
      <w:r w:rsidR="00062BFA" w:rsidRPr="004F6DAA">
        <w:rPr>
          <w:noProof/>
        </w:rPr>
        <w:t xml:space="preserve"> i</w:t>
      </w:r>
      <w:r w:rsidR="00062BFA">
        <w:rPr>
          <w:noProof/>
        </w:rPr>
        <w:t> </w:t>
      </w:r>
      <w:r w:rsidR="00062BFA" w:rsidRPr="004F6DAA">
        <w:rPr>
          <w:noProof/>
        </w:rPr>
        <w:t>prz</w:t>
      </w:r>
      <w:r w:rsidR="008E648C" w:rsidRPr="004F6DAA">
        <w:rPr>
          <w:noProof/>
        </w:rPr>
        <w:t>yszłym pokoleniom m.in. świeżego powietrza, czystej wody, zdrowej gleby</w:t>
      </w:r>
      <w:r w:rsidR="00062BFA" w:rsidRPr="004F6DAA">
        <w:rPr>
          <w:noProof/>
        </w:rPr>
        <w:t xml:space="preserve"> i</w:t>
      </w:r>
      <w:r w:rsidR="00062BFA">
        <w:rPr>
          <w:noProof/>
        </w:rPr>
        <w:t> </w:t>
      </w:r>
      <w:r w:rsidR="00062BFA" w:rsidRPr="004F6DAA">
        <w:rPr>
          <w:noProof/>
        </w:rPr>
        <w:t>róż</w:t>
      </w:r>
      <w:r w:rsidR="008E648C" w:rsidRPr="004F6DAA">
        <w:rPr>
          <w:noProof/>
        </w:rPr>
        <w:t>norodności biologicznej</w:t>
      </w:r>
      <w:r w:rsidR="00062BFA" w:rsidRPr="004F6DAA">
        <w:rPr>
          <w:noProof/>
        </w:rPr>
        <w:t>. W</w:t>
      </w:r>
      <w:r w:rsidR="00062BFA">
        <w:rPr>
          <w:noProof/>
        </w:rPr>
        <w:t> </w:t>
      </w:r>
      <w:r w:rsidR="00062BFA" w:rsidRPr="004F6DAA">
        <w:rPr>
          <w:noProof/>
        </w:rPr>
        <w:t>tym</w:t>
      </w:r>
      <w:r w:rsidR="008E648C" w:rsidRPr="004F6DAA">
        <w:rPr>
          <w:noProof/>
        </w:rPr>
        <w:t xml:space="preserve"> celu</w:t>
      </w:r>
      <w:r w:rsidR="00062BFA" w:rsidRPr="004F6DAA">
        <w:rPr>
          <w:noProof/>
        </w:rPr>
        <w:t xml:space="preserve"> w</w:t>
      </w:r>
      <w:r w:rsidR="00062BFA">
        <w:rPr>
          <w:noProof/>
        </w:rPr>
        <w:t> </w:t>
      </w:r>
      <w:r w:rsidR="00062BFA" w:rsidRPr="004F6DAA">
        <w:rPr>
          <w:noProof/>
        </w:rPr>
        <w:t>uni</w:t>
      </w:r>
      <w:r w:rsidR="008E648C" w:rsidRPr="004F6DAA">
        <w:rPr>
          <w:noProof/>
        </w:rPr>
        <w:t>jnej strategii na rzecz bioróżnorodności 2030</w:t>
      </w:r>
      <w:r w:rsidR="008E648C" w:rsidRPr="004F6DAA">
        <w:rPr>
          <w:rStyle w:val="Odwoanieprzypisudolnego"/>
          <w:noProof/>
        </w:rPr>
        <w:footnoteReference w:id="25"/>
      </w:r>
      <w:r w:rsidR="008E648C" w:rsidRPr="004F6DAA">
        <w:rPr>
          <w:noProof/>
        </w:rPr>
        <w:t>, strategii „Od pola do stołu”</w:t>
      </w:r>
      <w:r w:rsidR="008E648C" w:rsidRPr="004F6DAA">
        <w:rPr>
          <w:rStyle w:val="Odwoanieprzypisudolnego"/>
          <w:noProof/>
        </w:rPr>
        <w:footnoteReference w:id="26"/>
      </w:r>
      <w:r w:rsidR="008E648C" w:rsidRPr="004F6DAA">
        <w:rPr>
          <w:noProof/>
        </w:rPr>
        <w:t>, strategii leśnej UE</w:t>
      </w:r>
      <w:r w:rsidR="008E648C" w:rsidRPr="004F6DAA">
        <w:rPr>
          <w:rStyle w:val="Odwoanieprzypisudolnego"/>
          <w:rFonts w:eastAsia="Times New Roman"/>
          <w:noProof/>
          <w:szCs w:val="24"/>
        </w:rPr>
        <w:footnoteReference w:id="27"/>
      </w:r>
      <w:r w:rsidR="008E648C" w:rsidRPr="004F6DAA">
        <w:rPr>
          <w:noProof/>
        </w:rPr>
        <w:t>, planie działania UE na rzecz eliminacji zanieczyszczeń</w:t>
      </w:r>
      <w:r w:rsidR="008E648C" w:rsidRPr="004F6DAA">
        <w:rPr>
          <w:rStyle w:val="Odwoanieprzypisudolnego"/>
          <w:rFonts w:eastAsia="Times New Roman"/>
          <w:noProof/>
        </w:rPr>
        <w:footnoteReference w:id="28"/>
      </w:r>
      <w:r w:rsidR="008E648C" w:rsidRPr="004F6DAA">
        <w:rPr>
          <w:noProof/>
        </w:rPr>
        <w:t xml:space="preserve"> oraz innych odpowiednich strategiach</w:t>
      </w:r>
      <w:r w:rsidR="008E648C" w:rsidRPr="004F6DAA">
        <w:rPr>
          <w:rStyle w:val="Odwoanieprzypisudolnego"/>
          <w:rFonts w:eastAsia="Times New Roman"/>
          <w:noProof/>
        </w:rPr>
        <w:footnoteReference w:id="29"/>
      </w:r>
      <w:r w:rsidR="008E648C" w:rsidRPr="004F6DAA">
        <w:rPr>
          <w:noProof/>
        </w:rPr>
        <w:t xml:space="preserve"> opracowanych</w:t>
      </w:r>
      <w:r w:rsidR="00062BFA" w:rsidRPr="004F6DAA">
        <w:rPr>
          <w:noProof/>
        </w:rPr>
        <w:t xml:space="preserve"> w</w:t>
      </w:r>
      <w:r w:rsidR="00062BFA">
        <w:rPr>
          <w:noProof/>
        </w:rPr>
        <w:t> </w:t>
      </w:r>
      <w:r w:rsidR="00062BFA" w:rsidRPr="004F6DAA">
        <w:rPr>
          <w:noProof/>
        </w:rPr>
        <w:t>ram</w:t>
      </w:r>
      <w:r w:rsidR="008E648C" w:rsidRPr="004F6DAA">
        <w:rPr>
          <w:noProof/>
        </w:rPr>
        <w:t>ach Europejskiego Zielonego Ładu podkreślono znaczenie działań na rzecz ochrony lasów</w:t>
      </w:r>
      <w:r w:rsidR="00062BFA" w:rsidRPr="004F6DAA">
        <w:rPr>
          <w:noProof/>
        </w:rPr>
        <w:t xml:space="preserve"> i</w:t>
      </w:r>
      <w:r w:rsidR="00062BFA">
        <w:rPr>
          <w:noProof/>
        </w:rPr>
        <w:t> </w:t>
      </w:r>
      <w:r w:rsidR="00062BFA" w:rsidRPr="004F6DAA">
        <w:rPr>
          <w:noProof/>
        </w:rPr>
        <w:t>ich</w:t>
      </w:r>
      <w:r w:rsidR="008E648C" w:rsidRPr="004F6DAA">
        <w:rPr>
          <w:noProof/>
        </w:rPr>
        <w:t xml:space="preserve"> odporności</w:t>
      </w:r>
      <w:r w:rsidR="00062BFA" w:rsidRPr="004F6DAA">
        <w:rPr>
          <w:noProof/>
        </w:rPr>
        <w:t>. W</w:t>
      </w:r>
      <w:r w:rsidR="00062BFA">
        <w:rPr>
          <w:noProof/>
        </w:rPr>
        <w:t> </w:t>
      </w:r>
      <w:r w:rsidR="00062BFA" w:rsidRPr="004F6DAA">
        <w:rPr>
          <w:noProof/>
        </w:rPr>
        <w:t>szc</w:t>
      </w:r>
      <w:r w:rsidR="008E648C" w:rsidRPr="004F6DAA">
        <w:rPr>
          <w:noProof/>
        </w:rPr>
        <w:t>zególności celem unijnej strategii na rzecz bioróżnorodności jest ochrona przyrody</w:t>
      </w:r>
      <w:r w:rsidR="00062BFA" w:rsidRPr="004F6DAA">
        <w:rPr>
          <w:noProof/>
        </w:rPr>
        <w:t xml:space="preserve"> i</w:t>
      </w:r>
      <w:r w:rsidR="00062BFA">
        <w:rPr>
          <w:noProof/>
        </w:rPr>
        <w:t> </w:t>
      </w:r>
      <w:r w:rsidR="00062BFA" w:rsidRPr="004F6DAA">
        <w:rPr>
          <w:noProof/>
        </w:rPr>
        <w:t>odw</w:t>
      </w:r>
      <w:r w:rsidR="008E648C" w:rsidRPr="004F6DAA">
        <w:rPr>
          <w:noProof/>
        </w:rPr>
        <w:t>rócenie procesu degradacji ekosystemów. Ponadto unijna strategia dotycząca biogospodarki</w:t>
      </w:r>
      <w:r w:rsidR="008E648C" w:rsidRPr="004F6DAA">
        <w:rPr>
          <w:rStyle w:val="Odwoanieprzypisudolnego"/>
          <w:noProof/>
        </w:rPr>
        <w:footnoteReference w:id="30"/>
      </w:r>
      <w:r w:rsidR="008E648C" w:rsidRPr="004F6DAA">
        <w:rPr>
          <w:noProof/>
        </w:rPr>
        <w:t xml:space="preserve"> przyczynia się do zwiększenia ochrony środowiska</w:t>
      </w:r>
      <w:r w:rsidR="00062BFA" w:rsidRPr="004F6DAA">
        <w:rPr>
          <w:noProof/>
        </w:rPr>
        <w:t xml:space="preserve"> i</w:t>
      </w:r>
      <w:r w:rsidR="00062BFA">
        <w:rPr>
          <w:noProof/>
        </w:rPr>
        <w:t> </w:t>
      </w:r>
      <w:r w:rsidR="00062BFA" w:rsidRPr="004F6DAA">
        <w:rPr>
          <w:noProof/>
        </w:rPr>
        <w:t>eko</w:t>
      </w:r>
      <w:r w:rsidR="008E648C" w:rsidRPr="004F6DAA">
        <w:rPr>
          <w:noProof/>
        </w:rPr>
        <w:t>systemów, odpowiadając jednocześnie na rosnące zapotrzebowanie na żywność, paszę, energię, materiały</w:t>
      </w:r>
      <w:r w:rsidR="00062BFA" w:rsidRPr="004F6DAA">
        <w:rPr>
          <w:noProof/>
        </w:rPr>
        <w:t xml:space="preserve"> i</w:t>
      </w:r>
      <w:r w:rsidR="00062BFA">
        <w:rPr>
          <w:noProof/>
        </w:rPr>
        <w:t> </w:t>
      </w:r>
      <w:r w:rsidR="00062BFA" w:rsidRPr="004F6DAA">
        <w:rPr>
          <w:noProof/>
        </w:rPr>
        <w:t>pro</w:t>
      </w:r>
      <w:r w:rsidR="008E648C" w:rsidRPr="004F6DAA">
        <w:rPr>
          <w:noProof/>
        </w:rPr>
        <w:t>dukty poprzez poszukiwanie nowych sposobów produkcji</w:t>
      </w:r>
      <w:r w:rsidR="00062BFA" w:rsidRPr="004F6DAA">
        <w:rPr>
          <w:noProof/>
        </w:rPr>
        <w:t xml:space="preserve"> i</w:t>
      </w:r>
      <w:r w:rsidR="00062BFA">
        <w:rPr>
          <w:noProof/>
        </w:rPr>
        <w:t> </w:t>
      </w:r>
      <w:r w:rsidR="00062BFA" w:rsidRPr="004F6DAA">
        <w:rPr>
          <w:noProof/>
        </w:rPr>
        <w:t>kon</w:t>
      </w:r>
      <w:r w:rsidR="008E648C" w:rsidRPr="004F6DAA">
        <w:rPr>
          <w:noProof/>
        </w:rPr>
        <w:t>sumpcji.</w:t>
      </w:r>
    </w:p>
    <w:p w14:paraId="1CC07176" w14:textId="77777777" w:rsidR="008E648C" w:rsidRPr="004F6DAA" w:rsidRDefault="007B7EB7" w:rsidP="007B7EB7">
      <w:pPr>
        <w:pStyle w:val="ManualConsidrant"/>
        <w:rPr>
          <w:noProof/>
        </w:rPr>
      </w:pPr>
      <w:r w:rsidRPr="007B7EB7">
        <w:t>(10)</w:t>
      </w:r>
      <w:r w:rsidRPr="007B7EB7">
        <w:tab/>
      </w:r>
      <w:r w:rsidR="008E648C" w:rsidRPr="004F6DAA">
        <w:rPr>
          <w:noProof/>
        </w:rPr>
        <w:t>Państwa członkowskie wielokrotnie wyrażały zaniepokojenie</w:t>
      </w:r>
      <w:r w:rsidR="00062BFA" w:rsidRPr="004F6DAA">
        <w:rPr>
          <w:noProof/>
        </w:rPr>
        <w:t xml:space="preserve"> z</w:t>
      </w:r>
      <w:r w:rsidR="00062BFA">
        <w:rPr>
          <w:noProof/>
        </w:rPr>
        <w:t> </w:t>
      </w:r>
      <w:r w:rsidR="00062BFA" w:rsidRPr="004F6DAA">
        <w:rPr>
          <w:noProof/>
        </w:rPr>
        <w:t>pow</w:t>
      </w:r>
      <w:r w:rsidR="008E648C" w:rsidRPr="004F6DAA">
        <w:rPr>
          <w:noProof/>
        </w:rPr>
        <w:t>odu utrzymującego się problemu wylesiania. Podkreślały, że ponieważ obecna polityka</w:t>
      </w:r>
      <w:r w:rsidR="00062BFA" w:rsidRPr="004F6DAA">
        <w:rPr>
          <w:noProof/>
        </w:rPr>
        <w:t xml:space="preserve"> i</w:t>
      </w:r>
      <w:r w:rsidR="00062BFA">
        <w:rPr>
          <w:noProof/>
        </w:rPr>
        <w:t> </w:t>
      </w:r>
      <w:r w:rsidR="00062BFA" w:rsidRPr="004F6DAA">
        <w:rPr>
          <w:noProof/>
        </w:rPr>
        <w:t>obe</w:t>
      </w:r>
      <w:r w:rsidR="008E648C" w:rsidRPr="004F6DAA">
        <w:rPr>
          <w:noProof/>
        </w:rPr>
        <w:t>cne działania na szczeblu globalnym</w:t>
      </w:r>
      <w:r w:rsidR="00062BFA" w:rsidRPr="004F6DAA">
        <w:rPr>
          <w:noProof/>
        </w:rPr>
        <w:t xml:space="preserve"> w</w:t>
      </w:r>
      <w:r w:rsidR="00062BFA">
        <w:rPr>
          <w:noProof/>
        </w:rPr>
        <w:t> </w:t>
      </w:r>
      <w:r w:rsidR="00062BFA" w:rsidRPr="004F6DAA">
        <w:rPr>
          <w:noProof/>
        </w:rPr>
        <w:t>zak</w:t>
      </w:r>
      <w:r w:rsidR="008E648C" w:rsidRPr="004F6DAA">
        <w:rPr>
          <w:noProof/>
        </w:rPr>
        <w:t>resie ochrony lasów, ich odtwarzania</w:t>
      </w:r>
      <w:r w:rsidR="00062BFA" w:rsidRPr="004F6DAA">
        <w:rPr>
          <w:noProof/>
        </w:rPr>
        <w:t xml:space="preserve"> i</w:t>
      </w:r>
      <w:r w:rsidR="00062BFA">
        <w:rPr>
          <w:noProof/>
        </w:rPr>
        <w:t> </w:t>
      </w:r>
      <w:r w:rsidR="00062BFA" w:rsidRPr="004F6DAA">
        <w:rPr>
          <w:noProof/>
        </w:rPr>
        <w:t>zró</w:t>
      </w:r>
      <w:r w:rsidR="008E648C" w:rsidRPr="004F6DAA">
        <w:rPr>
          <w:noProof/>
        </w:rPr>
        <w:t>wnoważonej gospodarki leśnej nie wystarczają, aby powstrzymać wylesianie</w:t>
      </w:r>
      <w:r w:rsidR="00062BFA" w:rsidRPr="004F6DAA">
        <w:rPr>
          <w:noProof/>
        </w:rPr>
        <w:t xml:space="preserve"> i</w:t>
      </w:r>
      <w:r w:rsidR="00062BFA">
        <w:rPr>
          <w:noProof/>
        </w:rPr>
        <w:t> </w:t>
      </w:r>
      <w:r w:rsidR="00062BFA" w:rsidRPr="004F6DAA">
        <w:rPr>
          <w:noProof/>
        </w:rPr>
        <w:t>deg</w:t>
      </w:r>
      <w:r w:rsidR="008E648C" w:rsidRPr="004F6DAA">
        <w:rPr>
          <w:noProof/>
        </w:rPr>
        <w:t>radację lasów, konieczne jest zintensyfikowanie działań Unii, aby skuteczniej przyczynić się do osiągnięcia celów zrównoważonego rozwoju</w:t>
      </w:r>
      <w:r w:rsidR="00062BFA" w:rsidRPr="004F6DAA">
        <w:rPr>
          <w:noProof/>
        </w:rPr>
        <w:t xml:space="preserve"> w</w:t>
      </w:r>
      <w:r w:rsidR="00062BFA">
        <w:rPr>
          <w:noProof/>
        </w:rPr>
        <w:t> </w:t>
      </w:r>
      <w:r w:rsidR="00062BFA" w:rsidRPr="004F6DAA">
        <w:rPr>
          <w:noProof/>
        </w:rPr>
        <w:t>ram</w:t>
      </w:r>
      <w:r w:rsidR="008E648C" w:rsidRPr="004F6DAA">
        <w:rPr>
          <w:noProof/>
        </w:rPr>
        <w:t>ach Agendy na rzecz zrównoważonego rozwoju 2030, która została przyjęta</w:t>
      </w:r>
      <w:r w:rsidR="00062BFA" w:rsidRPr="004F6DAA">
        <w:rPr>
          <w:noProof/>
        </w:rPr>
        <w:t xml:space="preserve"> w</w:t>
      </w:r>
      <w:r w:rsidR="00062BFA">
        <w:rPr>
          <w:noProof/>
        </w:rPr>
        <w:t> </w:t>
      </w:r>
      <w:r w:rsidR="00062BFA" w:rsidRPr="004F6DAA">
        <w:rPr>
          <w:noProof/>
        </w:rPr>
        <w:t>2</w:t>
      </w:r>
      <w:r w:rsidR="008E648C" w:rsidRPr="004F6DAA">
        <w:rPr>
          <w:noProof/>
        </w:rPr>
        <w:t>0</w:t>
      </w:r>
      <w:r w:rsidR="008E648C" w:rsidRPr="00062BFA">
        <w:rPr>
          <w:noProof/>
        </w:rPr>
        <w:t>15</w:t>
      </w:r>
      <w:r w:rsidR="00062BFA" w:rsidRPr="00062BFA">
        <w:rPr>
          <w:noProof/>
        </w:rPr>
        <w:t> </w:t>
      </w:r>
      <w:r w:rsidR="008E648C" w:rsidRPr="00062BFA">
        <w:rPr>
          <w:noProof/>
        </w:rPr>
        <w:t>r.</w:t>
      </w:r>
      <w:r w:rsidR="008E648C" w:rsidRPr="004F6DAA">
        <w:rPr>
          <w:noProof/>
        </w:rPr>
        <w:t xml:space="preserve"> przez wszystkie państwa członkowskie Organizacji Narodów Zjednoczonych</w:t>
      </w:r>
      <w:r w:rsidR="00062BFA" w:rsidRPr="004F6DAA">
        <w:rPr>
          <w:noProof/>
        </w:rPr>
        <w:t>. W</w:t>
      </w:r>
      <w:r w:rsidR="00062BFA">
        <w:rPr>
          <w:noProof/>
        </w:rPr>
        <w:t> </w:t>
      </w:r>
      <w:r w:rsidR="00062BFA" w:rsidRPr="004F6DAA">
        <w:rPr>
          <w:noProof/>
        </w:rPr>
        <w:t>szc</w:t>
      </w:r>
      <w:r w:rsidR="008E648C" w:rsidRPr="004F6DAA">
        <w:rPr>
          <w:noProof/>
        </w:rPr>
        <w:t>zególności Rada poparła zawartą</w:t>
      </w:r>
      <w:r w:rsidR="00062BFA" w:rsidRPr="004F6DAA">
        <w:rPr>
          <w:noProof/>
        </w:rPr>
        <w:t xml:space="preserve"> w</w:t>
      </w:r>
      <w:r w:rsidR="00062BFA">
        <w:rPr>
          <w:noProof/>
        </w:rPr>
        <w:t> </w:t>
      </w:r>
      <w:r w:rsidR="00062BFA" w:rsidRPr="004F6DAA">
        <w:rPr>
          <w:noProof/>
        </w:rPr>
        <w:t>kom</w:t>
      </w:r>
      <w:r w:rsidR="008E648C" w:rsidRPr="004F6DAA">
        <w:rPr>
          <w:noProof/>
        </w:rPr>
        <w:t>unikacie pt. „Zintensyfikowanie działań UE na rzecz ochrony</w:t>
      </w:r>
      <w:r w:rsidR="00062BFA" w:rsidRPr="004F6DAA">
        <w:rPr>
          <w:noProof/>
        </w:rPr>
        <w:t xml:space="preserve"> i</w:t>
      </w:r>
      <w:r w:rsidR="00062BFA">
        <w:rPr>
          <w:noProof/>
        </w:rPr>
        <w:t> </w:t>
      </w:r>
      <w:r w:rsidR="00062BFA" w:rsidRPr="004F6DAA">
        <w:rPr>
          <w:noProof/>
        </w:rPr>
        <w:t>odt</w:t>
      </w:r>
      <w:r w:rsidR="008E648C" w:rsidRPr="004F6DAA">
        <w:rPr>
          <w:noProof/>
        </w:rPr>
        <w:t>warzania światowych lasów” zapowiedź Komisji, że dokona ona oceny dodatkowych środków regulacyjnych</w:t>
      </w:r>
      <w:r w:rsidR="00062BFA" w:rsidRPr="004F6DAA">
        <w:rPr>
          <w:noProof/>
        </w:rPr>
        <w:t xml:space="preserve"> i</w:t>
      </w:r>
      <w:r w:rsidR="00062BFA">
        <w:rPr>
          <w:noProof/>
        </w:rPr>
        <w:t> </w:t>
      </w:r>
      <w:r w:rsidR="00062BFA" w:rsidRPr="004F6DAA">
        <w:rPr>
          <w:noProof/>
        </w:rPr>
        <w:t>nie</w:t>
      </w:r>
      <w:r w:rsidR="008E648C" w:rsidRPr="004F6DAA">
        <w:rPr>
          <w:noProof/>
        </w:rPr>
        <w:t>regulacyjnych oraz że przedstawi odpowiednie wnioski</w:t>
      </w:r>
      <w:r w:rsidR="008E648C" w:rsidRPr="004F6DAA">
        <w:rPr>
          <w:rStyle w:val="Odwoanieprzypisudolnego"/>
          <w:noProof/>
        </w:rPr>
        <w:footnoteReference w:id="31"/>
      </w:r>
      <w:r w:rsidR="008E648C" w:rsidRPr="004F6DAA">
        <w:rPr>
          <w:noProof/>
        </w:rPr>
        <w:t>.</w:t>
      </w:r>
    </w:p>
    <w:p w14:paraId="1DCD8DFE" w14:textId="77777777" w:rsidR="008E648C" w:rsidRPr="004F6DAA" w:rsidRDefault="007B7EB7" w:rsidP="007B7EB7">
      <w:pPr>
        <w:pStyle w:val="ManualConsidrant"/>
        <w:rPr>
          <w:noProof/>
        </w:rPr>
      </w:pPr>
      <w:r w:rsidRPr="007B7EB7">
        <w:t>(11)</w:t>
      </w:r>
      <w:r w:rsidRPr="007B7EB7">
        <w:tab/>
      </w:r>
      <w:r w:rsidR="008E648C" w:rsidRPr="004F6DAA">
        <w:rPr>
          <w:noProof/>
        </w:rPr>
        <w:t>Parlament Europejski podkreślił, że postępujący proces wylesiania na świecie jest</w:t>
      </w:r>
      <w:r w:rsidR="00062BFA" w:rsidRPr="004F6DAA">
        <w:rPr>
          <w:noProof/>
        </w:rPr>
        <w:t xml:space="preserve"> w</w:t>
      </w:r>
      <w:r w:rsidR="00062BFA">
        <w:rPr>
          <w:noProof/>
        </w:rPr>
        <w:t> </w:t>
      </w:r>
      <w:r w:rsidR="00062BFA" w:rsidRPr="004F6DAA">
        <w:rPr>
          <w:noProof/>
        </w:rPr>
        <w:t>zna</w:t>
      </w:r>
      <w:r w:rsidR="008E648C" w:rsidRPr="004F6DAA">
        <w:rPr>
          <w:noProof/>
        </w:rPr>
        <w:t>cznym stopniu związany</w:t>
      </w:r>
      <w:r w:rsidR="00062BFA" w:rsidRPr="004F6DAA">
        <w:rPr>
          <w:noProof/>
        </w:rPr>
        <w:t xml:space="preserve"> z</w:t>
      </w:r>
      <w:r w:rsidR="00062BFA">
        <w:rPr>
          <w:noProof/>
        </w:rPr>
        <w:t> </w:t>
      </w:r>
      <w:r w:rsidR="00062BFA" w:rsidRPr="004F6DAA">
        <w:rPr>
          <w:noProof/>
        </w:rPr>
        <w:t>roz</w:t>
      </w:r>
      <w:r w:rsidR="008E648C" w:rsidRPr="004F6DAA">
        <w:rPr>
          <w:noProof/>
        </w:rPr>
        <w:t>wojem produkcji rolnej,</w:t>
      </w:r>
      <w:r w:rsidR="00062BFA" w:rsidRPr="004F6DAA">
        <w:rPr>
          <w:noProof/>
        </w:rPr>
        <w:t xml:space="preserve"> w</w:t>
      </w:r>
      <w:r w:rsidR="00062BFA">
        <w:rPr>
          <w:noProof/>
        </w:rPr>
        <w:t> </w:t>
      </w:r>
      <w:r w:rsidR="00062BFA" w:rsidRPr="004F6DAA">
        <w:rPr>
          <w:noProof/>
        </w:rPr>
        <w:t>szc</w:t>
      </w:r>
      <w:r w:rsidR="008E648C" w:rsidRPr="004F6DAA">
        <w:rPr>
          <w:noProof/>
        </w:rPr>
        <w:t>zególności ze względu na przekształcanie lasów</w:t>
      </w:r>
      <w:r w:rsidR="00062BFA" w:rsidRPr="004F6DAA">
        <w:rPr>
          <w:noProof/>
        </w:rPr>
        <w:t xml:space="preserve"> w</w:t>
      </w:r>
      <w:r w:rsidR="00062BFA">
        <w:rPr>
          <w:noProof/>
        </w:rPr>
        <w:t> </w:t>
      </w:r>
      <w:r w:rsidR="00062BFA" w:rsidRPr="004F6DAA">
        <w:rPr>
          <w:noProof/>
        </w:rPr>
        <w:t>gru</w:t>
      </w:r>
      <w:r w:rsidR="008E648C" w:rsidRPr="004F6DAA">
        <w:rPr>
          <w:noProof/>
        </w:rPr>
        <w:t>nty rolne przeznaczone do produkcji szeregu produktów</w:t>
      </w:r>
      <w:r w:rsidR="00062BFA" w:rsidRPr="004F6DAA">
        <w:rPr>
          <w:noProof/>
        </w:rPr>
        <w:t xml:space="preserve"> i</w:t>
      </w:r>
      <w:r w:rsidR="00062BFA">
        <w:rPr>
          <w:noProof/>
        </w:rPr>
        <w:t> </w:t>
      </w:r>
      <w:r w:rsidR="00062BFA" w:rsidRPr="004F6DAA">
        <w:rPr>
          <w:noProof/>
        </w:rPr>
        <w:t>tow</w:t>
      </w:r>
      <w:r w:rsidR="008E648C" w:rsidRPr="004F6DAA">
        <w:rPr>
          <w:noProof/>
        </w:rPr>
        <w:t>arów, na które jest duży popyt</w:t>
      </w:r>
      <w:r w:rsidR="00062BFA" w:rsidRPr="004F6DAA">
        <w:rPr>
          <w:noProof/>
        </w:rPr>
        <w:t>. W</w:t>
      </w:r>
      <w:r w:rsidR="00062BFA">
        <w:rPr>
          <w:noProof/>
        </w:rPr>
        <w:t> </w:t>
      </w:r>
      <w:r w:rsidR="00062BFA" w:rsidRPr="004F6DAA">
        <w:rPr>
          <w:noProof/>
        </w:rPr>
        <w:t>dni</w:t>
      </w:r>
      <w:r w:rsidR="008E648C" w:rsidRPr="004F6DAA">
        <w:rPr>
          <w:noProof/>
        </w:rPr>
        <w:t>u 22 października 20</w:t>
      </w:r>
      <w:r w:rsidR="008E648C" w:rsidRPr="00062BFA">
        <w:rPr>
          <w:noProof/>
        </w:rPr>
        <w:t>20</w:t>
      </w:r>
      <w:r w:rsidR="00062BFA" w:rsidRPr="00062BFA">
        <w:rPr>
          <w:noProof/>
        </w:rPr>
        <w:t> </w:t>
      </w:r>
      <w:r w:rsidR="008E648C" w:rsidRPr="00062BFA">
        <w:rPr>
          <w:noProof/>
        </w:rPr>
        <w:t>r.</w:t>
      </w:r>
      <w:r w:rsidR="008E648C" w:rsidRPr="004F6DAA">
        <w:rPr>
          <w:noProof/>
        </w:rPr>
        <w:t>, zgodnie</w:t>
      </w:r>
      <w:r w:rsidR="00062BFA" w:rsidRPr="004F6DAA">
        <w:rPr>
          <w:noProof/>
        </w:rPr>
        <w:t xml:space="preserve"> z</w:t>
      </w:r>
      <w:r w:rsidR="00062BFA">
        <w:rPr>
          <w:noProof/>
        </w:rPr>
        <w:t> </w:t>
      </w:r>
      <w:r w:rsidR="00062BFA" w:rsidRPr="00062BFA">
        <w:rPr>
          <w:noProof/>
        </w:rPr>
        <w:t>art</w:t>
      </w:r>
      <w:r w:rsidR="008E648C" w:rsidRPr="00062BFA">
        <w:rPr>
          <w:noProof/>
        </w:rPr>
        <w:t>.</w:t>
      </w:r>
      <w:r w:rsidR="00062BFA" w:rsidRPr="00062BFA">
        <w:rPr>
          <w:noProof/>
        </w:rPr>
        <w:t> </w:t>
      </w:r>
      <w:r w:rsidR="008E648C" w:rsidRPr="00062BFA">
        <w:rPr>
          <w:noProof/>
        </w:rPr>
        <w:t>2</w:t>
      </w:r>
      <w:r w:rsidR="008E648C" w:rsidRPr="004F6DAA">
        <w:rPr>
          <w:noProof/>
        </w:rPr>
        <w:t>25 Traktatu</w:t>
      </w:r>
      <w:r w:rsidR="00062BFA" w:rsidRPr="004F6DAA">
        <w:rPr>
          <w:noProof/>
        </w:rPr>
        <w:t xml:space="preserve"> o</w:t>
      </w:r>
      <w:r w:rsidR="00062BFA">
        <w:rPr>
          <w:noProof/>
        </w:rPr>
        <w:t> </w:t>
      </w:r>
      <w:r w:rsidR="00062BFA" w:rsidRPr="004F6DAA">
        <w:rPr>
          <w:noProof/>
        </w:rPr>
        <w:t>fun</w:t>
      </w:r>
      <w:r w:rsidR="008E648C" w:rsidRPr="004F6DAA">
        <w:rPr>
          <w:noProof/>
        </w:rPr>
        <w:t>kcjonowaniu Unii Europejskiej (TFUE), Parlament przyjął rezolucję</w:t>
      </w:r>
      <w:r w:rsidR="008E648C" w:rsidRPr="004F6DAA">
        <w:rPr>
          <w:rStyle w:val="Odwoanieprzypisudolnego"/>
          <w:noProof/>
        </w:rPr>
        <w:footnoteReference w:id="32"/>
      </w:r>
      <w:r w:rsidR="008E648C" w:rsidRPr="004F6DAA">
        <w:rPr>
          <w:noProof/>
        </w:rPr>
        <w:t>,</w:t>
      </w:r>
      <w:r w:rsidR="00062BFA" w:rsidRPr="004F6DAA">
        <w:rPr>
          <w:noProof/>
        </w:rPr>
        <w:t xml:space="preserve"> w</w:t>
      </w:r>
      <w:r w:rsidR="00062BFA">
        <w:rPr>
          <w:noProof/>
        </w:rPr>
        <w:t> </w:t>
      </w:r>
      <w:r w:rsidR="00062BFA" w:rsidRPr="004F6DAA">
        <w:rPr>
          <w:noProof/>
        </w:rPr>
        <w:t>któ</w:t>
      </w:r>
      <w:r w:rsidR="008E648C" w:rsidRPr="004F6DAA">
        <w:rPr>
          <w:noProof/>
        </w:rPr>
        <w:t>rej zwrócił się do Komisji</w:t>
      </w:r>
      <w:r w:rsidR="00062BFA" w:rsidRPr="004F6DAA">
        <w:rPr>
          <w:noProof/>
        </w:rPr>
        <w:t xml:space="preserve"> o</w:t>
      </w:r>
      <w:r w:rsidR="00062BFA">
        <w:rPr>
          <w:noProof/>
        </w:rPr>
        <w:t> </w:t>
      </w:r>
      <w:r w:rsidR="00062BFA" w:rsidRPr="004F6DAA">
        <w:rPr>
          <w:noProof/>
        </w:rPr>
        <w:t>prz</w:t>
      </w:r>
      <w:r w:rsidR="008E648C" w:rsidRPr="004F6DAA">
        <w:rPr>
          <w:noProof/>
        </w:rPr>
        <w:t>edstawienie, zgodnie</w:t>
      </w:r>
      <w:r w:rsidR="00062BFA" w:rsidRPr="004F6DAA">
        <w:rPr>
          <w:noProof/>
        </w:rPr>
        <w:t xml:space="preserve"> z</w:t>
      </w:r>
      <w:r w:rsidR="00062BFA">
        <w:rPr>
          <w:noProof/>
        </w:rPr>
        <w:t> </w:t>
      </w:r>
      <w:r w:rsidR="00062BFA" w:rsidRPr="00062BFA">
        <w:rPr>
          <w:noProof/>
        </w:rPr>
        <w:t>art</w:t>
      </w:r>
      <w:r w:rsidR="008E648C" w:rsidRPr="00062BFA">
        <w:rPr>
          <w:noProof/>
        </w:rPr>
        <w:t>.</w:t>
      </w:r>
      <w:r w:rsidR="00062BFA" w:rsidRPr="00062BFA">
        <w:rPr>
          <w:noProof/>
        </w:rPr>
        <w:t> </w:t>
      </w:r>
      <w:r w:rsidR="008E648C" w:rsidRPr="00062BFA">
        <w:rPr>
          <w:noProof/>
        </w:rPr>
        <w:t>1</w:t>
      </w:r>
      <w:r w:rsidR="008E648C" w:rsidRPr="004F6DAA">
        <w:rPr>
          <w:noProof/>
        </w:rPr>
        <w:t xml:space="preserve">92 </w:t>
      </w:r>
      <w:r w:rsidR="008E648C" w:rsidRPr="00062BFA">
        <w:rPr>
          <w:noProof/>
        </w:rPr>
        <w:t>ust.</w:t>
      </w:r>
      <w:r w:rsidR="00062BFA" w:rsidRPr="00062BFA">
        <w:rPr>
          <w:noProof/>
        </w:rPr>
        <w:t> </w:t>
      </w:r>
      <w:r w:rsidR="008E648C" w:rsidRPr="00062BFA">
        <w:rPr>
          <w:noProof/>
        </w:rPr>
        <w:t>1</w:t>
      </w:r>
      <w:r w:rsidR="008E648C" w:rsidRPr="004F6DAA">
        <w:rPr>
          <w:noProof/>
        </w:rPr>
        <w:t xml:space="preserve"> TFUE, wniosku dotyczącego „ram prawnych UE mających na celu zatrzymanie</w:t>
      </w:r>
      <w:r w:rsidR="00062BFA" w:rsidRPr="004F6DAA">
        <w:rPr>
          <w:noProof/>
        </w:rPr>
        <w:t xml:space="preserve"> i</w:t>
      </w:r>
      <w:r w:rsidR="00062BFA">
        <w:rPr>
          <w:noProof/>
        </w:rPr>
        <w:t> </w:t>
      </w:r>
      <w:r w:rsidR="00062BFA" w:rsidRPr="004F6DAA">
        <w:rPr>
          <w:noProof/>
        </w:rPr>
        <w:t>odw</w:t>
      </w:r>
      <w:r w:rsidR="008E648C" w:rsidRPr="004F6DAA">
        <w:rPr>
          <w:noProof/>
        </w:rPr>
        <w:t>rócenie globalnego wylesiania spowodowanego przez UE”.</w:t>
      </w:r>
    </w:p>
    <w:p w14:paraId="71CCFFBE" w14:textId="77777777" w:rsidR="008E648C" w:rsidRPr="004F6DAA" w:rsidRDefault="007B7EB7" w:rsidP="007B7EB7">
      <w:pPr>
        <w:pStyle w:val="ManualConsidrant"/>
        <w:rPr>
          <w:noProof/>
        </w:rPr>
      </w:pPr>
      <w:r w:rsidRPr="007B7EB7">
        <w:t>(12)</w:t>
      </w:r>
      <w:r w:rsidRPr="007B7EB7">
        <w:tab/>
      </w:r>
      <w:r w:rsidR="008E648C" w:rsidRPr="004F6DAA">
        <w:rPr>
          <w:noProof/>
        </w:rPr>
        <w:t>Zwalczanie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stanowi istotną część pakietu środków niezbędnych do ograniczenia emisji gazów cieplarnianych oraz do wypełnienia zobowiązań Unii wynikających</w:t>
      </w:r>
      <w:r w:rsidR="00062BFA" w:rsidRPr="004F6DAA">
        <w:rPr>
          <w:noProof/>
        </w:rPr>
        <w:t xml:space="preserve"> z</w:t>
      </w:r>
      <w:r w:rsidR="00062BFA">
        <w:rPr>
          <w:noProof/>
        </w:rPr>
        <w:t> </w:t>
      </w:r>
      <w:r w:rsidR="00062BFA" w:rsidRPr="004F6DAA">
        <w:rPr>
          <w:noProof/>
        </w:rPr>
        <w:t>Eur</w:t>
      </w:r>
      <w:r w:rsidR="008E648C" w:rsidRPr="004F6DAA">
        <w:rPr>
          <w:noProof/>
        </w:rPr>
        <w:t>opejskiego Zielonego Ładu, jak również</w:t>
      </w:r>
      <w:r w:rsidR="00062BFA" w:rsidRPr="004F6DAA">
        <w:rPr>
          <w:noProof/>
        </w:rPr>
        <w:t xml:space="preserve"> z</w:t>
      </w:r>
      <w:r w:rsidR="00062BFA">
        <w:rPr>
          <w:noProof/>
        </w:rPr>
        <w:t> </w:t>
      </w:r>
      <w:r w:rsidR="00062BFA" w:rsidRPr="004F6DAA">
        <w:rPr>
          <w:noProof/>
        </w:rPr>
        <w:t>por</w:t>
      </w:r>
      <w:r w:rsidR="008E648C" w:rsidRPr="004F6DAA">
        <w:rPr>
          <w:noProof/>
        </w:rPr>
        <w:t>ozumienia klimatycznego</w:t>
      </w:r>
      <w:r w:rsidR="00062BFA" w:rsidRPr="004F6DAA">
        <w:rPr>
          <w:noProof/>
        </w:rPr>
        <w:t xml:space="preserve"> z</w:t>
      </w:r>
      <w:r w:rsidR="00062BFA">
        <w:rPr>
          <w:noProof/>
        </w:rPr>
        <w:t> </w:t>
      </w:r>
      <w:r w:rsidR="00062BFA" w:rsidRPr="004F6DAA">
        <w:rPr>
          <w:noProof/>
        </w:rPr>
        <w:t>Par</w:t>
      </w:r>
      <w:r w:rsidR="008E648C" w:rsidRPr="004F6DAA">
        <w:rPr>
          <w:noProof/>
        </w:rPr>
        <w:t>yża</w:t>
      </w:r>
      <w:r w:rsidR="00062BFA" w:rsidRPr="004F6DAA">
        <w:rPr>
          <w:noProof/>
        </w:rPr>
        <w:t xml:space="preserve"> z</w:t>
      </w:r>
      <w:r w:rsidR="00062BFA">
        <w:rPr>
          <w:noProof/>
        </w:rPr>
        <w:t> </w:t>
      </w:r>
      <w:r w:rsidR="00062BFA" w:rsidRPr="004F6DAA">
        <w:rPr>
          <w:noProof/>
        </w:rPr>
        <w:t>2</w:t>
      </w:r>
      <w:r w:rsidR="008E648C" w:rsidRPr="004F6DAA">
        <w:rPr>
          <w:noProof/>
        </w:rPr>
        <w:t>0</w:t>
      </w:r>
      <w:r w:rsidR="008E648C" w:rsidRPr="00062BFA">
        <w:rPr>
          <w:noProof/>
        </w:rPr>
        <w:t>15</w:t>
      </w:r>
      <w:r w:rsidR="00062BFA" w:rsidRPr="00062BFA">
        <w:rPr>
          <w:noProof/>
        </w:rPr>
        <w:t> </w:t>
      </w:r>
      <w:r w:rsidR="008E648C" w:rsidRPr="00062BFA">
        <w:rPr>
          <w:noProof/>
        </w:rPr>
        <w:t>r.</w:t>
      </w:r>
      <w:r w:rsidR="008E648C" w:rsidRPr="004F6DAA">
        <w:rPr>
          <w:rStyle w:val="Odwoanieprzypisudolnego"/>
          <w:noProof/>
        </w:rPr>
        <w:footnoteReference w:id="33"/>
      </w:r>
      <w:r w:rsidR="008E648C" w:rsidRPr="004F6DAA">
        <w:rPr>
          <w:noProof/>
        </w:rPr>
        <w:t xml:space="preserve"> oraz prawnie wiążącego, wynikającego</w:t>
      </w:r>
      <w:r w:rsidR="00062BFA" w:rsidRPr="004F6DAA">
        <w:rPr>
          <w:noProof/>
        </w:rPr>
        <w:t xml:space="preserve"> z</w:t>
      </w:r>
      <w:r w:rsidR="00062BFA">
        <w:rPr>
          <w:noProof/>
        </w:rPr>
        <w:t> </w:t>
      </w:r>
      <w:r w:rsidR="00062BFA" w:rsidRPr="004F6DAA">
        <w:rPr>
          <w:noProof/>
        </w:rPr>
        <w:t>Eur</w:t>
      </w:r>
      <w:r w:rsidR="008E648C" w:rsidRPr="004F6DAA">
        <w:rPr>
          <w:noProof/>
        </w:rPr>
        <w:t>opejskiego prawa</w:t>
      </w:r>
      <w:r w:rsidR="00062BFA" w:rsidRPr="004F6DAA">
        <w:rPr>
          <w:noProof/>
        </w:rPr>
        <w:t xml:space="preserve"> o</w:t>
      </w:r>
      <w:r w:rsidR="00062BFA">
        <w:rPr>
          <w:noProof/>
        </w:rPr>
        <w:t> </w:t>
      </w:r>
      <w:r w:rsidR="00062BFA" w:rsidRPr="004F6DAA">
        <w:rPr>
          <w:noProof/>
        </w:rPr>
        <w:t>kli</w:t>
      </w:r>
      <w:r w:rsidR="008E648C" w:rsidRPr="004F6DAA">
        <w:rPr>
          <w:noProof/>
        </w:rPr>
        <w:t xml:space="preserve">macie, zobowiązania do osiągnięcia neutralności klimatycznej </w:t>
      </w:r>
      <w:r w:rsidR="008E648C" w:rsidRPr="00062BFA">
        <w:rPr>
          <w:noProof/>
        </w:rPr>
        <w:t>do</w:t>
      </w:r>
      <w:r w:rsidR="00062BFA" w:rsidRPr="00062BFA">
        <w:rPr>
          <w:noProof/>
        </w:rPr>
        <w:t> </w:t>
      </w:r>
      <w:r w:rsidR="008E648C" w:rsidRPr="00062BFA">
        <w:rPr>
          <w:noProof/>
        </w:rPr>
        <w:t>2</w:t>
      </w:r>
      <w:r w:rsidR="008E648C" w:rsidRPr="004F6DAA">
        <w:rPr>
          <w:noProof/>
        </w:rPr>
        <w:t>0</w:t>
      </w:r>
      <w:r w:rsidR="008E648C" w:rsidRPr="00062BFA">
        <w:rPr>
          <w:noProof/>
        </w:rPr>
        <w:t>50</w:t>
      </w:r>
      <w:r w:rsidR="00062BFA" w:rsidRPr="00062BFA">
        <w:rPr>
          <w:noProof/>
        </w:rPr>
        <w:t> </w:t>
      </w:r>
      <w:r w:rsidR="008E648C" w:rsidRPr="00062BFA">
        <w:rPr>
          <w:noProof/>
        </w:rPr>
        <w:t>r.</w:t>
      </w:r>
      <w:r w:rsidR="00062BFA" w:rsidRPr="004F6DAA">
        <w:rPr>
          <w:noProof/>
        </w:rPr>
        <w:t xml:space="preserve"> i</w:t>
      </w:r>
      <w:r w:rsidR="00062BFA">
        <w:rPr>
          <w:noProof/>
        </w:rPr>
        <w:t> </w:t>
      </w:r>
      <w:r w:rsidR="00062BFA" w:rsidRPr="004F6DAA">
        <w:rPr>
          <w:noProof/>
        </w:rPr>
        <w:t>ogr</w:t>
      </w:r>
      <w:r w:rsidR="008E648C" w:rsidRPr="004F6DAA">
        <w:rPr>
          <w:noProof/>
        </w:rPr>
        <w:t xml:space="preserve">aniczenia emisji gazów cieplarnianych </w:t>
      </w:r>
      <w:r w:rsidR="008E648C" w:rsidRPr="00062BFA">
        <w:rPr>
          <w:noProof/>
        </w:rPr>
        <w:t>do</w:t>
      </w:r>
      <w:r w:rsidR="00062BFA" w:rsidRPr="00062BFA">
        <w:rPr>
          <w:noProof/>
        </w:rPr>
        <w:t> </w:t>
      </w:r>
      <w:r w:rsidR="008E648C" w:rsidRPr="00062BFA">
        <w:rPr>
          <w:noProof/>
        </w:rPr>
        <w:t>2</w:t>
      </w:r>
      <w:r w:rsidR="008E648C" w:rsidRPr="004F6DAA">
        <w:rPr>
          <w:noProof/>
        </w:rPr>
        <w:t>0</w:t>
      </w:r>
      <w:r w:rsidR="008E648C" w:rsidRPr="00062BFA">
        <w:rPr>
          <w:noProof/>
        </w:rPr>
        <w:t>30</w:t>
      </w:r>
      <w:r w:rsidR="00062BFA" w:rsidRPr="00062BFA">
        <w:rPr>
          <w:noProof/>
        </w:rPr>
        <w:t> </w:t>
      </w:r>
      <w:r w:rsidR="008E648C" w:rsidRPr="00062BFA">
        <w:rPr>
          <w:noProof/>
        </w:rPr>
        <w:t>r.</w:t>
      </w:r>
      <w:r w:rsidR="008E648C" w:rsidRPr="004F6DAA">
        <w:rPr>
          <w:noProof/>
        </w:rPr>
        <w:t xml:space="preserve"> o co najmniej 5</w:t>
      </w:r>
      <w:r w:rsidR="008E648C" w:rsidRPr="00062BFA">
        <w:rPr>
          <w:noProof/>
        </w:rPr>
        <w:t>5</w:t>
      </w:r>
      <w:r w:rsidR="00062BFA" w:rsidRPr="00062BFA">
        <w:rPr>
          <w:noProof/>
        </w:rPr>
        <w:t> </w:t>
      </w:r>
      <w:r w:rsidR="008E648C" w:rsidRPr="00062BFA">
        <w:rPr>
          <w:noProof/>
        </w:rPr>
        <w:t>%</w:t>
      </w:r>
      <w:r w:rsidR="008E648C" w:rsidRPr="004F6DAA">
        <w:rPr>
          <w:noProof/>
        </w:rPr>
        <w:t xml:space="preserve"> poniżej poziomów</w:t>
      </w:r>
      <w:r w:rsidR="00062BFA" w:rsidRPr="004F6DAA">
        <w:rPr>
          <w:noProof/>
        </w:rPr>
        <w:t xml:space="preserve"> z</w:t>
      </w:r>
      <w:r w:rsidR="00062BFA">
        <w:rPr>
          <w:noProof/>
        </w:rPr>
        <w:t> </w:t>
      </w:r>
      <w:r w:rsidR="00062BFA" w:rsidRPr="004F6DAA">
        <w:rPr>
          <w:noProof/>
        </w:rPr>
        <w:t>1</w:t>
      </w:r>
      <w:r w:rsidR="008E648C" w:rsidRPr="004F6DAA">
        <w:rPr>
          <w:noProof/>
        </w:rPr>
        <w:t>9</w:t>
      </w:r>
      <w:r w:rsidR="008E648C" w:rsidRPr="00062BFA">
        <w:rPr>
          <w:noProof/>
        </w:rPr>
        <w:t>90</w:t>
      </w:r>
      <w:r w:rsidR="00062BFA" w:rsidRPr="00062BFA">
        <w:rPr>
          <w:noProof/>
        </w:rPr>
        <w:t> </w:t>
      </w:r>
      <w:r w:rsidR="008E648C" w:rsidRPr="00062BFA">
        <w:rPr>
          <w:noProof/>
        </w:rPr>
        <w:t>r.</w:t>
      </w:r>
    </w:p>
    <w:p w14:paraId="607C1E3F" w14:textId="77777777" w:rsidR="008E648C" w:rsidRPr="004F6DAA" w:rsidRDefault="007B7EB7" w:rsidP="007B7EB7">
      <w:pPr>
        <w:pStyle w:val="ManualConsidrant"/>
        <w:rPr>
          <w:noProof/>
        </w:rPr>
      </w:pPr>
      <w:r w:rsidRPr="007B7EB7">
        <w:t>(13)</w:t>
      </w:r>
      <w:r w:rsidRPr="007B7EB7">
        <w:tab/>
      </w:r>
      <w:r w:rsidR="008E648C" w:rsidRPr="004F6DAA">
        <w:rPr>
          <w:noProof/>
          <w:shd w:val="clear" w:color="auto" w:fill="FFFFFF"/>
        </w:rPr>
        <w:t>Ekspansja rolna odpowiada za blisko 9</w:t>
      </w:r>
      <w:r w:rsidR="008E648C" w:rsidRPr="00062BFA">
        <w:rPr>
          <w:noProof/>
          <w:shd w:val="clear" w:color="auto" w:fill="FFFFFF"/>
        </w:rPr>
        <w:t>0</w:t>
      </w:r>
      <w:r w:rsidR="00062BFA" w:rsidRPr="00062BFA">
        <w:rPr>
          <w:noProof/>
          <w:shd w:val="clear" w:color="auto" w:fill="FFFFFF"/>
        </w:rPr>
        <w:t> </w:t>
      </w:r>
      <w:r w:rsidR="008E648C" w:rsidRPr="00062BFA">
        <w:rPr>
          <w:noProof/>
          <w:shd w:val="clear" w:color="auto" w:fill="FFFFFF"/>
        </w:rPr>
        <w:t>%</w:t>
      </w:r>
      <w:r w:rsidR="008E648C" w:rsidRPr="004F6DAA">
        <w:rPr>
          <w:noProof/>
          <w:shd w:val="clear" w:color="auto" w:fill="FFFFFF"/>
        </w:rPr>
        <w:t xml:space="preserve"> wylesiania na świecie, przy czym ponad połowa utraty zasobów leśnych wynika</w:t>
      </w:r>
      <w:r w:rsidR="00062BFA" w:rsidRPr="004F6DAA">
        <w:rPr>
          <w:noProof/>
          <w:shd w:val="clear" w:color="auto" w:fill="FFFFFF"/>
        </w:rPr>
        <w:t xml:space="preserve"> z</w:t>
      </w:r>
      <w:r w:rsidR="00062BFA">
        <w:rPr>
          <w:noProof/>
          <w:shd w:val="clear" w:color="auto" w:fill="FFFFFF"/>
        </w:rPr>
        <w:t> </w:t>
      </w:r>
      <w:r w:rsidR="00062BFA" w:rsidRPr="004F6DAA">
        <w:rPr>
          <w:noProof/>
          <w:shd w:val="clear" w:color="auto" w:fill="FFFFFF"/>
        </w:rPr>
        <w:t>prz</w:t>
      </w:r>
      <w:r w:rsidR="008E648C" w:rsidRPr="004F6DAA">
        <w:rPr>
          <w:noProof/>
          <w:shd w:val="clear" w:color="auto" w:fill="FFFFFF"/>
        </w:rPr>
        <w:t>ekształcania lasów</w:t>
      </w:r>
      <w:r w:rsidR="00062BFA" w:rsidRPr="004F6DAA">
        <w:rPr>
          <w:noProof/>
          <w:shd w:val="clear" w:color="auto" w:fill="FFFFFF"/>
        </w:rPr>
        <w:t xml:space="preserve"> w</w:t>
      </w:r>
      <w:r w:rsidR="00062BFA">
        <w:rPr>
          <w:noProof/>
          <w:shd w:val="clear" w:color="auto" w:fill="FFFFFF"/>
        </w:rPr>
        <w:t> </w:t>
      </w:r>
      <w:r w:rsidR="00062BFA" w:rsidRPr="004F6DAA">
        <w:rPr>
          <w:noProof/>
          <w:shd w:val="clear" w:color="auto" w:fill="FFFFFF"/>
        </w:rPr>
        <w:t>gru</w:t>
      </w:r>
      <w:r w:rsidR="008E648C" w:rsidRPr="004F6DAA">
        <w:rPr>
          <w:noProof/>
          <w:shd w:val="clear" w:color="auto" w:fill="FFFFFF"/>
        </w:rPr>
        <w:t>nty uprawne, zaś wypas zwierząt gospodarskich odpowiada za blisko 4</w:t>
      </w:r>
      <w:r w:rsidR="008E648C" w:rsidRPr="00062BFA">
        <w:rPr>
          <w:noProof/>
          <w:shd w:val="clear" w:color="auto" w:fill="FFFFFF"/>
        </w:rPr>
        <w:t>0</w:t>
      </w:r>
      <w:r w:rsidR="00062BFA" w:rsidRPr="00062BFA">
        <w:rPr>
          <w:noProof/>
          <w:shd w:val="clear" w:color="auto" w:fill="FFFFFF"/>
        </w:rPr>
        <w:t> </w:t>
      </w:r>
      <w:r w:rsidR="008E648C" w:rsidRPr="00062BFA">
        <w:rPr>
          <w:noProof/>
          <w:shd w:val="clear" w:color="auto" w:fill="FFFFFF"/>
        </w:rPr>
        <w:t>%</w:t>
      </w:r>
      <w:r w:rsidR="008E648C" w:rsidRPr="004F6DAA">
        <w:rPr>
          <w:noProof/>
          <w:shd w:val="clear" w:color="auto" w:fill="FFFFFF"/>
        </w:rPr>
        <w:t xml:space="preserve"> utraty zasobów leśnych</w:t>
      </w:r>
      <w:r w:rsidR="008E648C" w:rsidRPr="004F6DAA">
        <w:rPr>
          <w:rStyle w:val="Odwoanieprzypisudolnego"/>
          <w:noProof/>
        </w:rPr>
        <w:footnoteReference w:id="34"/>
      </w:r>
      <w:r w:rsidR="008E648C" w:rsidRPr="004F6DAA">
        <w:rPr>
          <w:noProof/>
          <w:shd w:val="clear" w:color="auto" w:fill="FFFFFF"/>
        </w:rPr>
        <w:t>. </w:t>
      </w:r>
    </w:p>
    <w:p w14:paraId="14A14B67" w14:textId="77777777" w:rsidR="008E648C" w:rsidRPr="004F6DAA" w:rsidRDefault="007B7EB7" w:rsidP="007B7EB7">
      <w:pPr>
        <w:pStyle w:val="ManualConsidrant"/>
        <w:rPr>
          <w:noProof/>
        </w:rPr>
      </w:pPr>
      <w:r w:rsidRPr="007B7EB7">
        <w:t>(14)</w:t>
      </w:r>
      <w:r w:rsidRPr="007B7EB7">
        <w:tab/>
      </w:r>
      <w:r w:rsidR="008E648C" w:rsidRPr="004F6DAA">
        <w:rPr>
          <w:noProof/>
        </w:rPr>
        <w:t>W latach 1990–2008 Unia odpowiadała za przywóz</w:t>
      </w:r>
      <w:r w:rsidR="00062BFA" w:rsidRPr="004F6DAA">
        <w:rPr>
          <w:noProof/>
        </w:rPr>
        <w:t xml:space="preserve"> i</w:t>
      </w:r>
      <w:r w:rsidR="00062BFA">
        <w:rPr>
          <w:noProof/>
        </w:rPr>
        <w:t> </w:t>
      </w:r>
      <w:r w:rsidR="00062BFA" w:rsidRPr="004F6DAA">
        <w:rPr>
          <w:noProof/>
        </w:rPr>
        <w:t>kon</w:t>
      </w:r>
      <w:r w:rsidR="008E648C" w:rsidRPr="004F6DAA">
        <w:rPr>
          <w:noProof/>
        </w:rPr>
        <w:t>sumpcję jednej trzeciej produktów rolnych będących przedmiotem globalnego handlu</w:t>
      </w:r>
      <w:r w:rsidR="00062BFA" w:rsidRPr="004F6DAA">
        <w:rPr>
          <w:noProof/>
        </w:rPr>
        <w:t xml:space="preserve"> i</w:t>
      </w:r>
      <w:r w:rsidR="00062BFA">
        <w:rPr>
          <w:noProof/>
        </w:rPr>
        <w:t> </w:t>
      </w:r>
      <w:r w:rsidR="00062BFA" w:rsidRPr="004F6DAA">
        <w:rPr>
          <w:noProof/>
        </w:rPr>
        <w:t>zwi</w:t>
      </w:r>
      <w:r w:rsidR="008E648C" w:rsidRPr="004F6DAA">
        <w:rPr>
          <w:noProof/>
        </w:rPr>
        <w:t>ązanych</w:t>
      </w:r>
      <w:r w:rsidR="00062BFA" w:rsidRPr="004F6DAA">
        <w:rPr>
          <w:noProof/>
        </w:rPr>
        <w:t xml:space="preserve"> z</w:t>
      </w:r>
      <w:r w:rsidR="00062BFA">
        <w:rPr>
          <w:noProof/>
        </w:rPr>
        <w:t> </w:t>
      </w:r>
      <w:r w:rsidR="00062BFA" w:rsidRPr="004F6DAA">
        <w:rPr>
          <w:noProof/>
        </w:rPr>
        <w:t>wyl</w:t>
      </w:r>
      <w:r w:rsidR="008E648C" w:rsidRPr="004F6DAA">
        <w:rPr>
          <w:noProof/>
        </w:rPr>
        <w:t>esianiem</w:t>
      </w:r>
      <w:r w:rsidR="00062BFA" w:rsidRPr="004F6DAA">
        <w:rPr>
          <w:noProof/>
        </w:rPr>
        <w:t>. W</w:t>
      </w:r>
      <w:r w:rsidR="00062BFA">
        <w:rPr>
          <w:noProof/>
        </w:rPr>
        <w:t> </w:t>
      </w:r>
      <w:r w:rsidR="00062BFA" w:rsidRPr="004F6DAA">
        <w:rPr>
          <w:noProof/>
        </w:rPr>
        <w:t>tym</w:t>
      </w:r>
      <w:r w:rsidR="008E648C" w:rsidRPr="004F6DAA">
        <w:rPr>
          <w:noProof/>
        </w:rPr>
        <w:t xml:space="preserve"> okresie konsumpcja</w:t>
      </w:r>
      <w:r w:rsidR="00062BFA" w:rsidRPr="004F6DAA">
        <w:rPr>
          <w:noProof/>
        </w:rPr>
        <w:t xml:space="preserve"> w</w:t>
      </w:r>
      <w:r w:rsidR="00062BFA">
        <w:rPr>
          <w:noProof/>
        </w:rPr>
        <w:t> </w:t>
      </w:r>
      <w:r w:rsidR="00062BFA" w:rsidRPr="004F6DAA">
        <w:rPr>
          <w:noProof/>
        </w:rPr>
        <w:t>Uni</w:t>
      </w:r>
      <w:r w:rsidR="008E648C" w:rsidRPr="004F6DAA">
        <w:rPr>
          <w:noProof/>
        </w:rPr>
        <w:t xml:space="preserve">i odpowiadała </w:t>
      </w:r>
      <w:r w:rsidR="008E648C" w:rsidRPr="00062BFA">
        <w:rPr>
          <w:noProof/>
        </w:rPr>
        <w:t>za</w:t>
      </w:r>
      <w:r w:rsidR="00062BFA" w:rsidRPr="00062BFA">
        <w:rPr>
          <w:noProof/>
        </w:rPr>
        <w:t> </w:t>
      </w:r>
      <w:r w:rsidR="008E648C" w:rsidRPr="00062BFA">
        <w:rPr>
          <w:noProof/>
        </w:rPr>
        <w:t>10</w:t>
      </w:r>
      <w:r w:rsidR="00062BFA" w:rsidRPr="00062BFA">
        <w:rPr>
          <w:noProof/>
        </w:rPr>
        <w:t> </w:t>
      </w:r>
      <w:r w:rsidR="008E648C" w:rsidRPr="00062BFA">
        <w:rPr>
          <w:noProof/>
        </w:rPr>
        <w:t>%</w:t>
      </w:r>
      <w:r w:rsidR="008E648C" w:rsidRPr="004F6DAA">
        <w:rPr>
          <w:noProof/>
        </w:rPr>
        <w:t xml:space="preserve"> światowego wylesiania związanego</w:t>
      </w:r>
      <w:r w:rsidR="00062BFA" w:rsidRPr="004F6DAA">
        <w:rPr>
          <w:noProof/>
        </w:rPr>
        <w:t xml:space="preserve"> z</w:t>
      </w:r>
      <w:r w:rsidR="00062BFA">
        <w:rPr>
          <w:noProof/>
        </w:rPr>
        <w:t> </w:t>
      </w:r>
      <w:r w:rsidR="00062BFA" w:rsidRPr="004F6DAA">
        <w:rPr>
          <w:noProof/>
        </w:rPr>
        <w:t>wyt</w:t>
      </w:r>
      <w:r w:rsidR="008E648C" w:rsidRPr="004F6DAA">
        <w:rPr>
          <w:noProof/>
        </w:rPr>
        <w:t>warzaniem towarów lub świadczeniem usług. Nawet jeśli względny udział konsumpcji w UE ulega zmniejszeniu, konsumpcja w UE jest nieproporcjonalnie dużym czynnikiem powodującym wylesianie.</w:t>
      </w:r>
      <w:r w:rsidR="008E648C" w:rsidRPr="004F6DAA">
        <w:rPr>
          <w:rFonts w:ascii="Calibri" w:hAnsi="Calibri"/>
          <w:noProof/>
          <w:sz w:val="26"/>
          <w:szCs w:val="26"/>
        </w:rPr>
        <w:t xml:space="preserve"> </w:t>
      </w:r>
      <w:r w:rsidR="008E648C" w:rsidRPr="004F6DAA">
        <w:rPr>
          <w:noProof/>
        </w:rPr>
        <w:t>Unia powinna zatem podjąć działania</w:t>
      </w:r>
      <w:r w:rsidR="00062BFA" w:rsidRPr="004F6DAA">
        <w:rPr>
          <w:noProof/>
        </w:rPr>
        <w:t xml:space="preserve"> w</w:t>
      </w:r>
      <w:r w:rsidR="00062BFA">
        <w:rPr>
          <w:noProof/>
        </w:rPr>
        <w:t> </w:t>
      </w:r>
      <w:r w:rsidR="00062BFA" w:rsidRPr="004F6DAA">
        <w:rPr>
          <w:noProof/>
        </w:rPr>
        <w:t>cel</w:t>
      </w:r>
      <w:r w:rsidR="008E648C" w:rsidRPr="004F6DAA">
        <w:rPr>
          <w:noProof/>
        </w:rPr>
        <w:t>u zminimalizowania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na świecie spowodowanych konsumpcją niektórych towarów</w:t>
      </w:r>
      <w:r w:rsidR="00062BFA" w:rsidRPr="004F6DAA">
        <w:rPr>
          <w:noProof/>
        </w:rPr>
        <w:t xml:space="preserve"> i</w:t>
      </w:r>
      <w:r w:rsidR="00062BFA">
        <w:rPr>
          <w:noProof/>
        </w:rPr>
        <w:t> </w:t>
      </w:r>
      <w:r w:rsidR="00062BFA" w:rsidRPr="004F6DAA">
        <w:rPr>
          <w:noProof/>
        </w:rPr>
        <w:t>pro</w:t>
      </w:r>
      <w:r w:rsidR="008E648C" w:rsidRPr="004F6DAA">
        <w:rPr>
          <w:noProof/>
        </w:rPr>
        <w:t>duktów,</w:t>
      </w:r>
      <w:r w:rsidR="00062BFA" w:rsidRPr="004F6DAA">
        <w:rPr>
          <w:noProof/>
        </w:rPr>
        <w:t xml:space="preserve"> a</w:t>
      </w:r>
      <w:r w:rsidR="00062BFA">
        <w:rPr>
          <w:noProof/>
        </w:rPr>
        <w:t> </w:t>
      </w:r>
      <w:r w:rsidR="00062BFA" w:rsidRPr="004F6DAA">
        <w:rPr>
          <w:noProof/>
        </w:rPr>
        <w:t>tym</w:t>
      </w:r>
      <w:r w:rsidR="008E648C" w:rsidRPr="004F6DAA">
        <w:rPr>
          <w:noProof/>
        </w:rPr>
        <w:t xml:space="preserve"> samym dążyć do zmniejszenia swojego udziału</w:t>
      </w:r>
      <w:r w:rsidR="00062BFA" w:rsidRPr="004F6DAA">
        <w:rPr>
          <w:noProof/>
        </w:rPr>
        <w:t xml:space="preserve"> w</w:t>
      </w:r>
      <w:r w:rsidR="00062BFA">
        <w:rPr>
          <w:noProof/>
        </w:rPr>
        <w:t> </w:t>
      </w:r>
      <w:r w:rsidR="00062BFA" w:rsidRPr="004F6DAA">
        <w:rPr>
          <w:noProof/>
        </w:rPr>
        <w:t>emi</w:t>
      </w:r>
      <w:r w:rsidR="008E648C" w:rsidRPr="004F6DAA">
        <w:rPr>
          <w:noProof/>
        </w:rPr>
        <w:t>sji gazów cieplarnianych</w:t>
      </w:r>
      <w:r w:rsidR="00062BFA" w:rsidRPr="004F6DAA">
        <w:rPr>
          <w:noProof/>
        </w:rPr>
        <w:t xml:space="preserve"> i</w:t>
      </w:r>
      <w:r w:rsidR="00062BFA">
        <w:rPr>
          <w:noProof/>
        </w:rPr>
        <w:t> </w:t>
      </w:r>
      <w:r w:rsidR="00062BFA" w:rsidRPr="004F6DAA">
        <w:rPr>
          <w:noProof/>
        </w:rPr>
        <w:t>utr</w:t>
      </w:r>
      <w:r w:rsidR="008E648C" w:rsidRPr="004F6DAA">
        <w:rPr>
          <w:noProof/>
        </w:rPr>
        <w:t>acie różnorodności biologicznej na świecie,</w:t>
      </w:r>
      <w:r w:rsidR="00062BFA" w:rsidRPr="004F6DAA">
        <w:rPr>
          <w:noProof/>
        </w:rPr>
        <w:t xml:space="preserve"> a</w:t>
      </w:r>
      <w:r w:rsidR="00062BFA">
        <w:rPr>
          <w:noProof/>
        </w:rPr>
        <w:t> </w:t>
      </w:r>
      <w:r w:rsidR="00062BFA" w:rsidRPr="004F6DAA">
        <w:rPr>
          <w:noProof/>
        </w:rPr>
        <w:t>tak</w:t>
      </w:r>
      <w:r w:rsidR="008E648C" w:rsidRPr="004F6DAA">
        <w:rPr>
          <w:noProof/>
        </w:rPr>
        <w:t>że propagować zrównoważone struktury produkcji</w:t>
      </w:r>
      <w:r w:rsidR="00062BFA" w:rsidRPr="004F6DAA">
        <w:rPr>
          <w:noProof/>
        </w:rPr>
        <w:t xml:space="preserve"> i</w:t>
      </w:r>
      <w:r w:rsidR="00062BFA">
        <w:rPr>
          <w:noProof/>
        </w:rPr>
        <w:t> </w:t>
      </w:r>
      <w:r w:rsidR="00062BFA" w:rsidRPr="004F6DAA">
        <w:rPr>
          <w:noProof/>
        </w:rPr>
        <w:t>kon</w:t>
      </w:r>
      <w:r w:rsidR="008E648C" w:rsidRPr="004F6DAA">
        <w:rPr>
          <w:noProof/>
        </w:rPr>
        <w:t>sumpcji</w:t>
      </w:r>
      <w:r w:rsidR="00062BFA" w:rsidRPr="004F6DAA">
        <w:rPr>
          <w:noProof/>
        </w:rPr>
        <w:t xml:space="preserve"> w</w:t>
      </w:r>
      <w:r w:rsidR="00062BFA">
        <w:rPr>
          <w:noProof/>
        </w:rPr>
        <w:t> </w:t>
      </w:r>
      <w:r w:rsidR="00062BFA" w:rsidRPr="004F6DAA">
        <w:rPr>
          <w:noProof/>
        </w:rPr>
        <w:t>Uni</w:t>
      </w:r>
      <w:r w:rsidR="008E648C" w:rsidRPr="004F6DAA">
        <w:rPr>
          <w:noProof/>
        </w:rPr>
        <w:t>i i na świecie. Aby osiągnąć jak największy efekt, politykę Unii należy zorientować na wywieranie wpływu na rynek światowy,</w:t>
      </w:r>
      <w:r w:rsidR="00062BFA" w:rsidRPr="004F6DAA">
        <w:rPr>
          <w:noProof/>
        </w:rPr>
        <w:t xml:space="preserve"> a</w:t>
      </w:r>
      <w:r w:rsidR="00062BFA">
        <w:rPr>
          <w:noProof/>
        </w:rPr>
        <w:t> </w:t>
      </w:r>
      <w:r w:rsidR="00062BFA" w:rsidRPr="004F6DAA">
        <w:rPr>
          <w:noProof/>
        </w:rPr>
        <w:t>nie</w:t>
      </w:r>
      <w:r w:rsidR="008E648C" w:rsidRPr="004F6DAA">
        <w:rPr>
          <w:noProof/>
        </w:rPr>
        <w:t xml:space="preserve"> tylko na łańcuchy dostaw do Unii</w:t>
      </w:r>
      <w:r w:rsidR="00062BFA" w:rsidRPr="004F6DAA">
        <w:rPr>
          <w:noProof/>
        </w:rPr>
        <w:t>. W</w:t>
      </w:r>
      <w:r w:rsidR="00062BFA">
        <w:rPr>
          <w:noProof/>
        </w:rPr>
        <w:t> </w:t>
      </w:r>
      <w:r w:rsidR="00062BFA" w:rsidRPr="004F6DAA">
        <w:rPr>
          <w:noProof/>
        </w:rPr>
        <w:t>tym</w:t>
      </w:r>
      <w:r w:rsidR="008E648C" w:rsidRPr="004F6DAA">
        <w:rPr>
          <w:noProof/>
        </w:rPr>
        <w:t xml:space="preserve"> zakresie zasadniczą rolę odgrywają partnerstwa</w:t>
      </w:r>
      <w:r w:rsidR="00062BFA" w:rsidRPr="004F6DAA">
        <w:rPr>
          <w:noProof/>
        </w:rPr>
        <w:t xml:space="preserve"> i</w:t>
      </w:r>
      <w:r w:rsidR="00062BFA">
        <w:rPr>
          <w:noProof/>
        </w:rPr>
        <w:t> </w:t>
      </w:r>
      <w:r w:rsidR="00062BFA" w:rsidRPr="004F6DAA">
        <w:rPr>
          <w:noProof/>
        </w:rPr>
        <w:t>sku</w:t>
      </w:r>
      <w:r w:rsidR="008E648C" w:rsidRPr="004F6DAA">
        <w:rPr>
          <w:noProof/>
        </w:rPr>
        <w:t>teczna współpraca międzynarodowa</w:t>
      </w:r>
      <w:r w:rsidR="00062BFA" w:rsidRPr="004F6DAA">
        <w:rPr>
          <w:noProof/>
        </w:rPr>
        <w:t xml:space="preserve"> z</w:t>
      </w:r>
      <w:r w:rsidR="00062BFA">
        <w:rPr>
          <w:noProof/>
        </w:rPr>
        <w:t> </w:t>
      </w:r>
      <w:r w:rsidR="00062BFA" w:rsidRPr="004F6DAA">
        <w:rPr>
          <w:noProof/>
        </w:rPr>
        <w:t>kra</w:t>
      </w:r>
      <w:r w:rsidR="008E648C" w:rsidRPr="004F6DAA">
        <w:rPr>
          <w:noProof/>
        </w:rPr>
        <w:t>jami będącymi producentami</w:t>
      </w:r>
      <w:r w:rsidR="00062BFA" w:rsidRPr="004F6DAA">
        <w:rPr>
          <w:noProof/>
        </w:rPr>
        <w:t xml:space="preserve"> i</w:t>
      </w:r>
      <w:r w:rsidR="00062BFA">
        <w:rPr>
          <w:noProof/>
        </w:rPr>
        <w:t> </w:t>
      </w:r>
      <w:r w:rsidR="00062BFA" w:rsidRPr="004F6DAA">
        <w:rPr>
          <w:noProof/>
        </w:rPr>
        <w:t>kon</w:t>
      </w:r>
      <w:r w:rsidR="008E648C" w:rsidRPr="004F6DAA">
        <w:rPr>
          <w:noProof/>
        </w:rPr>
        <w:t>sumentami.</w:t>
      </w:r>
      <w:r w:rsidR="008E648C" w:rsidRPr="004F6DAA">
        <w:rPr>
          <w:rFonts w:ascii="Calibri" w:hAnsi="Calibri"/>
          <w:noProof/>
          <w:sz w:val="26"/>
          <w:szCs w:val="26"/>
        </w:rPr>
        <w:t xml:space="preserve"> </w:t>
      </w:r>
    </w:p>
    <w:p w14:paraId="0AD67335" w14:textId="77777777" w:rsidR="008E648C" w:rsidRPr="004F6DAA" w:rsidRDefault="007B7EB7" w:rsidP="007B7EB7">
      <w:pPr>
        <w:pStyle w:val="ManualConsidrant"/>
        <w:rPr>
          <w:noProof/>
        </w:rPr>
      </w:pPr>
      <w:r w:rsidRPr="007B7EB7">
        <w:t>(15)</w:t>
      </w:r>
      <w:r w:rsidRPr="007B7EB7">
        <w:tab/>
      </w:r>
      <w:r w:rsidR="008E648C" w:rsidRPr="004F6DAA">
        <w:rPr>
          <w:noProof/>
        </w:rPr>
        <w:t>Powstrzymanie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stanowi istotny element celów zrównoważonego rozwoju</w:t>
      </w:r>
      <w:r w:rsidR="008E648C" w:rsidRPr="004F6DAA">
        <w:rPr>
          <w:noProof/>
          <w:shd w:val="clear" w:color="auto" w:fill="FFFFFF"/>
        </w:rPr>
        <w:t>. Niniejsze rozporządzenie powinno przyczynić się</w:t>
      </w:r>
      <w:r w:rsidR="00062BFA" w:rsidRPr="004F6DAA">
        <w:rPr>
          <w:noProof/>
          <w:shd w:val="clear" w:color="auto" w:fill="FFFFFF"/>
        </w:rPr>
        <w:t xml:space="preserve"> w</w:t>
      </w:r>
      <w:r w:rsidR="00062BFA">
        <w:rPr>
          <w:noProof/>
          <w:shd w:val="clear" w:color="auto" w:fill="FFFFFF"/>
        </w:rPr>
        <w:t> </w:t>
      </w:r>
      <w:r w:rsidR="00062BFA" w:rsidRPr="004F6DAA">
        <w:rPr>
          <w:noProof/>
          <w:shd w:val="clear" w:color="auto" w:fill="FFFFFF"/>
        </w:rPr>
        <w:t>szc</w:t>
      </w:r>
      <w:r w:rsidR="008E648C" w:rsidRPr="004F6DAA">
        <w:rPr>
          <w:noProof/>
          <w:shd w:val="clear" w:color="auto" w:fill="FFFFFF"/>
        </w:rPr>
        <w:t xml:space="preserve">zególności do osiągnięcia celów dotyczących życia na lądzie (cel zrównoważonego rozwoju </w:t>
      </w:r>
      <w:r w:rsidR="008E648C" w:rsidRPr="00062BFA">
        <w:rPr>
          <w:noProof/>
          <w:shd w:val="clear" w:color="auto" w:fill="FFFFFF"/>
        </w:rPr>
        <w:t>nr</w:t>
      </w:r>
      <w:r w:rsidR="00062BFA" w:rsidRPr="00062BFA">
        <w:rPr>
          <w:noProof/>
          <w:shd w:val="clear" w:color="auto" w:fill="FFFFFF"/>
        </w:rPr>
        <w:t> </w:t>
      </w:r>
      <w:r w:rsidR="008E648C" w:rsidRPr="00062BFA">
        <w:rPr>
          <w:noProof/>
          <w:shd w:val="clear" w:color="auto" w:fill="FFFFFF"/>
        </w:rPr>
        <w:t>1</w:t>
      </w:r>
      <w:r w:rsidR="008E648C" w:rsidRPr="004F6DAA">
        <w:rPr>
          <w:noProof/>
          <w:shd w:val="clear" w:color="auto" w:fill="FFFFFF"/>
        </w:rPr>
        <w:t>5), działań</w:t>
      </w:r>
      <w:r w:rsidR="00062BFA" w:rsidRPr="004F6DAA">
        <w:rPr>
          <w:noProof/>
          <w:shd w:val="clear" w:color="auto" w:fill="FFFFFF"/>
        </w:rPr>
        <w:t xml:space="preserve"> w</w:t>
      </w:r>
      <w:r w:rsidR="00062BFA">
        <w:rPr>
          <w:noProof/>
          <w:shd w:val="clear" w:color="auto" w:fill="FFFFFF"/>
        </w:rPr>
        <w:t> </w:t>
      </w:r>
      <w:r w:rsidR="00062BFA" w:rsidRPr="004F6DAA">
        <w:rPr>
          <w:noProof/>
          <w:shd w:val="clear" w:color="auto" w:fill="FFFFFF"/>
        </w:rPr>
        <w:t>dzi</w:t>
      </w:r>
      <w:r w:rsidR="008E648C" w:rsidRPr="004F6DAA">
        <w:rPr>
          <w:noProof/>
          <w:shd w:val="clear" w:color="auto" w:fill="FFFFFF"/>
        </w:rPr>
        <w:t xml:space="preserve">edzinie klimatu (cel zrównoważonego rozwoju </w:t>
      </w:r>
      <w:r w:rsidR="008E648C" w:rsidRPr="00062BFA">
        <w:rPr>
          <w:noProof/>
          <w:shd w:val="clear" w:color="auto" w:fill="FFFFFF"/>
        </w:rPr>
        <w:t>nr</w:t>
      </w:r>
      <w:r w:rsidR="00062BFA" w:rsidRPr="00062BFA">
        <w:rPr>
          <w:noProof/>
          <w:shd w:val="clear" w:color="auto" w:fill="FFFFFF"/>
        </w:rPr>
        <w:t> </w:t>
      </w:r>
      <w:r w:rsidR="008E648C" w:rsidRPr="00062BFA">
        <w:rPr>
          <w:noProof/>
          <w:shd w:val="clear" w:color="auto" w:fill="FFFFFF"/>
        </w:rPr>
        <w:t>1</w:t>
      </w:r>
      <w:r w:rsidR="008E648C" w:rsidRPr="004F6DAA">
        <w:rPr>
          <w:noProof/>
          <w:shd w:val="clear" w:color="auto" w:fill="FFFFFF"/>
        </w:rPr>
        <w:t>3), odpowiedzialnej konsumpcji</w:t>
      </w:r>
      <w:r w:rsidR="00062BFA" w:rsidRPr="004F6DAA">
        <w:rPr>
          <w:noProof/>
          <w:shd w:val="clear" w:color="auto" w:fill="FFFFFF"/>
        </w:rPr>
        <w:t xml:space="preserve"> i</w:t>
      </w:r>
      <w:r w:rsidR="00062BFA">
        <w:rPr>
          <w:noProof/>
          <w:shd w:val="clear" w:color="auto" w:fill="FFFFFF"/>
        </w:rPr>
        <w:t> </w:t>
      </w:r>
      <w:r w:rsidR="00062BFA" w:rsidRPr="004F6DAA">
        <w:rPr>
          <w:noProof/>
          <w:shd w:val="clear" w:color="auto" w:fill="FFFFFF"/>
        </w:rPr>
        <w:t>pro</w:t>
      </w:r>
      <w:r w:rsidR="008E648C" w:rsidRPr="004F6DAA">
        <w:rPr>
          <w:noProof/>
          <w:shd w:val="clear" w:color="auto" w:fill="FFFFFF"/>
        </w:rPr>
        <w:t xml:space="preserve">dukcji (cel zrównoważonego rozwoju </w:t>
      </w:r>
      <w:r w:rsidR="008E648C" w:rsidRPr="00062BFA">
        <w:rPr>
          <w:noProof/>
          <w:shd w:val="clear" w:color="auto" w:fill="FFFFFF"/>
        </w:rPr>
        <w:t>nr</w:t>
      </w:r>
      <w:r w:rsidR="00062BFA" w:rsidRPr="00062BFA">
        <w:rPr>
          <w:noProof/>
          <w:shd w:val="clear" w:color="auto" w:fill="FFFFFF"/>
        </w:rPr>
        <w:t> </w:t>
      </w:r>
      <w:r w:rsidR="008E648C" w:rsidRPr="00062BFA">
        <w:rPr>
          <w:noProof/>
          <w:shd w:val="clear" w:color="auto" w:fill="FFFFFF"/>
        </w:rPr>
        <w:t>1</w:t>
      </w:r>
      <w:r w:rsidR="008E648C" w:rsidRPr="004F6DAA">
        <w:rPr>
          <w:noProof/>
          <w:shd w:val="clear" w:color="auto" w:fill="FFFFFF"/>
        </w:rPr>
        <w:t xml:space="preserve">2), celu „zero głodu” (cel zrównoważonego rozwoju </w:t>
      </w:r>
      <w:r w:rsidR="008E648C" w:rsidRPr="00062BFA">
        <w:rPr>
          <w:noProof/>
          <w:shd w:val="clear" w:color="auto" w:fill="FFFFFF"/>
        </w:rPr>
        <w:t>nr</w:t>
      </w:r>
      <w:r w:rsidR="00062BFA" w:rsidRPr="00062BFA">
        <w:rPr>
          <w:noProof/>
          <w:shd w:val="clear" w:color="auto" w:fill="FFFFFF"/>
        </w:rPr>
        <w:t> </w:t>
      </w:r>
      <w:r w:rsidR="008E648C" w:rsidRPr="00062BFA">
        <w:rPr>
          <w:noProof/>
          <w:shd w:val="clear" w:color="auto" w:fill="FFFFFF"/>
        </w:rPr>
        <w:t>2</w:t>
      </w:r>
      <w:r w:rsidR="008E648C" w:rsidRPr="004F6DAA">
        <w:rPr>
          <w:noProof/>
          <w:shd w:val="clear" w:color="auto" w:fill="FFFFFF"/>
        </w:rPr>
        <w:t>) oraz celu dotyczącego dobrego zdrowia</w:t>
      </w:r>
      <w:r w:rsidR="00062BFA" w:rsidRPr="004F6DAA">
        <w:rPr>
          <w:noProof/>
          <w:shd w:val="clear" w:color="auto" w:fill="FFFFFF"/>
        </w:rPr>
        <w:t xml:space="preserve"> i</w:t>
      </w:r>
      <w:r w:rsidR="00062BFA">
        <w:rPr>
          <w:noProof/>
          <w:shd w:val="clear" w:color="auto" w:fill="FFFFFF"/>
        </w:rPr>
        <w:t> </w:t>
      </w:r>
      <w:r w:rsidR="00062BFA" w:rsidRPr="004F6DAA">
        <w:rPr>
          <w:noProof/>
          <w:shd w:val="clear" w:color="auto" w:fill="FFFFFF"/>
        </w:rPr>
        <w:t>jak</w:t>
      </w:r>
      <w:r w:rsidR="008E648C" w:rsidRPr="004F6DAA">
        <w:rPr>
          <w:noProof/>
          <w:shd w:val="clear" w:color="auto" w:fill="FFFFFF"/>
        </w:rPr>
        <w:t xml:space="preserve">ości życia (cel zrównoważonego rozwoju </w:t>
      </w:r>
      <w:r w:rsidR="008E648C" w:rsidRPr="00062BFA">
        <w:rPr>
          <w:noProof/>
          <w:shd w:val="clear" w:color="auto" w:fill="FFFFFF"/>
        </w:rPr>
        <w:t>nr</w:t>
      </w:r>
      <w:r w:rsidR="00062BFA" w:rsidRPr="00062BFA">
        <w:rPr>
          <w:noProof/>
          <w:shd w:val="clear" w:color="auto" w:fill="FFFFFF"/>
        </w:rPr>
        <w:t> </w:t>
      </w:r>
      <w:r w:rsidR="008E648C" w:rsidRPr="00062BFA">
        <w:rPr>
          <w:noProof/>
          <w:shd w:val="clear" w:color="auto" w:fill="FFFFFF"/>
        </w:rPr>
        <w:t>3</w:t>
      </w:r>
      <w:r w:rsidR="008E648C" w:rsidRPr="004F6DAA">
        <w:rPr>
          <w:noProof/>
          <w:shd w:val="clear" w:color="auto" w:fill="FFFFFF"/>
        </w:rPr>
        <w:t>)</w:t>
      </w:r>
      <w:r w:rsidR="008E648C" w:rsidRPr="004F6DAA">
        <w:rPr>
          <w:noProof/>
        </w:rPr>
        <w:t xml:space="preserve">. </w:t>
      </w:r>
      <w:r w:rsidR="008E648C" w:rsidRPr="004F6DAA">
        <w:rPr>
          <w:noProof/>
          <w:shd w:val="clear" w:color="auto" w:fill="FFFFFF"/>
        </w:rPr>
        <w:t xml:space="preserve">Odpowiedni cel </w:t>
      </w:r>
      <w:r w:rsidR="008E648C" w:rsidRPr="00062BFA">
        <w:rPr>
          <w:noProof/>
          <w:shd w:val="clear" w:color="auto" w:fill="FFFFFF"/>
        </w:rPr>
        <w:t>nr</w:t>
      </w:r>
      <w:r w:rsidR="00062BFA" w:rsidRPr="00062BFA">
        <w:rPr>
          <w:noProof/>
          <w:shd w:val="clear" w:color="auto" w:fill="FFFFFF"/>
        </w:rPr>
        <w:t> </w:t>
      </w:r>
      <w:r w:rsidR="008E648C" w:rsidRPr="00062BFA">
        <w:rPr>
          <w:noProof/>
          <w:shd w:val="clear" w:color="auto" w:fill="FFFFFF"/>
        </w:rPr>
        <w:t>1</w:t>
      </w:r>
      <w:r w:rsidR="008E648C" w:rsidRPr="004F6DAA">
        <w:rPr>
          <w:noProof/>
          <w:shd w:val="clear" w:color="auto" w:fill="FFFFFF"/>
        </w:rPr>
        <w:t xml:space="preserve">5.2 dotyczący zatrzymania wylesiania </w:t>
      </w:r>
      <w:r w:rsidR="008E648C" w:rsidRPr="00062BFA">
        <w:rPr>
          <w:noProof/>
          <w:shd w:val="clear" w:color="auto" w:fill="FFFFFF"/>
        </w:rPr>
        <w:t>do</w:t>
      </w:r>
      <w:r w:rsidR="00062BFA" w:rsidRPr="00062BFA">
        <w:rPr>
          <w:noProof/>
          <w:shd w:val="clear" w:color="auto" w:fill="FFFFFF"/>
        </w:rPr>
        <w:t> </w:t>
      </w:r>
      <w:r w:rsidR="008E648C" w:rsidRPr="00062BFA">
        <w:rPr>
          <w:noProof/>
          <w:shd w:val="clear" w:color="auto" w:fill="FFFFFF"/>
        </w:rPr>
        <w:t>2</w:t>
      </w:r>
      <w:r w:rsidR="008E648C" w:rsidRPr="004F6DAA">
        <w:rPr>
          <w:noProof/>
          <w:shd w:val="clear" w:color="auto" w:fill="FFFFFF"/>
        </w:rPr>
        <w:t>0</w:t>
      </w:r>
      <w:r w:rsidR="008E648C" w:rsidRPr="00062BFA">
        <w:rPr>
          <w:noProof/>
          <w:shd w:val="clear" w:color="auto" w:fill="FFFFFF"/>
        </w:rPr>
        <w:t>20</w:t>
      </w:r>
      <w:r w:rsidR="00062BFA" w:rsidRPr="00062BFA">
        <w:rPr>
          <w:noProof/>
          <w:shd w:val="clear" w:color="auto" w:fill="FFFFFF"/>
        </w:rPr>
        <w:t> </w:t>
      </w:r>
      <w:r w:rsidR="008E648C" w:rsidRPr="00062BFA">
        <w:rPr>
          <w:noProof/>
          <w:shd w:val="clear" w:color="auto" w:fill="FFFFFF"/>
        </w:rPr>
        <w:t>r.</w:t>
      </w:r>
      <w:r w:rsidR="008E648C" w:rsidRPr="004F6DAA">
        <w:rPr>
          <w:noProof/>
          <w:shd w:val="clear" w:color="auto" w:fill="FFFFFF"/>
        </w:rPr>
        <w:t xml:space="preserve"> nie został osiągnięty, co świadczy</w:t>
      </w:r>
      <w:r w:rsidR="00062BFA" w:rsidRPr="004F6DAA">
        <w:rPr>
          <w:noProof/>
          <w:shd w:val="clear" w:color="auto" w:fill="FFFFFF"/>
        </w:rPr>
        <w:t xml:space="preserve"> o</w:t>
      </w:r>
      <w:r w:rsidR="00062BFA">
        <w:rPr>
          <w:noProof/>
          <w:shd w:val="clear" w:color="auto" w:fill="FFFFFF"/>
        </w:rPr>
        <w:t> </w:t>
      </w:r>
      <w:r w:rsidR="00062BFA" w:rsidRPr="004F6DAA">
        <w:rPr>
          <w:noProof/>
          <w:shd w:val="clear" w:color="auto" w:fill="FFFFFF"/>
        </w:rPr>
        <w:t>pil</w:t>
      </w:r>
      <w:r w:rsidR="008E648C" w:rsidRPr="004F6DAA">
        <w:rPr>
          <w:noProof/>
          <w:shd w:val="clear" w:color="auto" w:fill="FFFFFF"/>
        </w:rPr>
        <w:t>nej potrzebie podjęcia ambitnych</w:t>
      </w:r>
      <w:r w:rsidR="00062BFA" w:rsidRPr="004F6DAA">
        <w:rPr>
          <w:noProof/>
          <w:shd w:val="clear" w:color="auto" w:fill="FFFFFF"/>
        </w:rPr>
        <w:t xml:space="preserve"> i</w:t>
      </w:r>
      <w:r w:rsidR="00062BFA">
        <w:rPr>
          <w:noProof/>
          <w:shd w:val="clear" w:color="auto" w:fill="FFFFFF"/>
        </w:rPr>
        <w:t> </w:t>
      </w:r>
      <w:r w:rsidR="00062BFA" w:rsidRPr="004F6DAA">
        <w:rPr>
          <w:noProof/>
          <w:shd w:val="clear" w:color="auto" w:fill="FFFFFF"/>
        </w:rPr>
        <w:t>sku</w:t>
      </w:r>
      <w:r w:rsidR="008E648C" w:rsidRPr="004F6DAA">
        <w:rPr>
          <w:noProof/>
          <w:shd w:val="clear" w:color="auto" w:fill="FFFFFF"/>
        </w:rPr>
        <w:t xml:space="preserve">tecznych działań. </w:t>
      </w:r>
    </w:p>
    <w:p w14:paraId="600E61FD" w14:textId="77777777" w:rsidR="008E648C" w:rsidRPr="004F6DAA" w:rsidRDefault="007B7EB7" w:rsidP="007B7EB7">
      <w:pPr>
        <w:pStyle w:val="ManualConsidrant"/>
        <w:rPr>
          <w:noProof/>
        </w:rPr>
      </w:pPr>
      <w:r w:rsidRPr="007B7EB7">
        <w:t>(16)</w:t>
      </w:r>
      <w:r w:rsidRPr="007B7EB7">
        <w:tab/>
      </w:r>
      <w:r w:rsidR="008E648C" w:rsidRPr="004F6DAA">
        <w:rPr>
          <w:noProof/>
        </w:rPr>
        <w:t>Niniejsze rozporządzenie powinno również stanowić odpowiedź na deklarację nowojorską</w:t>
      </w:r>
      <w:r w:rsidR="00062BFA" w:rsidRPr="004F6DAA">
        <w:rPr>
          <w:noProof/>
        </w:rPr>
        <w:t xml:space="preserve"> w</w:t>
      </w:r>
      <w:r w:rsidR="00062BFA">
        <w:rPr>
          <w:noProof/>
        </w:rPr>
        <w:t> </w:t>
      </w:r>
      <w:r w:rsidR="00062BFA" w:rsidRPr="004F6DAA">
        <w:rPr>
          <w:noProof/>
        </w:rPr>
        <w:t>spr</w:t>
      </w:r>
      <w:r w:rsidR="008E648C" w:rsidRPr="004F6DAA">
        <w:rPr>
          <w:noProof/>
        </w:rPr>
        <w:t>awie lasów</w:t>
      </w:r>
      <w:r w:rsidR="008E648C" w:rsidRPr="004F6DAA">
        <w:rPr>
          <w:rStyle w:val="Odwoanieprzypisudolnego"/>
          <w:noProof/>
        </w:rPr>
        <w:footnoteReference w:id="35"/>
      </w:r>
      <w:r w:rsidR="008E648C" w:rsidRPr="004F6DAA">
        <w:rPr>
          <w:noProof/>
        </w:rPr>
        <w:t>, niewiążącą prawnie deklarację polityczną,</w:t>
      </w:r>
      <w:r w:rsidR="00062BFA" w:rsidRPr="004F6DAA">
        <w:rPr>
          <w:noProof/>
        </w:rPr>
        <w:t xml:space="preserve"> w</w:t>
      </w:r>
      <w:r w:rsidR="00062BFA">
        <w:rPr>
          <w:noProof/>
        </w:rPr>
        <w:t> </w:t>
      </w:r>
      <w:r w:rsidR="00062BFA" w:rsidRPr="004F6DAA">
        <w:rPr>
          <w:noProof/>
        </w:rPr>
        <w:t>któ</w:t>
      </w:r>
      <w:r w:rsidR="008E648C" w:rsidRPr="004F6DAA">
        <w:rPr>
          <w:noProof/>
        </w:rPr>
        <w:t>rej zatwierdzono światowy harmonogram działań zmierzających do zmniejszenia</w:t>
      </w:r>
      <w:r w:rsidR="00062BFA" w:rsidRPr="004F6DAA">
        <w:rPr>
          <w:noProof/>
        </w:rPr>
        <w:t xml:space="preserve"> o</w:t>
      </w:r>
      <w:r w:rsidR="00062BFA">
        <w:rPr>
          <w:noProof/>
        </w:rPr>
        <w:t> </w:t>
      </w:r>
      <w:r w:rsidR="00062BFA" w:rsidRPr="004F6DAA">
        <w:rPr>
          <w:noProof/>
        </w:rPr>
        <w:t>poł</w:t>
      </w:r>
      <w:r w:rsidR="008E648C" w:rsidRPr="004F6DAA">
        <w:rPr>
          <w:noProof/>
        </w:rPr>
        <w:t xml:space="preserve">owę utraty lasów naturalnych </w:t>
      </w:r>
      <w:r w:rsidR="008E648C" w:rsidRPr="00062BFA">
        <w:rPr>
          <w:noProof/>
        </w:rPr>
        <w:t>do</w:t>
      </w:r>
      <w:r w:rsidR="00062BFA" w:rsidRPr="00062BFA">
        <w:rPr>
          <w:noProof/>
        </w:rPr>
        <w:t> </w:t>
      </w:r>
      <w:r w:rsidR="008E648C" w:rsidRPr="00062BFA">
        <w:rPr>
          <w:noProof/>
        </w:rPr>
        <w:t>2</w:t>
      </w:r>
      <w:r w:rsidR="008E648C" w:rsidRPr="004F6DAA">
        <w:rPr>
          <w:noProof/>
        </w:rPr>
        <w:t>0</w:t>
      </w:r>
      <w:r w:rsidR="008E648C" w:rsidRPr="00062BFA">
        <w:rPr>
          <w:noProof/>
        </w:rPr>
        <w:t>20</w:t>
      </w:r>
      <w:r w:rsidR="00062BFA" w:rsidRPr="00062BFA">
        <w:rPr>
          <w:noProof/>
        </w:rPr>
        <w:t> </w:t>
      </w:r>
      <w:r w:rsidR="008E648C" w:rsidRPr="00062BFA">
        <w:rPr>
          <w:noProof/>
        </w:rPr>
        <w:t>r.</w:t>
      </w:r>
      <w:r w:rsidR="008E648C" w:rsidRPr="004F6DAA">
        <w:rPr>
          <w:noProof/>
        </w:rPr>
        <w:t xml:space="preserve"> oraz zatrzymania tego procesu </w:t>
      </w:r>
      <w:r w:rsidR="008E648C" w:rsidRPr="00062BFA">
        <w:rPr>
          <w:noProof/>
        </w:rPr>
        <w:t>do</w:t>
      </w:r>
      <w:r w:rsidR="00062BFA" w:rsidRPr="00062BFA">
        <w:rPr>
          <w:noProof/>
        </w:rPr>
        <w:t> </w:t>
      </w:r>
      <w:r w:rsidR="008E648C" w:rsidRPr="00062BFA">
        <w:rPr>
          <w:noProof/>
        </w:rPr>
        <w:t>2</w:t>
      </w:r>
      <w:r w:rsidR="008E648C" w:rsidRPr="004F6DAA">
        <w:rPr>
          <w:noProof/>
        </w:rPr>
        <w:t>0</w:t>
      </w:r>
      <w:r w:rsidR="008E648C" w:rsidRPr="00062BFA">
        <w:rPr>
          <w:noProof/>
        </w:rPr>
        <w:t>30</w:t>
      </w:r>
      <w:r w:rsidR="00062BFA" w:rsidRPr="00062BFA">
        <w:rPr>
          <w:noProof/>
        </w:rPr>
        <w:t> </w:t>
      </w:r>
      <w:r w:rsidR="008E648C" w:rsidRPr="00062BFA">
        <w:rPr>
          <w:noProof/>
        </w:rPr>
        <w:t>r.</w:t>
      </w:r>
      <w:r w:rsidR="008E648C" w:rsidRPr="004F6DAA">
        <w:rPr>
          <w:noProof/>
        </w:rPr>
        <w:t xml:space="preserve"> Deklaracja została poparta przez dziesiątki rządów, wiele największych światowych przedsiębiorstw oraz wpływowe organizacje społeczeństwa obywatelskiego</w:t>
      </w:r>
      <w:r w:rsidR="00062BFA" w:rsidRPr="004F6DAA">
        <w:rPr>
          <w:noProof/>
        </w:rPr>
        <w:t xml:space="preserve"> i</w:t>
      </w:r>
      <w:r w:rsidR="00062BFA">
        <w:rPr>
          <w:noProof/>
        </w:rPr>
        <w:t> </w:t>
      </w:r>
      <w:r w:rsidR="00062BFA" w:rsidRPr="004F6DAA">
        <w:rPr>
          <w:noProof/>
        </w:rPr>
        <w:t>org</w:t>
      </w:r>
      <w:r w:rsidR="008E648C" w:rsidRPr="004F6DAA">
        <w:rPr>
          <w:noProof/>
        </w:rPr>
        <w:t>anizacje ludów tubylczych. Wezwano</w:t>
      </w:r>
      <w:r w:rsidR="00062BFA" w:rsidRPr="004F6DAA">
        <w:rPr>
          <w:noProof/>
        </w:rPr>
        <w:t xml:space="preserve"> w</w:t>
      </w:r>
      <w:r w:rsidR="00062BFA">
        <w:rPr>
          <w:noProof/>
        </w:rPr>
        <w:t> </w:t>
      </w:r>
      <w:r w:rsidR="00062BFA" w:rsidRPr="004F6DAA">
        <w:rPr>
          <w:noProof/>
        </w:rPr>
        <w:t>nie</w:t>
      </w:r>
      <w:r w:rsidR="008E648C" w:rsidRPr="004F6DAA">
        <w:rPr>
          <w:noProof/>
        </w:rPr>
        <w:t>j również sektor prywatny do osiągnięcia celu, jakim jest wyeliminowanie wylesiania</w:t>
      </w:r>
      <w:r w:rsidR="00062BFA" w:rsidRPr="004F6DAA">
        <w:rPr>
          <w:noProof/>
        </w:rPr>
        <w:t xml:space="preserve"> z</w:t>
      </w:r>
      <w:r w:rsidR="00062BFA">
        <w:rPr>
          <w:noProof/>
        </w:rPr>
        <w:t> </w:t>
      </w:r>
      <w:r w:rsidR="00062BFA" w:rsidRPr="004F6DAA">
        <w:rPr>
          <w:noProof/>
        </w:rPr>
        <w:t>pro</w:t>
      </w:r>
      <w:r w:rsidR="008E648C" w:rsidRPr="004F6DAA">
        <w:rPr>
          <w:noProof/>
        </w:rPr>
        <w:t>dukcji towarów rolnych, takich jak olej palmowy, soja, papier</w:t>
      </w:r>
      <w:r w:rsidR="00062BFA" w:rsidRPr="004F6DAA">
        <w:rPr>
          <w:noProof/>
        </w:rPr>
        <w:t xml:space="preserve"> i</w:t>
      </w:r>
      <w:r w:rsidR="00062BFA">
        <w:rPr>
          <w:noProof/>
        </w:rPr>
        <w:t> </w:t>
      </w:r>
      <w:r w:rsidR="00062BFA" w:rsidRPr="004F6DAA">
        <w:rPr>
          <w:noProof/>
        </w:rPr>
        <w:t>wyr</w:t>
      </w:r>
      <w:r w:rsidR="008E648C" w:rsidRPr="004F6DAA">
        <w:rPr>
          <w:noProof/>
        </w:rPr>
        <w:t>oby</w:t>
      </w:r>
      <w:r w:rsidR="00062BFA" w:rsidRPr="004F6DAA">
        <w:rPr>
          <w:noProof/>
        </w:rPr>
        <w:t xml:space="preserve"> z</w:t>
      </w:r>
      <w:r w:rsidR="00062BFA">
        <w:rPr>
          <w:noProof/>
        </w:rPr>
        <w:t> </w:t>
      </w:r>
      <w:r w:rsidR="00062BFA" w:rsidRPr="004F6DAA">
        <w:rPr>
          <w:noProof/>
        </w:rPr>
        <w:t>mię</w:t>
      </w:r>
      <w:r w:rsidR="008E648C" w:rsidRPr="004F6DAA">
        <w:rPr>
          <w:noProof/>
        </w:rPr>
        <w:t>sa wołowego, nie później niż do roku 2020, który to cel nie został osiągnięty. Rozporządzenie powinno ponadto przyczynić się do realizacji Strategicznego planu ONZ na rzecz lasów na lata 2017–2030</w:t>
      </w:r>
      <w:r w:rsidR="008E648C" w:rsidRPr="004F6DAA">
        <w:rPr>
          <w:rStyle w:val="Odwoanieprzypisudolnego"/>
          <w:noProof/>
        </w:rPr>
        <w:footnoteReference w:id="36"/>
      </w:r>
      <w:r w:rsidR="008E648C" w:rsidRPr="004F6DAA">
        <w:rPr>
          <w:noProof/>
        </w:rPr>
        <w:t xml:space="preserve">, którego globalnym celem leśnym </w:t>
      </w:r>
      <w:r w:rsidR="008E648C" w:rsidRPr="00062BFA">
        <w:rPr>
          <w:noProof/>
        </w:rPr>
        <w:t>nr</w:t>
      </w:r>
      <w:r w:rsidR="00062BFA" w:rsidRPr="00062BFA">
        <w:rPr>
          <w:noProof/>
        </w:rPr>
        <w:t> </w:t>
      </w:r>
      <w:r w:rsidR="008E648C" w:rsidRPr="00062BFA">
        <w:rPr>
          <w:noProof/>
        </w:rPr>
        <w:t>1</w:t>
      </w:r>
      <w:r w:rsidR="008E648C" w:rsidRPr="004F6DAA">
        <w:rPr>
          <w:noProof/>
        </w:rPr>
        <w:t xml:space="preserve"> jest odwrócenie tendencji do utraty zasobów leśnych na świecie poprzez zrównoważoną gospodarkę leśną,</w:t>
      </w:r>
      <w:r w:rsidR="00062BFA" w:rsidRPr="004F6DAA">
        <w:rPr>
          <w:noProof/>
        </w:rPr>
        <w:t xml:space="preserve"> w</w:t>
      </w:r>
      <w:r w:rsidR="00062BFA">
        <w:rPr>
          <w:noProof/>
        </w:rPr>
        <w:t> </w:t>
      </w:r>
      <w:r w:rsidR="00062BFA" w:rsidRPr="004F6DAA">
        <w:rPr>
          <w:noProof/>
        </w:rPr>
        <w:t>tym</w:t>
      </w:r>
      <w:r w:rsidR="008E648C" w:rsidRPr="004F6DAA">
        <w:rPr>
          <w:noProof/>
        </w:rPr>
        <w:t xml:space="preserve"> ochronę, odtwarzanie, zalesianie</w:t>
      </w:r>
      <w:r w:rsidR="00062BFA" w:rsidRPr="004F6DAA">
        <w:rPr>
          <w:noProof/>
        </w:rPr>
        <w:t xml:space="preserve"> i</w:t>
      </w:r>
      <w:r w:rsidR="00062BFA">
        <w:rPr>
          <w:noProof/>
        </w:rPr>
        <w:t> </w:t>
      </w:r>
      <w:r w:rsidR="00062BFA" w:rsidRPr="004F6DAA">
        <w:rPr>
          <w:noProof/>
        </w:rPr>
        <w:t>pon</w:t>
      </w:r>
      <w:r w:rsidR="008E648C" w:rsidRPr="004F6DAA">
        <w:rPr>
          <w:noProof/>
        </w:rPr>
        <w:t>owne zalesianie, oraz zwiększenie starań na rzecz zapobiegania degradacji lasów</w:t>
      </w:r>
      <w:r w:rsidR="00062BFA" w:rsidRPr="004F6DAA">
        <w:rPr>
          <w:noProof/>
        </w:rPr>
        <w:t xml:space="preserve"> i</w:t>
      </w:r>
      <w:r w:rsidR="00062BFA">
        <w:rPr>
          <w:noProof/>
        </w:rPr>
        <w:t> </w:t>
      </w:r>
      <w:r w:rsidR="00062BFA" w:rsidRPr="004F6DAA">
        <w:rPr>
          <w:noProof/>
        </w:rPr>
        <w:t>zwi</w:t>
      </w:r>
      <w:r w:rsidR="008E648C" w:rsidRPr="004F6DAA">
        <w:rPr>
          <w:noProof/>
        </w:rPr>
        <w:t>ększenia udziału lasów</w:t>
      </w:r>
      <w:r w:rsidR="00062BFA" w:rsidRPr="004F6DAA">
        <w:rPr>
          <w:noProof/>
        </w:rPr>
        <w:t xml:space="preserve"> w</w:t>
      </w:r>
      <w:r w:rsidR="00062BFA">
        <w:rPr>
          <w:noProof/>
        </w:rPr>
        <w:t> </w:t>
      </w:r>
      <w:r w:rsidR="00062BFA" w:rsidRPr="004F6DAA">
        <w:rPr>
          <w:noProof/>
        </w:rPr>
        <w:t>prz</w:t>
      </w:r>
      <w:r w:rsidR="008E648C" w:rsidRPr="004F6DAA">
        <w:rPr>
          <w:noProof/>
        </w:rPr>
        <w:t>eciwdziałaniu zmianie klimatu.</w:t>
      </w:r>
    </w:p>
    <w:p w14:paraId="22D2076B" w14:textId="77777777" w:rsidR="008E648C" w:rsidRPr="004F6DAA" w:rsidRDefault="007B7EB7" w:rsidP="007B7EB7">
      <w:pPr>
        <w:pStyle w:val="ManualConsidrant"/>
        <w:rPr>
          <w:noProof/>
        </w:rPr>
      </w:pPr>
      <w:r w:rsidRPr="007B7EB7">
        <w:t>(17)</w:t>
      </w:r>
      <w:r w:rsidRPr="007B7EB7">
        <w:tab/>
      </w:r>
      <w:r w:rsidR="008E648C" w:rsidRPr="004F6DAA">
        <w:rPr>
          <w:noProof/>
        </w:rPr>
        <w:t>Niniejsze rozporządzenie powinno również stanowić odpowiedź na deklarację przywódców</w:t>
      </w:r>
      <w:r w:rsidR="00062BFA" w:rsidRPr="004F6DAA">
        <w:rPr>
          <w:noProof/>
        </w:rPr>
        <w:t xml:space="preserve"> z</w:t>
      </w:r>
      <w:r w:rsidR="00062BFA">
        <w:rPr>
          <w:noProof/>
        </w:rPr>
        <w:t> </w:t>
      </w:r>
      <w:r w:rsidR="00062BFA" w:rsidRPr="004F6DAA">
        <w:rPr>
          <w:noProof/>
        </w:rPr>
        <w:t>Gla</w:t>
      </w:r>
      <w:r w:rsidR="008E648C" w:rsidRPr="004F6DAA">
        <w:rPr>
          <w:noProof/>
        </w:rPr>
        <w:t>sgow</w:t>
      </w:r>
      <w:r w:rsidR="00062BFA" w:rsidRPr="004F6DAA">
        <w:rPr>
          <w:noProof/>
        </w:rPr>
        <w:t xml:space="preserve"> z</w:t>
      </w:r>
      <w:r w:rsidR="00062BFA">
        <w:rPr>
          <w:noProof/>
        </w:rPr>
        <w:t> </w:t>
      </w:r>
      <w:r w:rsidR="00062BFA" w:rsidRPr="004F6DAA">
        <w:rPr>
          <w:noProof/>
        </w:rPr>
        <w:t>2</w:t>
      </w:r>
      <w:r w:rsidR="008E648C" w:rsidRPr="004F6DAA">
        <w:rPr>
          <w:noProof/>
        </w:rPr>
        <w:t>0</w:t>
      </w:r>
      <w:r w:rsidR="008E648C" w:rsidRPr="00062BFA">
        <w:rPr>
          <w:noProof/>
        </w:rPr>
        <w:t>21</w:t>
      </w:r>
      <w:r w:rsidR="00062BFA" w:rsidRPr="00062BFA">
        <w:rPr>
          <w:noProof/>
        </w:rPr>
        <w:t> </w:t>
      </w:r>
      <w:r w:rsidR="008E648C" w:rsidRPr="00062BFA">
        <w:rPr>
          <w:noProof/>
        </w:rPr>
        <w:t>r.</w:t>
      </w:r>
      <w:r w:rsidR="00062BFA" w:rsidRPr="004F6DAA">
        <w:rPr>
          <w:noProof/>
        </w:rPr>
        <w:t xml:space="preserve"> w</w:t>
      </w:r>
      <w:r w:rsidR="00062BFA">
        <w:rPr>
          <w:noProof/>
        </w:rPr>
        <w:t> </w:t>
      </w:r>
      <w:r w:rsidR="00062BFA" w:rsidRPr="004F6DAA">
        <w:rPr>
          <w:noProof/>
        </w:rPr>
        <w:t>spr</w:t>
      </w:r>
      <w:r w:rsidR="008E648C" w:rsidRPr="004F6DAA">
        <w:rPr>
          <w:noProof/>
        </w:rPr>
        <w:t>awie użytkowania lasów</w:t>
      </w:r>
      <w:r w:rsidR="00062BFA" w:rsidRPr="004F6DAA">
        <w:rPr>
          <w:noProof/>
        </w:rPr>
        <w:t xml:space="preserve"> i</w:t>
      </w:r>
      <w:r w:rsidR="00062BFA">
        <w:rPr>
          <w:noProof/>
        </w:rPr>
        <w:t> </w:t>
      </w:r>
      <w:r w:rsidR="00062BFA" w:rsidRPr="004F6DAA">
        <w:rPr>
          <w:noProof/>
        </w:rPr>
        <w:t>gru</w:t>
      </w:r>
      <w:r w:rsidR="008E648C" w:rsidRPr="004F6DAA">
        <w:rPr>
          <w:noProof/>
        </w:rPr>
        <w:t>ntów</w:t>
      </w:r>
      <w:r w:rsidR="008E648C" w:rsidRPr="004F6DAA">
        <w:rPr>
          <w:rStyle w:val="Odwoanieprzypisudolnego"/>
          <w:noProof/>
        </w:rPr>
        <w:footnoteReference w:id="37"/>
      </w:r>
      <w:r w:rsidR="008E648C" w:rsidRPr="004F6DAA">
        <w:rPr>
          <w:noProof/>
        </w:rPr>
        <w:t>,</w:t>
      </w:r>
      <w:r w:rsidR="00062BFA" w:rsidRPr="004F6DAA">
        <w:rPr>
          <w:noProof/>
        </w:rPr>
        <w:t xml:space="preserve"> w</w:t>
      </w:r>
      <w:r w:rsidR="00062BFA">
        <w:rPr>
          <w:noProof/>
        </w:rPr>
        <w:t> </w:t>
      </w:r>
      <w:r w:rsidR="00062BFA" w:rsidRPr="004F6DAA">
        <w:rPr>
          <w:noProof/>
        </w:rPr>
        <w:t>któ</w:t>
      </w:r>
      <w:r w:rsidR="008E648C" w:rsidRPr="004F6DAA">
        <w:rPr>
          <w:noProof/>
        </w:rPr>
        <w:t>rej uznano, że „osiągnięcie naszych celów</w:t>
      </w:r>
      <w:r w:rsidR="00062BFA" w:rsidRPr="004F6DAA">
        <w:rPr>
          <w:noProof/>
        </w:rPr>
        <w:t xml:space="preserve"> w</w:t>
      </w:r>
      <w:r w:rsidR="00062BFA">
        <w:rPr>
          <w:noProof/>
        </w:rPr>
        <w:t> </w:t>
      </w:r>
      <w:r w:rsidR="00062BFA" w:rsidRPr="004F6DAA">
        <w:rPr>
          <w:noProof/>
        </w:rPr>
        <w:t>zak</w:t>
      </w:r>
      <w:r w:rsidR="008E648C" w:rsidRPr="004F6DAA">
        <w:rPr>
          <w:noProof/>
        </w:rPr>
        <w:t>resie użytkowania gruntów, klimatu, różnorodności biologicznej</w:t>
      </w:r>
      <w:r w:rsidR="00062BFA" w:rsidRPr="004F6DAA">
        <w:rPr>
          <w:noProof/>
        </w:rPr>
        <w:t xml:space="preserve"> i</w:t>
      </w:r>
      <w:r w:rsidR="00062BFA">
        <w:rPr>
          <w:noProof/>
        </w:rPr>
        <w:t> </w:t>
      </w:r>
      <w:r w:rsidR="00062BFA" w:rsidRPr="004F6DAA">
        <w:rPr>
          <w:noProof/>
        </w:rPr>
        <w:t>cel</w:t>
      </w:r>
      <w:r w:rsidR="008E648C" w:rsidRPr="004F6DAA">
        <w:rPr>
          <w:noProof/>
        </w:rPr>
        <w:t>ów zrównoważonego rozwoju, zarówno na poziomie globalnym, jak</w:t>
      </w:r>
      <w:r w:rsidR="00062BFA" w:rsidRPr="004F6DAA">
        <w:rPr>
          <w:noProof/>
        </w:rPr>
        <w:t xml:space="preserve"> i</w:t>
      </w:r>
      <w:r w:rsidR="00062BFA">
        <w:rPr>
          <w:noProof/>
        </w:rPr>
        <w:t> </w:t>
      </w:r>
      <w:r w:rsidR="00062BFA" w:rsidRPr="004F6DAA">
        <w:rPr>
          <w:noProof/>
        </w:rPr>
        <w:t>kra</w:t>
      </w:r>
      <w:r w:rsidR="008E648C" w:rsidRPr="004F6DAA">
        <w:rPr>
          <w:noProof/>
        </w:rPr>
        <w:t>jowym, będzie wymagało dalszych działań związanych</w:t>
      </w:r>
      <w:r w:rsidR="00062BFA" w:rsidRPr="004F6DAA">
        <w:rPr>
          <w:noProof/>
        </w:rPr>
        <w:t xml:space="preserve"> z</w:t>
      </w:r>
      <w:r w:rsidR="00062BFA">
        <w:rPr>
          <w:noProof/>
        </w:rPr>
        <w:t> </w:t>
      </w:r>
      <w:r w:rsidR="00062BFA" w:rsidRPr="004F6DAA">
        <w:rPr>
          <w:noProof/>
        </w:rPr>
        <w:t>tra</w:t>
      </w:r>
      <w:r w:rsidR="008E648C" w:rsidRPr="004F6DAA">
        <w:rPr>
          <w:noProof/>
        </w:rPr>
        <w:t>nsformacją we wzajemnie powiązanych obszarach zrównoważonej produkcji</w:t>
      </w:r>
      <w:r w:rsidR="00062BFA" w:rsidRPr="004F6DAA">
        <w:rPr>
          <w:noProof/>
        </w:rPr>
        <w:t xml:space="preserve"> i</w:t>
      </w:r>
      <w:r w:rsidR="00062BFA">
        <w:rPr>
          <w:noProof/>
        </w:rPr>
        <w:t> </w:t>
      </w:r>
      <w:r w:rsidR="00062BFA" w:rsidRPr="004F6DAA">
        <w:rPr>
          <w:noProof/>
        </w:rPr>
        <w:t>kon</w:t>
      </w:r>
      <w:r w:rsidR="008E648C" w:rsidRPr="004F6DAA">
        <w:rPr>
          <w:noProof/>
        </w:rPr>
        <w:t>sumpcji; rozwoju infrastruktury; handlu, finansów</w:t>
      </w:r>
      <w:r w:rsidR="00062BFA" w:rsidRPr="004F6DAA">
        <w:rPr>
          <w:noProof/>
        </w:rPr>
        <w:t xml:space="preserve"> i</w:t>
      </w:r>
      <w:r w:rsidR="00062BFA">
        <w:rPr>
          <w:noProof/>
        </w:rPr>
        <w:t> </w:t>
      </w:r>
      <w:r w:rsidR="00062BFA" w:rsidRPr="004F6DAA">
        <w:rPr>
          <w:noProof/>
        </w:rPr>
        <w:t>inw</w:t>
      </w:r>
      <w:r w:rsidR="008E648C" w:rsidRPr="004F6DAA">
        <w:rPr>
          <w:noProof/>
        </w:rPr>
        <w:t>estycji; oraz wsparcia drobnych producentów rolnych, społeczności tubylczych</w:t>
      </w:r>
      <w:r w:rsidR="00062BFA" w:rsidRPr="004F6DAA">
        <w:rPr>
          <w:noProof/>
        </w:rPr>
        <w:t xml:space="preserve"> i</w:t>
      </w:r>
      <w:r w:rsidR="00062BFA">
        <w:rPr>
          <w:noProof/>
        </w:rPr>
        <w:t> </w:t>
      </w:r>
      <w:r w:rsidR="00062BFA" w:rsidRPr="004F6DAA">
        <w:rPr>
          <w:noProof/>
        </w:rPr>
        <w:t>lok</w:t>
      </w:r>
      <w:r w:rsidR="008E648C" w:rsidRPr="004F6DAA">
        <w:rPr>
          <w:noProof/>
        </w:rPr>
        <w:t>alnych”. Sygnatariusze podkreślili również</w:t>
      </w:r>
      <w:r w:rsidR="00062BFA" w:rsidRPr="004F6DAA">
        <w:rPr>
          <w:noProof/>
        </w:rPr>
        <w:t xml:space="preserve"> w</w:t>
      </w:r>
      <w:r w:rsidR="00062BFA">
        <w:rPr>
          <w:noProof/>
        </w:rPr>
        <w:t> </w:t>
      </w:r>
      <w:r w:rsidR="00062BFA" w:rsidRPr="004F6DAA">
        <w:rPr>
          <w:noProof/>
        </w:rPr>
        <w:t>tej</w:t>
      </w:r>
      <w:r w:rsidR="008E648C" w:rsidRPr="004F6DAA">
        <w:rPr>
          <w:noProof/>
        </w:rPr>
        <w:t xml:space="preserve"> deklaracji, że wzmocnią swoje wspólne starania na rzecz ułatwienia polityki handlowej</w:t>
      </w:r>
      <w:r w:rsidR="00062BFA" w:rsidRPr="004F6DAA">
        <w:rPr>
          <w:noProof/>
        </w:rPr>
        <w:t xml:space="preserve"> i</w:t>
      </w:r>
      <w:r w:rsidR="00062BFA">
        <w:rPr>
          <w:noProof/>
        </w:rPr>
        <w:t> </w:t>
      </w:r>
      <w:r w:rsidR="00062BFA" w:rsidRPr="004F6DAA">
        <w:rPr>
          <w:noProof/>
        </w:rPr>
        <w:t>roz</w:t>
      </w:r>
      <w:r w:rsidR="008E648C" w:rsidRPr="004F6DAA">
        <w:rPr>
          <w:noProof/>
        </w:rPr>
        <w:t>wojowej na poziomie międzynarodowym</w:t>
      </w:r>
      <w:r w:rsidR="00062BFA" w:rsidRPr="004F6DAA">
        <w:rPr>
          <w:noProof/>
        </w:rPr>
        <w:t xml:space="preserve"> i</w:t>
      </w:r>
      <w:r w:rsidR="00062BFA">
        <w:rPr>
          <w:noProof/>
        </w:rPr>
        <w:t> </w:t>
      </w:r>
      <w:r w:rsidR="00062BFA" w:rsidRPr="004F6DAA">
        <w:rPr>
          <w:noProof/>
        </w:rPr>
        <w:t>kra</w:t>
      </w:r>
      <w:r w:rsidR="008E648C" w:rsidRPr="004F6DAA">
        <w:rPr>
          <w:noProof/>
        </w:rPr>
        <w:t>jowym, która propaguje zrównoważony rozwój oraz zrównoważoną produkcję</w:t>
      </w:r>
      <w:r w:rsidR="00062BFA" w:rsidRPr="004F6DAA">
        <w:rPr>
          <w:noProof/>
        </w:rPr>
        <w:t xml:space="preserve"> i</w:t>
      </w:r>
      <w:r w:rsidR="00062BFA">
        <w:rPr>
          <w:noProof/>
        </w:rPr>
        <w:t> </w:t>
      </w:r>
      <w:r w:rsidR="00062BFA" w:rsidRPr="004F6DAA">
        <w:rPr>
          <w:noProof/>
        </w:rPr>
        <w:t>kon</w:t>
      </w:r>
      <w:r w:rsidR="008E648C" w:rsidRPr="004F6DAA">
        <w:rPr>
          <w:noProof/>
        </w:rPr>
        <w:t>sumpcję towarów, przynosi wzajemne korzyści krajom</w:t>
      </w:r>
      <w:r w:rsidR="00062BFA" w:rsidRPr="004F6DAA">
        <w:rPr>
          <w:noProof/>
        </w:rPr>
        <w:t xml:space="preserve"> i</w:t>
      </w:r>
      <w:r w:rsidR="00062BFA">
        <w:rPr>
          <w:noProof/>
        </w:rPr>
        <w:t> </w:t>
      </w:r>
      <w:r w:rsidR="00062BFA" w:rsidRPr="004F6DAA">
        <w:rPr>
          <w:noProof/>
        </w:rPr>
        <w:t>nie</w:t>
      </w:r>
      <w:r w:rsidR="008E648C" w:rsidRPr="004F6DAA">
        <w:rPr>
          <w:noProof/>
        </w:rPr>
        <w:t xml:space="preserve"> prowadzi do wylesiania</w:t>
      </w:r>
      <w:r w:rsidR="00062BFA" w:rsidRPr="004F6DAA">
        <w:rPr>
          <w:noProof/>
        </w:rPr>
        <w:t xml:space="preserve"> i</w:t>
      </w:r>
      <w:r w:rsidR="00062BFA">
        <w:rPr>
          <w:noProof/>
        </w:rPr>
        <w:t> </w:t>
      </w:r>
      <w:r w:rsidR="00062BFA" w:rsidRPr="004F6DAA">
        <w:rPr>
          <w:noProof/>
        </w:rPr>
        <w:t>deg</w:t>
      </w:r>
      <w:r w:rsidR="008E648C" w:rsidRPr="004F6DAA">
        <w:rPr>
          <w:noProof/>
        </w:rPr>
        <w:t>radacji gruntów.</w:t>
      </w:r>
    </w:p>
    <w:p w14:paraId="6E736BE9" w14:textId="77777777" w:rsidR="008E648C" w:rsidRPr="004F6DAA" w:rsidRDefault="007B7EB7" w:rsidP="007B7EB7">
      <w:pPr>
        <w:pStyle w:val="ManualConsidrant"/>
        <w:rPr>
          <w:noProof/>
        </w:rPr>
      </w:pPr>
      <w:r w:rsidRPr="007B7EB7">
        <w:t>(18)</w:t>
      </w:r>
      <w:r w:rsidRPr="007B7EB7">
        <w:tab/>
      </w:r>
      <w:r w:rsidR="008E648C" w:rsidRPr="004F6DAA">
        <w:rPr>
          <w:noProof/>
        </w:rPr>
        <w:t>Jako członek Światowej Organizacji Handlu (WTO) Unia jest zobowiązana do wspierania wielostronnego systemu handlowego, który jest powszechny, oparty na zasadach, otwarty, przejrzysty, przewidywalny, włączający, niedyskryminujący</w:t>
      </w:r>
      <w:r w:rsidR="00062BFA" w:rsidRPr="004F6DAA">
        <w:rPr>
          <w:noProof/>
        </w:rPr>
        <w:t xml:space="preserve"> i</w:t>
      </w:r>
      <w:r w:rsidR="00062BFA">
        <w:rPr>
          <w:noProof/>
        </w:rPr>
        <w:t> </w:t>
      </w:r>
      <w:r w:rsidR="00062BFA" w:rsidRPr="004F6DAA">
        <w:rPr>
          <w:noProof/>
        </w:rPr>
        <w:t>spr</w:t>
      </w:r>
      <w:r w:rsidR="008E648C" w:rsidRPr="004F6DAA">
        <w:rPr>
          <w:noProof/>
        </w:rPr>
        <w:t>awiedliwy</w:t>
      </w:r>
      <w:r w:rsidR="00062BFA" w:rsidRPr="004F6DAA">
        <w:rPr>
          <w:noProof/>
        </w:rPr>
        <w:t xml:space="preserve"> w</w:t>
      </w:r>
      <w:r w:rsidR="00062BFA">
        <w:rPr>
          <w:noProof/>
        </w:rPr>
        <w:t> </w:t>
      </w:r>
      <w:r w:rsidR="00062BFA" w:rsidRPr="004F6DAA">
        <w:rPr>
          <w:noProof/>
        </w:rPr>
        <w:t>ram</w:t>
      </w:r>
      <w:r w:rsidR="008E648C" w:rsidRPr="004F6DAA">
        <w:rPr>
          <w:noProof/>
        </w:rPr>
        <w:t>ach WTO, jak również otwartej, zrównoważonej</w:t>
      </w:r>
      <w:r w:rsidR="00062BFA" w:rsidRPr="004F6DAA">
        <w:rPr>
          <w:noProof/>
        </w:rPr>
        <w:t xml:space="preserve"> i</w:t>
      </w:r>
      <w:r w:rsidR="00062BFA">
        <w:rPr>
          <w:noProof/>
        </w:rPr>
        <w:t> </w:t>
      </w:r>
      <w:r w:rsidR="00062BFA" w:rsidRPr="004F6DAA">
        <w:rPr>
          <w:noProof/>
        </w:rPr>
        <w:t>ase</w:t>
      </w:r>
      <w:r w:rsidR="008E648C" w:rsidRPr="004F6DAA">
        <w:rPr>
          <w:noProof/>
        </w:rPr>
        <w:t>rtywnej polityki handlowej. Niniejsze rozporządzenie będzie zatem obejmowało swoim zakresem zarówno towary</w:t>
      </w:r>
      <w:r w:rsidR="00062BFA" w:rsidRPr="004F6DAA">
        <w:rPr>
          <w:noProof/>
        </w:rPr>
        <w:t xml:space="preserve"> i</w:t>
      </w:r>
      <w:r w:rsidR="00062BFA">
        <w:rPr>
          <w:noProof/>
        </w:rPr>
        <w:t> </w:t>
      </w:r>
      <w:r w:rsidR="00062BFA" w:rsidRPr="004F6DAA">
        <w:rPr>
          <w:noProof/>
        </w:rPr>
        <w:t>pro</w:t>
      </w:r>
      <w:r w:rsidR="008E648C" w:rsidRPr="004F6DAA">
        <w:rPr>
          <w:noProof/>
        </w:rPr>
        <w:t>dukty wytwarzane</w:t>
      </w:r>
      <w:r w:rsidR="00062BFA" w:rsidRPr="004F6DAA">
        <w:rPr>
          <w:noProof/>
        </w:rPr>
        <w:t xml:space="preserve"> w</w:t>
      </w:r>
      <w:r w:rsidR="00062BFA">
        <w:rPr>
          <w:noProof/>
        </w:rPr>
        <w:t> </w:t>
      </w:r>
      <w:r w:rsidR="00062BFA" w:rsidRPr="004F6DAA">
        <w:rPr>
          <w:noProof/>
        </w:rPr>
        <w:t>Uni</w:t>
      </w:r>
      <w:r w:rsidR="008E648C" w:rsidRPr="004F6DAA">
        <w:rPr>
          <w:noProof/>
        </w:rPr>
        <w:t>i, jak</w:t>
      </w:r>
      <w:r w:rsidR="00062BFA" w:rsidRPr="004F6DAA">
        <w:rPr>
          <w:noProof/>
        </w:rPr>
        <w:t xml:space="preserve"> i</w:t>
      </w:r>
      <w:r w:rsidR="00062BFA">
        <w:rPr>
          <w:noProof/>
        </w:rPr>
        <w:t> </w:t>
      </w:r>
      <w:r w:rsidR="00062BFA" w:rsidRPr="004F6DAA">
        <w:rPr>
          <w:noProof/>
        </w:rPr>
        <w:t>tow</w:t>
      </w:r>
      <w:r w:rsidR="008E648C" w:rsidRPr="004F6DAA">
        <w:rPr>
          <w:noProof/>
        </w:rPr>
        <w:t>ary</w:t>
      </w:r>
      <w:r w:rsidR="00062BFA" w:rsidRPr="004F6DAA">
        <w:rPr>
          <w:noProof/>
        </w:rPr>
        <w:t xml:space="preserve"> i</w:t>
      </w:r>
      <w:r w:rsidR="00062BFA">
        <w:rPr>
          <w:noProof/>
        </w:rPr>
        <w:t> </w:t>
      </w:r>
      <w:r w:rsidR="00062BFA" w:rsidRPr="004F6DAA">
        <w:rPr>
          <w:noProof/>
        </w:rPr>
        <w:t>pro</w:t>
      </w:r>
      <w:r w:rsidR="008E648C" w:rsidRPr="004F6DAA">
        <w:rPr>
          <w:noProof/>
        </w:rPr>
        <w:t>dukty przywożone do Unii.</w:t>
      </w:r>
    </w:p>
    <w:p w14:paraId="5CFFB3E4" w14:textId="77777777" w:rsidR="008E648C" w:rsidRPr="004F6DAA" w:rsidRDefault="007B7EB7" w:rsidP="007B7EB7">
      <w:pPr>
        <w:pStyle w:val="ManualConsidrant"/>
        <w:rPr>
          <w:noProof/>
          <w:szCs w:val="24"/>
        </w:rPr>
      </w:pPr>
      <w:r w:rsidRPr="007B7EB7">
        <w:t>(19)</w:t>
      </w:r>
      <w:r w:rsidRPr="007B7EB7">
        <w:tab/>
      </w:r>
      <w:r w:rsidR="008E648C" w:rsidRPr="004F6DAA">
        <w:rPr>
          <w:noProof/>
        </w:rPr>
        <w:t>Niniejsze rozporządzenie jest również zgodne</w:t>
      </w:r>
      <w:r w:rsidR="00062BFA" w:rsidRPr="004F6DAA">
        <w:rPr>
          <w:noProof/>
        </w:rPr>
        <w:t xml:space="preserve"> z</w:t>
      </w:r>
      <w:r w:rsidR="00062BFA">
        <w:rPr>
          <w:noProof/>
        </w:rPr>
        <w:t> </w:t>
      </w:r>
      <w:r w:rsidR="00062BFA" w:rsidRPr="004F6DAA">
        <w:rPr>
          <w:noProof/>
          <w:color w:val="FF0000"/>
        </w:rPr>
        <w:t>kom</w:t>
      </w:r>
      <w:r w:rsidR="008E648C" w:rsidRPr="004F6DAA">
        <w:rPr>
          <w:noProof/>
          <w:color w:val="FF0000"/>
        </w:rPr>
        <w:t>unikatem Komisji dotyczącym „otwartej, zrównoważonej</w:t>
      </w:r>
      <w:r w:rsidR="00062BFA" w:rsidRPr="004F6DAA">
        <w:rPr>
          <w:noProof/>
          <w:color w:val="FF0000"/>
        </w:rPr>
        <w:t xml:space="preserve"> i</w:t>
      </w:r>
      <w:r w:rsidR="00062BFA">
        <w:rPr>
          <w:noProof/>
          <w:color w:val="FF0000"/>
        </w:rPr>
        <w:t> </w:t>
      </w:r>
      <w:r w:rsidR="00062BFA" w:rsidRPr="004F6DAA">
        <w:rPr>
          <w:noProof/>
          <w:color w:val="FF0000"/>
        </w:rPr>
        <w:t>ase</w:t>
      </w:r>
      <w:r w:rsidR="008E648C" w:rsidRPr="004F6DAA">
        <w:rPr>
          <w:noProof/>
          <w:color w:val="FF0000"/>
        </w:rPr>
        <w:t>rtywnej polityki handlowej”</w:t>
      </w:r>
      <w:r w:rsidR="008E648C" w:rsidRPr="004F6DAA">
        <w:rPr>
          <w:rStyle w:val="Odwoanieprzypisudolnego"/>
          <w:noProof/>
          <w:color w:val="FF0000"/>
        </w:rPr>
        <w:footnoteReference w:id="38"/>
      </w:r>
      <w:r w:rsidR="00062BFA" w:rsidRPr="00062BFA">
        <w:rPr>
          <w:noProof/>
        </w:rPr>
        <w:t>,</w:t>
      </w:r>
      <w:r w:rsidR="00062BFA" w:rsidRPr="00062BFA">
        <w:rPr>
          <w:rStyle w:val="Odwoanieprzypisudolnego"/>
          <w:noProof/>
          <w:color w:val="FF0000"/>
        </w:rPr>
        <w:t xml:space="preserve"> </w:t>
      </w:r>
      <w:r w:rsidR="00062BFA" w:rsidRPr="004F6DAA">
        <w:rPr>
          <w:noProof/>
        </w:rPr>
        <w:t>w</w:t>
      </w:r>
      <w:r w:rsidR="00062BFA">
        <w:rPr>
          <w:rStyle w:val="Odwoanieprzypisudolnego"/>
          <w:noProof/>
          <w:color w:val="FF0000"/>
        </w:rPr>
        <w:t> </w:t>
      </w:r>
      <w:r w:rsidR="00062BFA" w:rsidRPr="004F6DAA">
        <w:rPr>
          <w:noProof/>
        </w:rPr>
        <w:t>któ</w:t>
      </w:r>
      <w:r w:rsidR="008E648C" w:rsidRPr="004F6DAA">
        <w:rPr>
          <w:noProof/>
        </w:rPr>
        <w:t>rym stwierdzono, że</w:t>
      </w:r>
      <w:r w:rsidR="00062BFA" w:rsidRPr="004F6DAA">
        <w:rPr>
          <w:noProof/>
        </w:rPr>
        <w:t xml:space="preserve"> w</w:t>
      </w:r>
      <w:r w:rsidR="00062BFA">
        <w:rPr>
          <w:noProof/>
        </w:rPr>
        <w:t> </w:t>
      </w:r>
      <w:r w:rsidR="00062BFA" w:rsidRPr="004F6DAA">
        <w:rPr>
          <w:noProof/>
        </w:rPr>
        <w:t>obl</w:t>
      </w:r>
      <w:r w:rsidR="008E648C" w:rsidRPr="004F6DAA">
        <w:rPr>
          <w:noProof/>
        </w:rPr>
        <w:t>iczu nowych wyzwań wewnętrznych</w:t>
      </w:r>
      <w:r w:rsidR="00062BFA" w:rsidRPr="004F6DAA">
        <w:rPr>
          <w:noProof/>
        </w:rPr>
        <w:t xml:space="preserve"> i</w:t>
      </w:r>
      <w:r w:rsidR="00062BFA">
        <w:rPr>
          <w:noProof/>
        </w:rPr>
        <w:t> </w:t>
      </w:r>
      <w:r w:rsidR="00062BFA" w:rsidRPr="004F6DAA">
        <w:rPr>
          <w:noProof/>
        </w:rPr>
        <w:t>zew</w:t>
      </w:r>
      <w:r w:rsidR="008E648C" w:rsidRPr="004F6DAA">
        <w:rPr>
          <w:noProof/>
        </w:rPr>
        <w:t>nętrznych,</w:t>
      </w:r>
      <w:r w:rsidR="00062BFA" w:rsidRPr="004F6DAA">
        <w:rPr>
          <w:noProof/>
        </w:rPr>
        <w:t xml:space="preserve"> a</w:t>
      </w:r>
      <w:r w:rsidR="00062BFA">
        <w:rPr>
          <w:noProof/>
        </w:rPr>
        <w:t> </w:t>
      </w:r>
      <w:r w:rsidR="00062BFA" w:rsidRPr="004F6DAA">
        <w:rPr>
          <w:noProof/>
        </w:rPr>
        <w:t>w</w:t>
      </w:r>
      <w:r w:rsidR="00062BFA">
        <w:rPr>
          <w:noProof/>
        </w:rPr>
        <w:t> </w:t>
      </w:r>
      <w:r w:rsidR="00062BFA" w:rsidRPr="004F6DAA">
        <w:rPr>
          <w:noProof/>
        </w:rPr>
        <w:t>szc</w:t>
      </w:r>
      <w:r w:rsidR="008E648C" w:rsidRPr="004F6DAA">
        <w:rPr>
          <w:noProof/>
        </w:rPr>
        <w:t>zególności nowego, bardziej zrównoważonego modelu rozwoju określonego przez Europejski Zielony Ład</w:t>
      </w:r>
      <w:r w:rsidR="00062BFA" w:rsidRPr="004F6DAA">
        <w:rPr>
          <w:noProof/>
        </w:rPr>
        <w:t xml:space="preserve"> i</w:t>
      </w:r>
      <w:r w:rsidR="00062BFA">
        <w:rPr>
          <w:noProof/>
        </w:rPr>
        <w:t> </w:t>
      </w:r>
      <w:r w:rsidR="00062BFA" w:rsidRPr="004F6DAA">
        <w:rPr>
          <w:noProof/>
        </w:rPr>
        <w:t>eur</w:t>
      </w:r>
      <w:r w:rsidR="008E648C" w:rsidRPr="004F6DAA">
        <w:rPr>
          <w:noProof/>
        </w:rPr>
        <w:t>opejską strategię cyfrową, UE potrzebuje nowej strategii</w:t>
      </w:r>
      <w:r w:rsidR="00062BFA" w:rsidRPr="004F6DAA">
        <w:rPr>
          <w:noProof/>
        </w:rPr>
        <w:t xml:space="preserve"> w</w:t>
      </w:r>
      <w:r w:rsidR="00062BFA">
        <w:rPr>
          <w:noProof/>
        </w:rPr>
        <w:t> </w:t>
      </w:r>
      <w:r w:rsidR="00062BFA" w:rsidRPr="004F6DAA">
        <w:rPr>
          <w:noProof/>
        </w:rPr>
        <w:t>zak</w:t>
      </w:r>
      <w:r w:rsidR="008E648C" w:rsidRPr="004F6DAA">
        <w:rPr>
          <w:noProof/>
        </w:rPr>
        <w:t>resie polityki handlowej – takiej, która będzie wspierać osiąganie celów polityki wewnętrznej</w:t>
      </w:r>
      <w:r w:rsidR="00062BFA" w:rsidRPr="004F6DAA">
        <w:rPr>
          <w:noProof/>
        </w:rPr>
        <w:t xml:space="preserve"> i</w:t>
      </w:r>
      <w:r w:rsidR="00062BFA">
        <w:rPr>
          <w:noProof/>
        </w:rPr>
        <w:t> </w:t>
      </w:r>
      <w:r w:rsidR="00062BFA" w:rsidRPr="004F6DAA">
        <w:rPr>
          <w:noProof/>
        </w:rPr>
        <w:t>zew</w:t>
      </w:r>
      <w:r w:rsidR="008E648C" w:rsidRPr="004F6DAA">
        <w:rPr>
          <w:noProof/>
        </w:rPr>
        <w:t>nętrznej oraz promować bardziej zrównoważony rozwój zgodnie</w:t>
      </w:r>
      <w:r w:rsidR="00062BFA" w:rsidRPr="004F6DAA">
        <w:rPr>
          <w:noProof/>
        </w:rPr>
        <w:t xml:space="preserve"> z</w:t>
      </w:r>
      <w:r w:rsidR="00062BFA">
        <w:rPr>
          <w:noProof/>
        </w:rPr>
        <w:t> </w:t>
      </w:r>
      <w:r w:rsidR="00062BFA" w:rsidRPr="004F6DAA">
        <w:rPr>
          <w:noProof/>
        </w:rPr>
        <w:t>zob</w:t>
      </w:r>
      <w:r w:rsidR="008E648C" w:rsidRPr="004F6DAA">
        <w:rPr>
          <w:noProof/>
        </w:rPr>
        <w:t>owiązaniem do pełnej realizacji celów zrównoważonego rozwoju ONZ. Polityka handlowa musi</w:t>
      </w:r>
      <w:r w:rsidR="00062BFA" w:rsidRPr="004F6DAA">
        <w:rPr>
          <w:noProof/>
        </w:rPr>
        <w:t xml:space="preserve"> w</w:t>
      </w:r>
      <w:r w:rsidR="00062BFA">
        <w:rPr>
          <w:noProof/>
        </w:rPr>
        <w:t> </w:t>
      </w:r>
      <w:r w:rsidR="00062BFA" w:rsidRPr="004F6DAA">
        <w:rPr>
          <w:noProof/>
        </w:rPr>
        <w:t>peł</w:t>
      </w:r>
      <w:r w:rsidR="008E648C" w:rsidRPr="004F6DAA">
        <w:rPr>
          <w:noProof/>
        </w:rPr>
        <w:t>ni odegrać swoją rolę</w:t>
      </w:r>
      <w:r w:rsidR="00062BFA" w:rsidRPr="004F6DAA">
        <w:rPr>
          <w:noProof/>
        </w:rPr>
        <w:t xml:space="preserve"> w</w:t>
      </w:r>
      <w:r w:rsidR="00062BFA">
        <w:rPr>
          <w:noProof/>
        </w:rPr>
        <w:t> </w:t>
      </w:r>
      <w:r w:rsidR="00062BFA" w:rsidRPr="004F6DAA">
        <w:rPr>
          <w:noProof/>
        </w:rPr>
        <w:t>pro</w:t>
      </w:r>
      <w:r w:rsidR="008E648C" w:rsidRPr="004F6DAA">
        <w:rPr>
          <w:noProof/>
        </w:rPr>
        <w:t>cesie wychodzenia</w:t>
      </w:r>
      <w:r w:rsidR="00062BFA" w:rsidRPr="004F6DAA">
        <w:rPr>
          <w:noProof/>
        </w:rPr>
        <w:t xml:space="preserve"> z</w:t>
      </w:r>
      <w:r w:rsidR="00062BFA">
        <w:rPr>
          <w:noProof/>
        </w:rPr>
        <w:t> </w:t>
      </w:r>
      <w:r w:rsidR="00062BFA" w:rsidRPr="004F6DAA">
        <w:rPr>
          <w:noProof/>
        </w:rPr>
        <w:t>pan</w:t>
      </w:r>
      <w:r w:rsidR="008E648C" w:rsidRPr="004F6DAA">
        <w:rPr>
          <w:noProof/>
        </w:rPr>
        <w:t>demii COVID-19 oraz</w:t>
      </w:r>
      <w:r w:rsidR="00062BFA" w:rsidRPr="004F6DAA">
        <w:rPr>
          <w:noProof/>
        </w:rPr>
        <w:t xml:space="preserve"> w</w:t>
      </w:r>
      <w:r w:rsidR="00062BFA">
        <w:rPr>
          <w:noProof/>
        </w:rPr>
        <w:t> </w:t>
      </w:r>
      <w:r w:rsidR="00062BFA" w:rsidRPr="004F6DAA">
        <w:rPr>
          <w:noProof/>
        </w:rPr>
        <w:t>pro</w:t>
      </w:r>
      <w:r w:rsidR="008E648C" w:rsidRPr="004F6DAA">
        <w:rPr>
          <w:noProof/>
        </w:rPr>
        <w:t>cesie ekologicznej</w:t>
      </w:r>
      <w:r w:rsidR="00062BFA" w:rsidRPr="004F6DAA">
        <w:rPr>
          <w:noProof/>
        </w:rPr>
        <w:t xml:space="preserve"> i</w:t>
      </w:r>
      <w:r w:rsidR="00062BFA">
        <w:rPr>
          <w:noProof/>
        </w:rPr>
        <w:t> </w:t>
      </w:r>
      <w:r w:rsidR="00062BFA" w:rsidRPr="004F6DAA">
        <w:rPr>
          <w:noProof/>
        </w:rPr>
        <w:t>cyf</w:t>
      </w:r>
      <w:r w:rsidR="008E648C" w:rsidRPr="004F6DAA">
        <w:rPr>
          <w:noProof/>
        </w:rPr>
        <w:t>rowej transformacji gospodarki,</w:t>
      </w:r>
      <w:r w:rsidR="00062BFA" w:rsidRPr="004F6DAA">
        <w:rPr>
          <w:noProof/>
        </w:rPr>
        <w:t xml:space="preserve"> a</w:t>
      </w:r>
      <w:r w:rsidR="00062BFA">
        <w:rPr>
          <w:noProof/>
        </w:rPr>
        <w:t> </w:t>
      </w:r>
      <w:r w:rsidR="00062BFA" w:rsidRPr="004F6DAA">
        <w:rPr>
          <w:noProof/>
        </w:rPr>
        <w:t>tak</w:t>
      </w:r>
      <w:r w:rsidR="008E648C" w:rsidRPr="004F6DAA">
        <w:rPr>
          <w:noProof/>
        </w:rPr>
        <w:t>że tworzenia bardziej odpornej Europy.</w:t>
      </w:r>
    </w:p>
    <w:p w14:paraId="58A5218C" w14:textId="77777777" w:rsidR="008E648C" w:rsidRPr="004F6DAA" w:rsidRDefault="007B7EB7" w:rsidP="007B7EB7">
      <w:pPr>
        <w:pStyle w:val="ManualConsidrant"/>
        <w:rPr>
          <w:noProof/>
        </w:rPr>
      </w:pPr>
      <w:r w:rsidRPr="007B7EB7">
        <w:t>(20)</w:t>
      </w:r>
      <w:r w:rsidRPr="007B7EB7">
        <w:tab/>
      </w:r>
      <w:r w:rsidR="008E648C" w:rsidRPr="004F6DAA">
        <w:rPr>
          <w:noProof/>
        </w:rPr>
        <w:t>Niniejsze rozporządzenie powinno stanowić uzupełnienie innych środków zaproponowanych</w:t>
      </w:r>
      <w:r w:rsidR="00062BFA" w:rsidRPr="004F6DAA">
        <w:rPr>
          <w:noProof/>
        </w:rPr>
        <w:t xml:space="preserve"> w</w:t>
      </w:r>
      <w:r w:rsidR="00062BFA">
        <w:rPr>
          <w:noProof/>
        </w:rPr>
        <w:t> </w:t>
      </w:r>
      <w:r w:rsidR="00062BFA" w:rsidRPr="004F6DAA">
        <w:rPr>
          <w:noProof/>
        </w:rPr>
        <w:t>kom</w:t>
      </w:r>
      <w:r w:rsidR="008E648C" w:rsidRPr="004F6DAA">
        <w:rPr>
          <w:noProof/>
        </w:rPr>
        <w:t>unikacie Komisji „Zintensyfikowanie działań UE na rzecz ochrony</w:t>
      </w:r>
      <w:r w:rsidR="00062BFA" w:rsidRPr="004F6DAA">
        <w:rPr>
          <w:noProof/>
        </w:rPr>
        <w:t xml:space="preserve"> i</w:t>
      </w:r>
      <w:r w:rsidR="00062BFA">
        <w:rPr>
          <w:noProof/>
        </w:rPr>
        <w:t> </w:t>
      </w:r>
      <w:r w:rsidR="00062BFA" w:rsidRPr="004F6DAA">
        <w:rPr>
          <w:noProof/>
        </w:rPr>
        <w:t>odt</w:t>
      </w:r>
      <w:r w:rsidR="008E648C" w:rsidRPr="004F6DAA">
        <w:rPr>
          <w:noProof/>
        </w:rPr>
        <w:t>warzania światowych lasów”</w:t>
      </w:r>
      <w:r w:rsidR="008E648C" w:rsidRPr="004F6DAA">
        <w:rPr>
          <w:rStyle w:val="Odwoanieprzypisudolnego"/>
          <w:noProof/>
        </w:rPr>
        <w:footnoteReference w:id="39"/>
      </w:r>
      <w:r w:rsidR="008E648C" w:rsidRPr="004F6DAA">
        <w:rPr>
          <w:noProof/>
        </w:rPr>
        <w:t>,</w:t>
      </w:r>
      <w:r w:rsidR="00062BFA" w:rsidRPr="004F6DAA">
        <w:rPr>
          <w:noProof/>
        </w:rPr>
        <w:t xml:space="preserve"> w</w:t>
      </w:r>
      <w:r w:rsidR="00062BFA">
        <w:rPr>
          <w:noProof/>
        </w:rPr>
        <w:t> </w:t>
      </w:r>
      <w:r w:rsidR="00062BFA" w:rsidRPr="004F6DAA">
        <w:rPr>
          <w:noProof/>
        </w:rPr>
        <w:t>szc</w:t>
      </w:r>
      <w:r w:rsidR="008E648C" w:rsidRPr="004F6DAA">
        <w:rPr>
          <w:noProof/>
        </w:rPr>
        <w:t>zególności: 1) nawiązywania partnerstw</w:t>
      </w:r>
      <w:r w:rsidR="00062BFA" w:rsidRPr="004F6DAA">
        <w:rPr>
          <w:noProof/>
        </w:rPr>
        <w:t xml:space="preserve"> z</w:t>
      </w:r>
      <w:r w:rsidR="00062BFA">
        <w:rPr>
          <w:noProof/>
        </w:rPr>
        <w:t> </w:t>
      </w:r>
      <w:r w:rsidR="00062BFA" w:rsidRPr="004F6DAA">
        <w:rPr>
          <w:noProof/>
        </w:rPr>
        <w:t>pań</w:t>
      </w:r>
      <w:r w:rsidR="008E648C" w:rsidRPr="004F6DAA">
        <w:rPr>
          <w:noProof/>
        </w:rPr>
        <w:t>stwami będącymi producentami</w:t>
      </w:r>
      <w:r w:rsidR="00062BFA" w:rsidRPr="004F6DAA">
        <w:rPr>
          <w:noProof/>
        </w:rPr>
        <w:t xml:space="preserve"> w</w:t>
      </w:r>
      <w:r w:rsidR="00062BFA">
        <w:rPr>
          <w:noProof/>
        </w:rPr>
        <w:t> </w:t>
      </w:r>
      <w:r w:rsidR="00062BFA" w:rsidRPr="004F6DAA">
        <w:rPr>
          <w:noProof/>
        </w:rPr>
        <w:t>cel</w:t>
      </w:r>
      <w:r w:rsidR="008E648C" w:rsidRPr="004F6DAA">
        <w:rPr>
          <w:noProof/>
        </w:rPr>
        <w:t>u wspierania ich</w:t>
      </w:r>
      <w:r w:rsidR="00062BFA" w:rsidRPr="004F6DAA">
        <w:rPr>
          <w:noProof/>
        </w:rPr>
        <w:t xml:space="preserve"> w</w:t>
      </w:r>
      <w:r w:rsidR="00062BFA">
        <w:rPr>
          <w:noProof/>
        </w:rPr>
        <w:t> </w:t>
      </w:r>
      <w:r w:rsidR="00062BFA" w:rsidRPr="004F6DAA">
        <w:rPr>
          <w:noProof/>
        </w:rPr>
        <w:t>eli</w:t>
      </w:r>
      <w:r w:rsidR="008E648C" w:rsidRPr="004F6DAA">
        <w:rPr>
          <w:noProof/>
        </w:rPr>
        <w:t>minowaniu pierwotnych przyczyn wylesiania, takich jak słabe zarządzanie, nieskuteczne egzekwowanie prawa</w:t>
      </w:r>
      <w:r w:rsidR="00062BFA" w:rsidRPr="004F6DAA">
        <w:rPr>
          <w:noProof/>
        </w:rPr>
        <w:t xml:space="preserve"> i</w:t>
      </w:r>
      <w:r w:rsidR="00062BFA">
        <w:rPr>
          <w:noProof/>
        </w:rPr>
        <w:t> </w:t>
      </w:r>
      <w:r w:rsidR="00062BFA" w:rsidRPr="004F6DAA">
        <w:rPr>
          <w:noProof/>
        </w:rPr>
        <w:t>kor</w:t>
      </w:r>
      <w:r w:rsidR="008E648C" w:rsidRPr="004F6DAA">
        <w:rPr>
          <w:noProof/>
        </w:rPr>
        <w:t>upcja, oraz 2) rozwijania współpracy międzynarodowej</w:t>
      </w:r>
      <w:r w:rsidR="00062BFA" w:rsidRPr="004F6DAA">
        <w:rPr>
          <w:noProof/>
        </w:rPr>
        <w:t xml:space="preserve"> z</w:t>
      </w:r>
      <w:r w:rsidR="00062BFA">
        <w:rPr>
          <w:noProof/>
        </w:rPr>
        <w:t> </w:t>
      </w:r>
      <w:r w:rsidR="00062BFA" w:rsidRPr="004F6DAA">
        <w:rPr>
          <w:noProof/>
        </w:rPr>
        <w:t>pań</w:t>
      </w:r>
      <w:r w:rsidR="008E648C" w:rsidRPr="004F6DAA">
        <w:rPr>
          <w:noProof/>
        </w:rPr>
        <w:t>stwami będącymi największymi konsumentami, aby propagować przyjmowanie podobnych środków mających na celu unikanie wprowadzania do obrotu produktów</w:t>
      </w:r>
      <w:r w:rsidR="00062BFA" w:rsidRPr="004F6DAA">
        <w:rPr>
          <w:noProof/>
        </w:rPr>
        <w:t xml:space="preserve"> z</w:t>
      </w:r>
      <w:r w:rsidR="00062BFA">
        <w:rPr>
          <w:noProof/>
        </w:rPr>
        <w:t> </w:t>
      </w:r>
      <w:r w:rsidR="00062BFA" w:rsidRPr="004F6DAA">
        <w:rPr>
          <w:noProof/>
        </w:rPr>
        <w:t>łań</w:t>
      </w:r>
      <w:r w:rsidR="008E648C" w:rsidRPr="004F6DAA">
        <w:rPr>
          <w:noProof/>
        </w:rPr>
        <w:t>cuchów dostaw,</w:t>
      </w:r>
      <w:r w:rsidR="00062BFA" w:rsidRPr="004F6DAA">
        <w:rPr>
          <w:noProof/>
        </w:rPr>
        <w:t xml:space="preserve"> z</w:t>
      </w:r>
      <w:r w:rsidR="00062BFA">
        <w:rPr>
          <w:noProof/>
        </w:rPr>
        <w:t> </w:t>
      </w:r>
      <w:r w:rsidR="00062BFA" w:rsidRPr="004F6DAA">
        <w:rPr>
          <w:noProof/>
        </w:rPr>
        <w:t>któ</w:t>
      </w:r>
      <w:r w:rsidR="008E648C" w:rsidRPr="004F6DAA">
        <w:rPr>
          <w:noProof/>
        </w:rPr>
        <w:t>rymi wiążą się wylesianie</w:t>
      </w:r>
      <w:r w:rsidR="00062BFA" w:rsidRPr="004F6DAA">
        <w:rPr>
          <w:noProof/>
        </w:rPr>
        <w:t xml:space="preserve"> i</w:t>
      </w:r>
      <w:r w:rsidR="00062BFA">
        <w:rPr>
          <w:noProof/>
        </w:rPr>
        <w:t> </w:t>
      </w:r>
      <w:r w:rsidR="00062BFA" w:rsidRPr="004F6DAA">
        <w:rPr>
          <w:noProof/>
        </w:rPr>
        <w:t>deg</w:t>
      </w:r>
      <w:r w:rsidR="008E648C" w:rsidRPr="004F6DAA">
        <w:rPr>
          <w:noProof/>
        </w:rPr>
        <w:t>radacja lasów.</w:t>
      </w:r>
    </w:p>
    <w:p w14:paraId="5204CB07" w14:textId="77777777" w:rsidR="008E648C" w:rsidRPr="004F6DAA" w:rsidRDefault="007B7EB7" w:rsidP="007B7EB7">
      <w:pPr>
        <w:pStyle w:val="ManualConsidrant"/>
        <w:rPr>
          <w:noProof/>
        </w:rPr>
      </w:pPr>
      <w:r w:rsidRPr="007B7EB7">
        <w:t>(21)</w:t>
      </w:r>
      <w:r w:rsidRPr="007B7EB7">
        <w:tab/>
      </w:r>
      <w:r w:rsidR="008E648C" w:rsidRPr="004F6DAA">
        <w:rPr>
          <w:noProof/>
        </w:rPr>
        <w:t>Komisja powinna kontynuować współpracę</w:t>
      </w:r>
      <w:r w:rsidR="00062BFA" w:rsidRPr="004F6DAA">
        <w:rPr>
          <w:noProof/>
        </w:rPr>
        <w:t xml:space="preserve"> w</w:t>
      </w:r>
      <w:r w:rsidR="00062BFA">
        <w:rPr>
          <w:noProof/>
        </w:rPr>
        <w:t> </w:t>
      </w:r>
      <w:r w:rsidR="00062BFA" w:rsidRPr="004F6DAA">
        <w:rPr>
          <w:noProof/>
        </w:rPr>
        <w:t>ram</w:t>
      </w:r>
      <w:r w:rsidR="008E648C" w:rsidRPr="004F6DAA">
        <w:rPr>
          <w:noProof/>
        </w:rPr>
        <w:t>ach partnerstw</w:t>
      </w:r>
      <w:r w:rsidR="00062BFA" w:rsidRPr="004F6DAA">
        <w:rPr>
          <w:noProof/>
        </w:rPr>
        <w:t xml:space="preserve"> z</w:t>
      </w:r>
      <w:r w:rsidR="00062BFA">
        <w:rPr>
          <w:noProof/>
        </w:rPr>
        <w:t> </w:t>
      </w:r>
      <w:r w:rsidR="00062BFA" w:rsidRPr="004F6DAA">
        <w:rPr>
          <w:noProof/>
        </w:rPr>
        <w:t>pań</w:t>
      </w:r>
      <w:r w:rsidR="008E648C" w:rsidRPr="004F6DAA">
        <w:rPr>
          <w:noProof/>
        </w:rPr>
        <w:t>stwami będącymi producentami</w:t>
      </w:r>
      <w:r w:rsidR="00062BFA" w:rsidRPr="004F6DAA">
        <w:rPr>
          <w:noProof/>
        </w:rPr>
        <w:t xml:space="preserve"> i</w:t>
      </w:r>
      <w:r w:rsidR="00062BFA">
        <w:rPr>
          <w:noProof/>
        </w:rPr>
        <w:t> </w:t>
      </w:r>
      <w:r w:rsidR="00062BFA" w:rsidRPr="004F6DAA">
        <w:rPr>
          <w:noProof/>
        </w:rPr>
        <w:t>ogó</w:t>
      </w:r>
      <w:r w:rsidR="008E648C" w:rsidRPr="004F6DAA">
        <w:rPr>
          <w:noProof/>
        </w:rPr>
        <w:t>lniej współpracę</w:t>
      </w:r>
      <w:r w:rsidR="00062BFA" w:rsidRPr="004F6DAA">
        <w:rPr>
          <w:noProof/>
        </w:rPr>
        <w:t xml:space="preserve"> z</w:t>
      </w:r>
      <w:r w:rsidR="00062BFA">
        <w:rPr>
          <w:noProof/>
        </w:rPr>
        <w:t> </w:t>
      </w:r>
      <w:r w:rsidR="00062BFA" w:rsidRPr="004F6DAA">
        <w:rPr>
          <w:noProof/>
        </w:rPr>
        <w:t>org</w:t>
      </w:r>
      <w:r w:rsidR="008E648C" w:rsidRPr="004F6DAA">
        <w:rPr>
          <w:noProof/>
        </w:rPr>
        <w:t>anizacjami</w:t>
      </w:r>
      <w:r w:rsidR="00062BFA" w:rsidRPr="004F6DAA">
        <w:rPr>
          <w:noProof/>
        </w:rPr>
        <w:t xml:space="preserve"> i</w:t>
      </w:r>
      <w:r w:rsidR="00062BFA">
        <w:rPr>
          <w:noProof/>
        </w:rPr>
        <w:t> </w:t>
      </w:r>
      <w:r w:rsidR="00062BFA" w:rsidRPr="004F6DAA">
        <w:rPr>
          <w:noProof/>
        </w:rPr>
        <w:t>pod</w:t>
      </w:r>
      <w:r w:rsidR="008E648C" w:rsidRPr="004F6DAA">
        <w:rPr>
          <w:noProof/>
        </w:rPr>
        <w:t>miotami międzynarodowymi oraz powinna oferować większe wsparcie</w:t>
      </w:r>
      <w:r w:rsidR="00062BFA" w:rsidRPr="004F6DAA">
        <w:rPr>
          <w:noProof/>
        </w:rPr>
        <w:t xml:space="preserve"> i</w:t>
      </w:r>
      <w:r w:rsidR="00062BFA">
        <w:rPr>
          <w:noProof/>
        </w:rPr>
        <w:t> </w:t>
      </w:r>
      <w:r w:rsidR="00062BFA" w:rsidRPr="004F6DAA">
        <w:rPr>
          <w:noProof/>
        </w:rPr>
        <w:t>lep</w:t>
      </w:r>
      <w:r w:rsidR="008E648C" w:rsidRPr="004F6DAA">
        <w:rPr>
          <w:noProof/>
        </w:rPr>
        <w:t>sze zachęty związane</w:t>
      </w:r>
      <w:r w:rsidR="00062BFA" w:rsidRPr="004F6DAA">
        <w:rPr>
          <w:noProof/>
        </w:rPr>
        <w:t xml:space="preserve"> z</w:t>
      </w:r>
      <w:r w:rsidR="00062BFA">
        <w:rPr>
          <w:noProof/>
        </w:rPr>
        <w:t> </w:t>
      </w:r>
      <w:r w:rsidR="00062BFA" w:rsidRPr="004F6DAA">
        <w:rPr>
          <w:noProof/>
        </w:rPr>
        <w:t>och</w:t>
      </w:r>
      <w:r w:rsidR="008E648C" w:rsidRPr="004F6DAA">
        <w:rPr>
          <w:noProof/>
        </w:rPr>
        <w:t>roną lasów</w:t>
      </w:r>
      <w:r w:rsidR="00062BFA" w:rsidRPr="004F6DAA">
        <w:rPr>
          <w:noProof/>
        </w:rPr>
        <w:t xml:space="preserve"> i</w:t>
      </w:r>
      <w:r w:rsidR="00062BFA">
        <w:rPr>
          <w:noProof/>
        </w:rPr>
        <w:t> </w:t>
      </w:r>
      <w:r w:rsidR="00062BFA" w:rsidRPr="004F6DAA">
        <w:rPr>
          <w:noProof/>
        </w:rPr>
        <w:t>prz</w:t>
      </w:r>
      <w:r w:rsidR="008E648C" w:rsidRPr="004F6DAA">
        <w:rPr>
          <w:noProof/>
        </w:rPr>
        <w:t>echodzeniem na produkcję niepowodującą wylesiania, uznawaniem roli ludności rdzennej, poprawą zarządzania</w:t>
      </w:r>
      <w:r w:rsidR="00062BFA" w:rsidRPr="004F6DAA">
        <w:rPr>
          <w:noProof/>
        </w:rPr>
        <w:t xml:space="preserve"> i</w:t>
      </w:r>
      <w:r w:rsidR="00062BFA">
        <w:rPr>
          <w:noProof/>
        </w:rPr>
        <w:t> </w:t>
      </w:r>
      <w:r w:rsidR="00062BFA" w:rsidRPr="004F6DAA">
        <w:rPr>
          <w:noProof/>
        </w:rPr>
        <w:t>pra</w:t>
      </w:r>
      <w:r w:rsidR="008E648C" w:rsidRPr="004F6DAA">
        <w:rPr>
          <w:noProof/>
        </w:rPr>
        <w:t>w własności gruntów, poprawą egzekwowania prawa</w:t>
      </w:r>
      <w:r w:rsidR="00062BFA" w:rsidRPr="004F6DAA">
        <w:rPr>
          <w:noProof/>
        </w:rPr>
        <w:t xml:space="preserve"> i</w:t>
      </w:r>
      <w:r w:rsidR="00062BFA">
        <w:rPr>
          <w:noProof/>
        </w:rPr>
        <w:t> </w:t>
      </w:r>
      <w:r w:rsidR="00062BFA" w:rsidRPr="004F6DAA">
        <w:rPr>
          <w:noProof/>
        </w:rPr>
        <w:t>pro</w:t>
      </w:r>
      <w:r w:rsidR="008E648C" w:rsidRPr="004F6DAA">
        <w:rPr>
          <w:noProof/>
        </w:rPr>
        <w:t>pagowania zrównoważonej gospodarki leśnej, rolnictwa odpornego na zmianę klimatu, zrównoważonej intensyfikacji</w:t>
      </w:r>
      <w:r w:rsidR="00062BFA" w:rsidRPr="004F6DAA">
        <w:rPr>
          <w:noProof/>
        </w:rPr>
        <w:t xml:space="preserve"> i</w:t>
      </w:r>
      <w:r w:rsidR="00062BFA">
        <w:rPr>
          <w:noProof/>
        </w:rPr>
        <w:t> </w:t>
      </w:r>
      <w:r w:rsidR="00062BFA" w:rsidRPr="004F6DAA">
        <w:rPr>
          <w:noProof/>
        </w:rPr>
        <w:t>dyw</w:t>
      </w:r>
      <w:r w:rsidR="008E648C" w:rsidRPr="004F6DAA">
        <w:rPr>
          <w:noProof/>
        </w:rPr>
        <w:t>ersyfikacji, agroekologii oraz systemu rolno-leśnego. Powinna przy tym uznawać rolę ludności rdzennej</w:t>
      </w:r>
      <w:r w:rsidR="00062BFA" w:rsidRPr="004F6DAA">
        <w:rPr>
          <w:noProof/>
        </w:rPr>
        <w:t xml:space="preserve"> w</w:t>
      </w:r>
      <w:r w:rsidR="00062BFA">
        <w:rPr>
          <w:noProof/>
        </w:rPr>
        <w:t> </w:t>
      </w:r>
      <w:r w:rsidR="00062BFA" w:rsidRPr="004F6DAA">
        <w:rPr>
          <w:noProof/>
        </w:rPr>
        <w:t>och</w:t>
      </w:r>
      <w:r w:rsidR="008E648C" w:rsidRPr="004F6DAA">
        <w:rPr>
          <w:noProof/>
        </w:rPr>
        <w:t>ronie lasów. Opierając się na doświadczeniach zdobytych</w:t>
      </w:r>
      <w:r w:rsidR="00062BFA" w:rsidRPr="004F6DAA">
        <w:rPr>
          <w:noProof/>
        </w:rPr>
        <w:t xml:space="preserve"> i</w:t>
      </w:r>
      <w:r w:rsidR="00062BFA">
        <w:rPr>
          <w:noProof/>
        </w:rPr>
        <w:t> </w:t>
      </w:r>
      <w:r w:rsidR="00062BFA" w:rsidRPr="004F6DAA">
        <w:rPr>
          <w:noProof/>
        </w:rPr>
        <w:t>wni</w:t>
      </w:r>
      <w:r w:rsidR="008E648C" w:rsidRPr="004F6DAA">
        <w:rPr>
          <w:noProof/>
        </w:rPr>
        <w:t>oskach wyciągniętych</w:t>
      </w:r>
      <w:r w:rsidR="00062BFA" w:rsidRPr="004F6DAA">
        <w:rPr>
          <w:noProof/>
        </w:rPr>
        <w:t xml:space="preserve"> w</w:t>
      </w:r>
      <w:r w:rsidR="00062BFA">
        <w:rPr>
          <w:noProof/>
        </w:rPr>
        <w:t> </w:t>
      </w:r>
      <w:r w:rsidR="00062BFA" w:rsidRPr="004F6DAA">
        <w:rPr>
          <w:noProof/>
        </w:rPr>
        <w:t>kon</w:t>
      </w:r>
      <w:r w:rsidR="008E648C" w:rsidRPr="004F6DAA">
        <w:rPr>
          <w:noProof/>
        </w:rPr>
        <w:t>tekście istniejących już inicjatyw, Unia</w:t>
      </w:r>
      <w:r w:rsidR="00062BFA" w:rsidRPr="004F6DAA">
        <w:rPr>
          <w:noProof/>
        </w:rPr>
        <w:t xml:space="preserve"> i</w:t>
      </w:r>
      <w:r w:rsidR="00062BFA">
        <w:rPr>
          <w:noProof/>
        </w:rPr>
        <w:t> </w:t>
      </w:r>
      <w:r w:rsidR="00062BFA" w:rsidRPr="004F6DAA">
        <w:rPr>
          <w:noProof/>
        </w:rPr>
        <w:t>pań</w:t>
      </w:r>
      <w:r w:rsidR="008E648C" w:rsidRPr="004F6DAA">
        <w:rPr>
          <w:noProof/>
        </w:rPr>
        <w:t>stwa członkowskie powinny współpracować</w:t>
      </w:r>
      <w:r w:rsidR="00062BFA" w:rsidRPr="004F6DAA">
        <w:rPr>
          <w:noProof/>
        </w:rPr>
        <w:t xml:space="preserve"> w</w:t>
      </w:r>
      <w:r w:rsidR="00062BFA">
        <w:rPr>
          <w:noProof/>
        </w:rPr>
        <w:t> </w:t>
      </w:r>
      <w:r w:rsidR="00062BFA" w:rsidRPr="004F6DAA">
        <w:rPr>
          <w:noProof/>
        </w:rPr>
        <w:t>ram</w:t>
      </w:r>
      <w:r w:rsidR="008E648C" w:rsidRPr="004F6DAA">
        <w:rPr>
          <w:noProof/>
        </w:rPr>
        <w:t>ach partnerstw</w:t>
      </w:r>
      <w:r w:rsidR="00062BFA" w:rsidRPr="004F6DAA">
        <w:rPr>
          <w:noProof/>
        </w:rPr>
        <w:t xml:space="preserve"> z</w:t>
      </w:r>
      <w:r w:rsidR="00062BFA">
        <w:rPr>
          <w:noProof/>
        </w:rPr>
        <w:t> </w:t>
      </w:r>
      <w:r w:rsidR="00062BFA" w:rsidRPr="004F6DAA">
        <w:rPr>
          <w:noProof/>
        </w:rPr>
        <w:t>pań</w:t>
      </w:r>
      <w:r w:rsidR="008E648C" w:rsidRPr="004F6DAA">
        <w:rPr>
          <w:noProof/>
        </w:rPr>
        <w:t>stwami będącymi producentami, na ich wniosek, aby wykorzystywać liczne funkcje lasu, wspierać te państwa</w:t>
      </w:r>
      <w:r w:rsidR="00062BFA" w:rsidRPr="004F6DAA">
        <w:rPr>
          <w:noProof/>
        </w:rPr>
        <w:t xml:space="preserve"> w</w:t>
      </w:r>
      <w:r w:rsidR="00062BFA">
        <w:rPr>
          <w:noProof/>
        </w:rPr>
        <w:t> </w:t>
      </w:r>
      <w:r w:rsidR="00062BFA" w:rsidRPr="004F6DAA">
        <w:rPr>
          <w:noProof/>
        </w:rPr>
        <w:t>prz</w:t>
      </w:r>
      <w:r w:rsidR="008E648C" w:rsidRPr="004F6DAA">
        <w:rPr>
          <w:noProof/>
        </w:rPr>
        <w:t>echodzeniu na zrównoważoną gospodarkę leśną</w:t>
      </w:r>
      <w:r w:rsidR="00062BFA" w:rsidRPr="004F6DAA">
        <w:rPr>
          <w:noProof/>
        </w:rPr>
        <w:t xml:space="preserve"> i</w:t>
      </w:r>
      <w:r w:rsidR="00062BFA">
        <w:rPr>
          <w:noProof/>
        </w:rPr>
        <w:t> </w:t>
      </w:r>
      <w:r w:rsidR="00062BFA" w:rsidRPr="004F6DAA">
        <w:rPr>
          <w:noProof/>
        </w:rPr>
        <w:t>odp</w:t>
      </w:r>
      <w:r w:rsidR="008E648C" w:rsidRPr="004F6DAA">
        <w:rPr>
          <w:noProof/>
        </w:rPr>
        <w:t>owiadać na globalne wyzwania, przy jednoczesnym zaspokajaniu lokalnych potrzeb</w:t>
      </w:r>
      <w:r w:rsidR="00062BFA" w:rsidRPr="004F6DAA">
        <w:rPr>
          <w:noProof/>
        </w:rPr>
        <w:t xml:space="preserve"> i</w:t>
      </w:r>
      <w:r w:rsidR="00062BFA">
        <w:rPr>
          <w:noProof/>
        </w:rPr>
        <w:t> </w:t>
      </w:r>
      <w:r w:rsidR="00062BFA" w:rsidRPr="004F6DAA">
        <w:rPr>
          <w:noProof/>
        </w:rPr>
        <w:t>uwz</w:t>
      </w:r>
      <w:r w:rsidR="008E648C" w:rsidRPr="004F6DAA">
        <w:rPr>
          <w:noProof/>
        </w:rPr>
        <w:t>ględnianiu wyzwań stojących przed drobnymi producentami rolnymi zgodnie</w:t>
      </w:r>
      <w:r w:rsidR="00062BFA" w:rsidRPr="004F6DAA">
        <w:rPr>
          <w:noProof/>
        </w:rPr>
        <w:t xml:space="preserve"> z</w:t>
      </w:r>
      <w:r w:rsidR="00062BFA">
        <w:rPr>
          <w:noProof/>
        </w:rPr>
        <w:t> </w:t>
      </w:r>
      <w:r w:rsidR="00062BFA" w:rsidRPr="004F6DAA">
        <w:rPr>
          <w:noProof/>
        </w:rPr>
        <w:t>kom</w:t>
      </w:r>
      <w:r w:rsidR="008E648C" w:rsidRPr="004F6DAA">
        <w:rPr>
          <w:noProof/>
        </w:rPr>
        <w:t>unikatem dotyczącym zintensyfikowania działań na rzecz ochrony</w:t>
      </w:r>
      <w:r w:rsidR="00062BFA" w:rsidRPr="004F6DAA">
        <w:rPr>
          <w:noProof/>
        </w:rPr>
        <w:t xml:space="preserve"> i</w:t>
      </w:r>
      <w:r w:rsidR="00062BFA">
        <w:rPr>
          <w:noProof/>
        </w:rPr>
        <w:t> </w:t>
      </w:r>
      <w:r w:rsidR="00062BFA" w:rsidRPr="004F6DAA">
        <w:rPr>
          <w:noProof/>
        </w:rPr>
        <w:t>odt</w:t>
      </w:r>
      <w:r w:rsidR="008E648C" w:rsidRPr="004F6DAA">
        <w:rPr>
          <w:noProof/>
        </w:rPr>
        <w:t>warzania światowych lasów. Podejście oparte na partnerstwie powinno pomóc państwom będącym producentami</w:t>
      </w:r>
      <w:r w:rsidR="00062BFA" w:rsidRPr="004F6DAA">
        <w:rPr>
          <w:noProof/>
        </w:rPr>
        <w:t xml:space="preserve"> w</w:t>
      </w:r>
      <w:r w:rsidR="00062BFA">
        <w:rPr>
          <w:noProof/>
        </w:rPr>
        <w:t> </w:t>
      </w:r>
      <w:r w:rsidR="00062BFA" w:rsidRPr="004F6DAA">
        <w:rPr>
          <w:noProof/>
        </w:rPr>
        <w:t>och</w:t>
      </w:r>
      <w:r w:rsidR="008E648C" w:rsidRPr="004F6DAA">
        <w:rPr>
          <w:noProof/>
        </w:rPr>
        <w:t>ronie, odtwarzaniu</w:t>
      </w:r>
      <w:r w:rsidR="00062BFA" w:rsidRPr="004F6DAA">
        <w:rPr>
          <w:noProof/>
        </w:rPr>
        <w:t xml:space="preserve"> i</w:t>
      </w:r>
      <w:r w:rsidR="00062BFA">
        <w:rPr>
          <w:noProof/>
        </w:rPr>
        <w:t> </w:t>
      </w:r>
      <w:r w:rsidR="00062BFA" w:rsidRPr="004F6DAA">
        <w:rPr>
          <w:noProof/>
        </w:rPr>
        <w:t>zró</w:t>
      </w:r>
      <w:r w:rsidR="008E648C" w:rsidRPr="004F6DAA">
        <w:rPr>
          <w:noProof/>
        </w:rPr>
        <w:t>wnoważonym użytkowaniu lasów</w:t>
      </w:r>
      <w:r w:rsidR="00062BFA" w:rsidRPr="004F6DAA">
        <w:rPr>
          <w:noProof/>
        </w:rPr>
        <w:t xml:space="preserve"> i</w:t>
      </w:r>
      <w:r w:rsidR="00062BFA">
        <w:rPr>
          <w:noProof/>
        </w:rPr>
        <w:t> </w:t>
      </w:r>
      <w:r w:rsidR="00062BFA" w:rsidRPr="004F6DAA">
        <w:rPr>
          <w:noProof/>
        </w:rPr>
        <w:t>prz</w:t>
      </w:r>
      <w:r w:rsidR="008E648C" w:rsidRPr="004F6DAA">
        <w:rPr>
          <w:noProof/>
        </w:rPr>
        <w:t>yczyniać się</w:t>
      </w:r>
      <w:r w:rsidR="00062BFA" w:rsidRPr="004F6DAA">
        <w:rPr>
          <w:noProof/>
        </w:rPr>
        <w:t xml:space="preserve"> w</w:t>
      </w:r>
      <w:r w:rsidR="00062BFA">
        <w:rPr>
          <w:noProof/>
        </w:rPr>
        <w:t> </w:t>
      </w:r>
      <w:r w:rsidR="00062BFA" w:rsidRPr="004F6DAA">
        <w:rPr>
          <w:noProof/>
        </w:rPr>
        <w:t>ten</w:t>
      </w:r>
      <w:r w:rsidR="008E648C" w:rsidRPr="004F6DAA">
        <w:rPr>
          <w:noProof/>
        </w:rPr>
        <w:t xml:space="preserve"> sposób do realizacji celu niniejszego rozporządzenia zakładającego ograniczenie wylesiania</w:t>
      </w:r>
      <w:r w:rsidR="00062BFA" w:rsidRPr="004F6DAA">
        <w:rPr>
          <w:noProof/>
        </w:rPr>
        <w:t xml:space="preserve"> i</w:t>
      </w:r>
      <w:r w:rsidR="00062BFA">
        <w:rPr>
          <w:noProof/>
        </w:rPr>
        <w:t> </w:t>
      </w:r>
      <w:r w:rsidR="00062BFA" w:rsidRPr="004F6DAA">
        <w:rPr>
          <w:noProof/>
        </w:rPr>
        <w:t>deg</w:t>
      </w:r>
      <w:r w:rsidR="008E648C" w:rsidRPr="004F6DAA">
        <w:rPr>
          <w:noProof/>
        </w:rPr>
        <w:t>radacji lasów.</w:t>
      </w:r>
    </w:p>
    <w:p w14:paraId="1CEDBD36" w14:textId="77777777" w:rsidR="008E648C" w:rsidRPr="004F6DAA" w:rsidRDefault="007B7EB7" w:rsidP="007B7EB7">
      <w:pPr>
        <w:pStyle w:val="ManualConsidrant"/>
        <w:rPr>
          <w:noProof/>
        </w:rPr>
      </w:pPr>
      <w:r w:rsidRPr="007B7EB7">
        <w:t>(22)</w:t>
      </w:r>
      <w:r w:rsidRPr="007B7EB7">
        <w:tab/>
      </w:r>
      <w:r w:rsidR="008E648C" w:rsidRPr="004F6DAA">
        <w:rPr>
          <w:noProof/>
        </w:rPr>
        <w:t>Kolejnym istotnym działaniem ogłoszonym</w:t>
      </w:r>
      <w:r w:rsidR="00062BFA" w:rsidRPr="004F6DAA">
        <w:rPr>
          <w:noProof/>
        </w:rPr>
        <w:t xml:space="preserve"> w</w:t>
      </w:r>
      <w:r w:rsidR="00062BFA">
        <w:rPr>
          <w:noProof/>
        </w:rPr>
        <w:t> </w:t>
      </w:r>
      <w:r w:rsidR="00062BFA" w:rsidRPr="004F6DAA">
        <w:rPr>
          <w:noProof/>
        </w:rPr>
        <w:t>kom</w:t>
      </w:r>
      <w:r w:rsidR="008E648C" w:rsidRPr="004F6DAA">
        <w:rPr>
          <w:noProof/>
        </w:rPr>
        <w:t>unikacie jest ustanowienie unijnego obserwatorium wylesiania, degradacji lasów, zmian powierzchni terenów zalesionych na świecie oraz powiązanych czynników („unijne obserwatorium”), które zainicjuje Komisja</w:t>
      </w:r>
      <w:r w:rsidR="00062BFA" w:rsidRPr="004F6DAA">
        <w:rPr>
          <w:noProof/>
        </w:rPr>
        <w:t xml:space="preserve"> w</w:t>
      </w:r>
      <w:r w:rsidR="00062BFA">
        <w:rPr>
          <w:noProof/>
        </w:rPr>
        <w:t> </w:t>
      </w:r>
      <w:r w:rsidR="00062BFA" w:rsidRPr="004F6DAA">
        <w:rPr>
          <w:noProof/>
        </w:rPr>
        <w:t>cel</w:t>
      </w:r>
      <w:r w:rsidR="008E648C" w:rsidRPr="004F6DAA">
        <w:rPr>
          <w:noProof/>
        </w:rPr>
        <w:t>u lepszego monitorowania zmian powierzchni terenów zalesionych na świecie</w:t>
      </w:r>
      <w:r w:rsidR="00062BFA" w:rsidRPr="004F6DAA">
        <w:rPr>
          <w:noProof/>
        </w:rPr>
        <w:t xml:space="preserve"> i</w:t>
      </w:r>
      <w:r w:rsidR="00062BFA">
        <w:rPr>
          <w:noProof/>
        </w:rPr>
        <w:t> </w:t>
      </w:r>
      <w:r w:rsidR="00062BFA" w:rsidRPr="004F6DAA">
        <w:rPr>
          <w:noProof/>
        </w:rPr>
        <w:t>pow</w:t>
      </w:r>
      <w:r w:rsidR="008E648C" w:rsidRPr="004F6DAA">
        <w:rPr>
          <w:noProof/>
        </w:rPr>
        <w:t>iązanych czynników</w:t>
      </w:r>
      <w:r w:rsidR="002B56DE">
        <w:rPr>
          <w:rStyle w:val="none"/>
          <w:noProof/>
        </w:rPr>
        <w:t xml:space="preserve">. </w:t>
      </w:r>
      <w:r w:rsidR="008E648C" w:rsidRPr="004F6DAA">
        <w:rPr>
          <w:rStyle w:val="none"/>
          <w:noProof/>
        </w:rPr>
        <w:t>Ponadto, opierając się na istniejących już narzędziach służących monitorowaniu,</w:t>
      </w:r>
      <w:r w:rsidR="00062BFA" w:rsidRPr="004F6DAA">
        <w:rPr>
          <w:rStyle w:val="none"/>
          <w:noProof/>
        </w:rPr>
        <w:t xml:space="preserve"> w</w:t>
      </w:r>
      <w:r w:rsidR="00062BFA">
        <w:rPr>
          <w:rStyle w:val="none"/>
          <w:noProof/>
        </w:rPr>
        <w:t> </w:t>
      </w:r>
      <w:r w:rsidR="00062BFA" w:rsidRPr="004F6DAA">
        <w:rPr>
          <w:rStyle w:val="none"/>
          <w:noProof/>
        </w:rPr>
        <w:t>tym</w:t>
      </w:r>
      <w:r w:rsidR="008E648C" w:rsidRPr="004F6DAA">
        <w:rPr>
          <w:rStyle w:val="none"/>
          <w:noProof/>
        </w:rPr>
        <w:t xml:space="preserve"> produktach programu Copernicus, unijne obserwatorium będzie </w:t>
      </w:r>
      <w:r w:rsidR="008E648C" w:rsidRPr="004F6DAA">
        <w:rPr>
          <w:noProof/>
        </w:rPr>
        <w:t>ułatwiało uzyskiwanie dostępu do informacji dotyczących łańcuchów dostaw przez podmioty publiczne, konsumentów</w:t>
      </w:r>
      <w:r w:rsidR="00062BFA" w:rsidRPr="004F6DAA">
        <w:rPr>
          <w:noProof/>
        </w:rPr>
        <w:t xml:space="preserve"> i</w:t>
      </w:r>
      <w:r w:rsidR="00062BFA">
        <w:rPr>
          <w:noProof/>
        </w:rPr>
        <w:t> </w:t>
      </w:r>
      <w:r w:rsidR="00062BFA" w:rsidRPr="004F6DAA">
        <w:rPr>
          <w:noProof/>
        </w:rPr>
        <w:t>prz</w:t>
      </w:r>
      <w:r w:rsidR="008E648C" w:rsidRPr="004F6DAA">
        <w:rPr>
          <w:noProof/>
        </w:rPr>
        <w:t>edsiębiorców, przekazując przystępne dane</w:t>
      </w:r>
      <w:r w:rsidR="00062BFA" w:rsidRPr="004F6DAA">
        <w:rPr>
          <w:noProof/>
        </w:rPr>
        <w:t xml:space="preserve"> i</w:t>
      </w:r>
      <w:r w:rsidR="00062BFA">
        <w:rPr>
          <w:noProof/>
        </w:rPr>
        <w:t> </w:t>
      </w:r>
      <w:r w:rsidR="00062BFA" w:rsidRPr="004F6DAA">
        <w:rPr>
          <w:noProof/>
        </w:rPr>
        <w:t>inf</w:t>
      </w:r>
      <w:r w:rsidR="008E648C" w:rsidRPr="004F6DAA">
        <w:rPr>
          <w:noProof/>
        </w:rPr>
        <w:t>ormacje ukazujące związki między wylesianiem, degradacją lasów</w:t>
      </w:r>
      <w:r w:rsidR="00062BFA" w:rsidRPr="004F6DAA">
        <w:rPr>
          <w:noProof/>
        </w:rPr>
        <w:t xml:space="preserve"> i</w:t>
      </w:r>
      <w:r w:rsidR="00062BFA">
        <w:rPr>
          <w:noProof/>
        </w:rPr>
        <w:t> </w:t>
      </w:r>
      <w:r w:rsidR="00062BFA" w:rsidRPr="004F6DAA">
        <w:rPr>
          <w:noProof/>
        </w:rPr>
        <w:t>zmi</w:t>
      </w:r>
      <w:r w:rsidR="008E648C" w:rsidRPr="004F6DAA">
        <w:rPr>
          <w:noProof/>
        </w:rPr>
        <w:t>anami powierzchni zasobów leśnych na świecie</w:t>
      </w:r>
      <w:r w:rsidR="00062BFA" w:rsidRPr="004F6DAA">
        <w:rPr>
          <w:noProof/>
        </w:rPr>
        <w:t xml:space="preserve"> a</w:t>
      </w:r>
      <w:r w:rsidR="00062BFA">
        <w:rPr>
          <w:noProof/>
        </w:rPr>
        <w:t> </w:t>
      </w:r>
      <w:r w:rsidR="00062BFA" w:rsidRPr="004F6DAA">
        <w:rPr>
          <w:noProof/>
        </w:rPr>
        <w:t>uni</w:t>
      </w:r>
      <w:r w:rsidR="008E648C" w:rsidRPr="004F6DAA">
        <w:rPr>
          <w:noProof/>
        </w:rPr>
        <w:t>jnym popytem na towary</w:t>
      </w:r>
      <w:r w:rsidR="00062BFA" w:rsidRPr="004F6DAA">
        <w:rPr>
          <w:noProof/>
        </w:rPr>
        <w:t xml:space="preserve"> i</w:t>
      </w:r>
      <w:r w:rsidR="00062BFA">
        <w:rPr>
          <w:noProof/>
        </w:rPr>
        <w:t> </w:t>
      </w:r>
      <w:r w:rsidR="00062BFA" w:rsidRPr="004F6DAA">
        <w:rPr>
          <w:noProof/>
        </w:rPr>
        <w:t>pro</w:t>
      </w:r>
      <w:r w:rsidR="008E648C" w:rsidRPr="004F6DAA">
        <w:rPr>
          <w:noProof/>
        </w:rPr>
        <w:t>dukty/handlem towarami</w:t>
      </w:r>
      <w:r w:rsidR="00062BFA" w:rsidRPr="004F6DAA">
        <w:rPr>
          <w:noProof/>
        </w:rPr>
        <w:t xml:space="preserve"> i</w:t>
      </w:r>
      <w:r w:rsidR="00062BFA">
        <w:rPr>
          <w:noProof/>
        </w:rPr>
        <w:t> </w:t>
      </w:r>
      <w:r w:rsidR="00062BFA" w:rsidRPr="004F6DAA">
        <w:rPr>
          <w:noProof/>
        </w:rPr>
        <w:t>pro</w:t>
      </w:r>
      <w:r w:rsidR="008E648C" w:rsidRPr="004F6DAA">
        <w:rPr>
          <w:noProof/>
        </w:rPr>
        <w:t>duktami. Unijne obserwatorium będzie zatem bezpośrednio wspierać wykonanie niniejszego rozporządzenia, dostarczając dowody naukowe dotyczące globalnego wylesiania</w:t>
      </w:r>
      <w:r w:rsidR="00062BFA" w:rsidRPr="004F6DAA">
        <w:rPr>
          <w:noProof/>
        </w:rPr>
        <w:t xml:space="preserve"> i</w:t>
      </w:r>
      <w:r w:rsidR="00062BFA">
        <w:rPr>
          <w:noProof/>
        </w:rPr>
        <w:t> </w:t>
      </w:r>
      <w:r w:rsidR="00062BFA" w:rsidRPr="004F6DAA">
        <w:rPr>
          <w:noProof/>
        </w:rPr>
        <w:t>glo</w:t>
      </w:r>
      <w:r w:rsidR="008E648C" w:rsidRPr="004F6DAA">
        <w:rPr>
          <w:noProof/>
        </w:rPr>
        <w:t>balnej degradacji lasów oraz powiązanej</w:t>
      </w:r>
      <w:r w:rsidR="00062BFA" w:rsidRPr="004F6DAA">
        <w:rPr>
          <w:noProof/>
        </w:rPr>
        <w:t xml:space="preserve"> z</w:t>
      </w:r>
      <w:r w:rsidR="00062BFA">
        <w:rPr>
          <w:noProof/>
        </w:rPr>
        <w:t> </w:t>
      </w:r>
      <w:r w:rsidR="00062BFA" w:rsidRPr="004F6DAA">
        <w:rPr>
          <w:noProof/>
        </w:rPr>
        <w:t>nim</w:t>
      </w:r>
      <w:r w:rsidR="008E648C" w:rsidRPr="004F6DAA">
        <w:rPr>
          <w:noProof/>
        </w:rPr>
        <w:t>i wymiany handlowej. Unijne obserwatorium będzie również prowadziło ścisłą współpracę</w:t>
      </w:r>
      <w:r w:rsidR="00062BFA" w:rsidRPr="004F6DAA">
        <w:rPr>
          <w:noProof/>
        </w:rPr>
        <w:t xml:space="preserve"> z</w:t>
      </w:r>
      <w:r w:rsidR="00062BFA">
        <w:rPr>
          <w:noProof/>
        </w:rPr>
        <w:t> </w:t>
      </w:r>
      <w:r w:rsidR="00062BFA" w:rsidRPr="004F6DAA">
        <w:rPr>
          <w:noProof/>
        </w:rPr>
        <w:t>wła</w:t>
      </w:r>
      <w:r w:rsidR="008E648C" w:rsidRPr="004F6DAA">
        <w:rPr>
          <w:noProof/>
        </w:rPr>
        <w:t>ściwymi organizacjami międzynarodowymi, instytutami badawczymi</w:t>
      </w:r>
      <w:r w:rsidR="00062BFA" w:rsidRPr="004F6DAA">
        <w:rPr>
          <w:noProof/>
        </w:rPr>
        <w:t xml:space="preserve"> i</w:t>
      </w:r>
      <w:r w:rsidR="00062BFA">
        <w:rPr>
          <w:noProof/>
        </w:rPr>
        <w:t> </w:t>
      </w:r>
      <w:r w:rsidR="00062BFA" w:rsidRPr="004F6DAA">
        <w:rPr>
          <w:noProof/>
        </w:rPr>
        <w:t>pań</w:t>
      </w:r>
      <w:r w:rsidR="008E648C" w:rsidRPr="004F6DAA">
        <w:rPr>
          <w:noProof/>
        </w:rPr>
        <w:t>stwami trzecimi.</w:t>
      </w:r>
    </w:p>
    <w:p w14:paraId="67808925" w14:textId="77777777" w:rsidR="008E648C" w:rsidRPr="004F6DAA" w:rsidRDefault="007B7EB7" w:rsidP="007B7EB7">
      <w:pPr>
        <w:pStyle w:val="ManualConsidrant"/>
        <w:rPr>
          <w:noProof/>
        </w:rPr>
      </w:pPr>
      <w:r w:rsidRPr="007B7EB7">
        <w:t>(23)</w:t>
      </w:r>
      <w:r w:rsidRPr="007B7EB7">
        <w:tab/>
      </w:r>
      <w:r w:rsidR="008E648C" w:rsidRPr="004F6DAA">
        <w:rPr>
          <w:noProof/>
        </w:rPr>
        <w:t>Obowiązujące ramy legislacyjne UE koncentrują się na walce</w:t>
      </w:r>
      <w:r w:rsidR="00062BFA" w:rsidRPr="004F6DAA">
        <w:rPr>
          <w:noProof/>
        </w:rPr>
        <w:t xml:space="preserve"> z</w:t>
      </w:r>
      <w:r w:rsidR="00062BFA">
        <w:rPr>
          <w:noProof/>
        </w:rPr>
        <w:t> </w:t>
      </w:r>
      <w:r w:rsidR="00062BFA" w:rsidRPr="004F6DAA">
        <w:rPr>
          <w:noProof/>
        </w:rPr>
        <w:t>nie</w:t>
      </w:r>
      <w:r w:rsidR="008E648C" w:rsidRPr="004F6DAA">
        <w:rPr>
          <w:noProof/>
        </w:rPr>
        <w:t>legalnym pozyskiwaniem drewna</w:t>
      </w:r>
      <w:r w:rsidR="00062BFA" w:rsidRPr="004F6DAA">
        <w:rPr>
          <w:noProof/>
        </w:rPr>
        <w:t xml:space="preserve"> i</w:t>
      </w:r>
      <w:r w:rsidR="00062BFA">
        <w:rPr>
          <w:noProof/>
        </w:rPr>
        <w:t> </w:t>
      </w:r>
      <w:r w:rsidR="00062BFA" w:rsidRPr="004F6DAA">
        <w:rPr>
          <w:noProof/>
        </w:rPr>
        <w:t>pow</w:t>
      </w:r>
      <w:r w:rsidR="008E648C" w:rsidRPr="004F6DAA">
        <w:rPr>
          <w:noProof/>
        </w:rPr>
        <w:t>iązaną</w:t>
      </w:r>
      <w:r w:rsidR="00062BFA" w:rsidRPr="004F6DAA">
        <w:rPr>
          <w:noProof/>
        </w:rPr>
        <w:t xml:space="preserve"> z</w:t>
      </w:r>
      <w:r w:rsidR="00062BFA">
        <w:rPr>
          <w:noProof/>
        </w:rPr>
        <w:t> </w:t>
      </w:r>
      <w:r w:rsidR="00062BFA" w:rsidRPr="004F6DAA">
        <w:rPr>
          <w:noProof/>
        </w:rPr>
        <w:t>tym</w:t>
      </w:r>
      <w:r w:rsidR="008E648C" w:rsidRPr="004F6DAA">
        <w:rPr>
          <w:noProof/>
        </w:rPr>
        <w:t xml:space="preserve"> wymianą handlową, lecz nie zapewniają bezpośredniej odpowiedzi na problem wylesiania. Obejmują one rozporządzenie Parlamentu Europejskiego</w:t>
      </w:r>
      <w:r w:rsidR="00062BFA" w:rsidRPr="004F6DAA">
        <w:rPr>
          <w:noProof/>
        </w:rPr>
        <w:t xml:space="preserve"> i</w:t>
      </w:r>
      <w:r w:rsidR="00062BFA">
        <w:rPr>
          <w:noProof/>
        </w:rPr>
        <w:t> </w:t>
      </w:r>
      <w:r w:rsidR="00062BFA" w:rsidRPr="004F6DAA">
        <w:rPr>
          <w:noProof/>
        </w:rPr>
        <w:t>Rad</w:t>
      </w:r>
      <w:r w:rsidR="008E648C" w:rsidRPr="004F6DAA">
        <w:rPr>
          <w:noProof/>
        </w:rPr>
        <w:t xml:space="preserve">y (UE) </w:t>
      </w:r>
      <w:r w:rsidR="008E648C" w:rsidRPr="00062BFA">
        <w:rPr>
          <w:noProof/>
        </w:rPr>
        <w:t>nr</w:t>
      </w:r>
      <w:r w:rsidR="00062BFA" w:rsidRPr="00062BFA">
        <w:rPr>
          <w:noProof/>
        </w:rPr>
        <w:t> </w:t>
      </w:r>
      <w:r w:rsidR="008E648C" w:rsidRPr="00062BFA">
        <w:rPr>
          <w:noProof/>
        </w:rPr>
        <w:t>9</w:t>
      </w:r>
      <w:r w:rsidR="008E648C" w:rsidRPr="004F6DAA">
        <w:rPr>
          <w:noProof/>
        </w:rPr>
        <w:t>95/2010 ustanawiające obowiązki podmiotów wprowadzających do obrotu drewno</w:t>
      </w:r>
      <w:r w:rsidR="00062BFA" w:rsidRPr="004F6DAA">
        <w:rPr>
          <w:noProof/>
        </w:rPr>
        <w:t xml:space="preserve"> i</w:t>
      </w:r>
      <w:r w:rsidR="00062BFA">
        <w:rPr>
          <w:noProof/>
        </w:rPr>
        <w:t> </w:t>
      </w:r>
      <w:r w:rsidR="00062BFA" w:rsidRPr="004F6DAA">
        <w:rPr>
          <w:noProof/>
        </w:rPr>
        <w:t>pro</w:t>
      </w:r>
      <w:r w:rsidR="008E648C" w:rsidRPr="004F6DAA">
        <w:rPr>
          <w:noProof/>
        </w:rPr>
        <w:t>dukty</w:t>
      </w:r>
      <w:r w:rsidR="00062BFA" w:rsidRPr="004F6DAA">
        <w:rPr>
          <w:noProof/>
        </w:rPr>
        <w:t xml:space="preserve"> z</w:t>
      </w:r>
      <w:r w:rsidR="00062BFA">
        <w:rPr>
          <w:noProof/>
        </w:rPr>
        <w:t> </w:t>
      </w:r>
      <w:r w:rsidR="00062BFA" w:rsidRPr="004F6DAA">
        <w:rPr>
          <w:noProof/>
        </w:rPr>
        <w:t>dre</w:t>
      </w:r>
      <w:r w:rsidR="008E648C" w:rsidRPr="004F6DAA">
        <w:rPr>
          <w:noProof/>
        </w:rPr>
        <w:t>wna</w:t>
      </w:r>
      <w:r w:rsidR="008E648C" w:rsidRPr="004F6DAA">
        <w:rPr>
          <w:rStyle w:val="Odwoanieprzypisudolnego"/>
          <w:noProof/>
        </w:rPr>
        <w:footnoteReference w:id="40"/>
      </w:r>
      <w:r w:rsidR="008E648C" w:rsidRPr="004F6DAA">
        <w:rPr>
          <w:noProof/>
        </w:rPr>
        <w:t xml:space="preserve"> oraz rozporządzenie Rady (WE) </w:t>
      </w:r>
      <w:r w:rsidR="008E648C" w:rsidRPr="00062BFA">
        <w:rPr>
          <w:noProof/>
        </w:rPr>
        <w:t>nr</w:t>
      </w:r>
      <w:r w:rsidR="00062BFA" w:rsidRPr="00062BFA">
        <w:rPr>
          <w:noProof/>
        </w:rPr>
        <w:t> </w:t>
      </w:r>
      <w:r w:rsidR="008E648C" w:rsidRPr="00062BFA">
        <w:rPr>
          <w:noProof/>
        </w:rPr>
        <w:t>2</w:t>
      </w:r>
      <w:r w:rsidR="008E648C" w:rsidRPr="004F6DAA">
        <w:rPr>
          <w:noProof/>
        </w:rPr>
        <w:t>173/2005</w:t>
      </w:r>
      <w:r w:rsidR="00062BFA" w:rsidRPr="004F6DAA">
        <w:rPr>
          <w:noProof/>
        </w:rPr>
        <w:t xml:space="preserve"> w</w:t>
      </w:r>
      <w:r w:rsidR="00062BFA">
        <w:rPr>
          <w:noProof/>
        </w:rPr>
        <w:t> </w:t>
      </w:r>
      <w:r w:rsidR="00062BFA" w:rsidRPr="004F6DAA">
        <w:rPr>
          <w:noProof/>
        </w:rPr>
        <w:t>spr</w:t>
      </w:r>
      <w:r w:rsidR="008E648C" w:rsidRPr="004F6DAA">
        <w:rPr>
          <w:noProof/>
        </w:rPr>
        <w:t>awie ustanowienia systemu zezwoleń na przywóz drewna do Wspólnoty Europejskiej</w:t>
      </w:r>
      <w:r w:rsidR="008E648C" w:rsidRPr="004F6DAA">
        <w:rPr>
          <w:rFonts w:ascii="Arial" w:hAnsi="Arial"/>
          <w:noProof/>
          <w:sz w:val="21"/>
          <w:szCs w:val="21"/>
          <w:shd w:val="clear" w:color="auto" w:fill="FFFFFF"/>
        </w:rPr>
        <w:t xml:space="preserve"> </w:t>
      </w:r>
      <w:r w:rsidR="008E648C" w:rsidRPr="004F6DAA">
        <w:rPr>
          <w:noProof/>
        </w:rPr>
        <w:t>FLEGT</w:t>
      </w:r>
      <w:r w:rsidR="008E648C" w:rsidRPr="004F6DAA">
        <w:rPr>
          <w:rStyle w:val="Odwoanieprzypisudolnego"/>
          <w:noProof/>
        </w:rPr>
        <w:footnoteReference w:id="41"/>
      </w:r>
      <w:r w:rsidR="008E648C" w:rsidRPr="004F6DAA">
        <w:rPr>
          <w:noProof/>
        </w:rPr>
        <w:t>. Obydwa te rozporządzenia poddano ocenie adekwatności,</w:t>
      </w:r>
      <w:r w:rsidR="00062BFA" w:rsidRPr="004F6DAA">
        <w:rPr>
          <w:noProof/>
        </w:rPr>
        <w:t xml:space="preserve"> w</w:t>
      </w:r>
      <w:r w:rsidR="00062BFA">
        <w:rPr>
          <w:noProof/>
        </w:rPr>
        <w:t> </w:t>
      </w:r>
      <w:r w:rsidR="00062BFA" w:rsidRPr="004F6DAA">
        <w:rPr>
          <w:noProof/>
        </w:rPr>
        <w:t>któ</w:t>
      </w:r>
      <w:r w:rsidR="008E648C" w:rsidRPr="004F6DAA">
        <w:rPr>
          <w:noProof/>
        </w:rPr>
        <w:t>rej wykazano, że chociaż prawodawstwo ma pozytywny wpływ na gospodarkę leśną, nie osiągnięto celów tych dwóch rozporządzeń –</w:t>
      </w:r>
      <w:r w:rsidR="00062BFA" w:rsidRPr="004F6DAA">
        <w:rPr>
          <w:noProof/>
        </w:rPr>
        <w:t xml:space="preserve"> a</w:t>
      </w:r>
      <w:r w:rsidR="00062BFA">
        <w:rPr>
          <w:noProof/>
        </w:rPr>
        <w:t> </w:t>
      </w:r>
      <w:r w:rsidR="00062BFA" w:rsidRPr="004F6DAA">
        <w:rPr>
          <w:noProof/>
        </w:rPr>
        <w:t>mia</w:t>
      </w:r>
      <w:r w:rsidR="008E648C" w:rsidRPr="004F6DAA">
        <w:rPr>
          <w:noProof/>
        </w:rPr>
        <w:t>nowicie ograniczenia nielegalnego pozyskiwania drewna</w:t>
      </w:r>
      <w:r w:rsidR="00062BFA" w:rsidRPr="004F6DAA">
        <w:rPr>
          <w:noProof/>
        </w:rPr>
        <w:t xml:space="preserve"> i</w:t>
      </w:r>
      <w:r w:rsidR="00062BFA">
        <w:rPr>
          <w:noProof/>
        </w:rPr>
        <w:t> </w:t>
      </w:r>
      <w:r w:rsidR="00062BFA" w:rsidRPr="004F6DAA">
        <w:rPr>
          <w:noProof/>
        </w:rPr>
        <w:t>zwi</w:t>
      </w:r>
      <w:r w:rsidR="008E648C" w:rsidRPr="004F6DAA">
        <w:rPr>
          <w:noProof/>
        </w:rPr>
        <w:t>ązanego</w:t>
      </w:r>
      <w:r w:rsidR="00062BFA" w:rsidRPr="004F6DAA">
        <w:rPr>
          <w:noProof/>
        </w:rPr>
        <w:t xml:space="preserve"> z</w:t>
      </w:r>
      <w:r w:rsidR="00062BFA">
        <w:rPr>
          <w:noProof/>
        </w:rPr>
        <w:t> </w:t>
      </w:r>
      <w:r w:rsidR="00062BFA" w:rsidRPr="004F6DAA">
        <w:rPr>
          <w:noProof/>
        </w:rPr>
        <w:t>nim</w:t>
      </w:r>
      <w:r w:rsidR="008E648C" w:rsidRPr="004F6DAA">
        <w:rPr>
          <w:noProof/>
        </w:rPr>
        <w:t xml:space="preserve"> handlu oraz ograniczenia konsumpcji nielegalnie pozyskanego drewna w UE</w:t>
      </w:r>
      <w:r w:rsidR="008E648C" w:rsidRPr="004F6DAA">
        <w:rPr>
          <w:rStyle w:val="Odwoanieprzypisudolnego"/>
          <w:rFonts w:eastAsia="Times New Roman"/>
          <w:noProof/>
        </w:rPr>
        <w:footnoteReference w:id="42"/>
      </w:r>
      <w:r w:rsidR="008E648C" w:rsidRPr="004F6DAA">
        <w:rPr>
          <w:noProof/>
        </w:rPr>
        <w:t xml:space="preserve"> –</w:t>
      </w:r>
      <w:r w:rsidR="00062BFA" w:rsidRPr="004F6DAA">
        <w:rPr>
          <w:noProof/>
        </w:rPr>
        <w:t xml:space="preserve"> i</w:t>
      </w:r>
      <w:r w:rsidR="00062BFA">
        <w:rPr>
          <w:noProof/>
        </w:rPr>
        <w:t> </w:t>
      </w:r>
      <w:r w:rsidR="00062BFA" w:rsidRPr="004F6DAA">
        <w:rPr>
          <w:noProof/>
        </w:rPr>
        <w:t>stw</w:t>
      </w:r>
      <w:r w:rsidR="008E648C" w:rsidRPr="004F6DAA">
        <w:rPr>
          <w:noProof/>
        </w:rPr>
        <w:t>ierdzono, że koncentrowanie się wyłącznie na legalności drewna nie jest wystarczające do osiągnięcia wyznaczonych celów.</w:t>
      </w:r>
    </w:p>
    <w:p w14:paraId="491A4A0D" w14:textId="77777777" w:rsidR="008E648C" w:rsidRPr="004F6DAA" w:rsidRDefault="007B7EB7" w:rsidP="007B7EB7">
      <w:pPr>
        <w:pStyle w:val="ManualConsidrant"/>
        <w:rPr>
          <w:noProof/>
        </w:rPr>
      </w:pPr>
      <w:r w:rsidRPr="007B7EB7">
        <w:t>(24)</w:t>
      </w:r>
      <w:r w:rsidRPr="007B7EB7">
        <w:tab/>
      </w:r>
      <w:r w:rsidR="008E648C" w:rsidRPr="004F6DAA">
        <w:rPr>
          <w:noProof/>
        </w:rPr>
        <w:t>Z dostępnych sprawozdań wynika, że znaczna część trwających procesów wylesiania jest zgodna</w:t>
      </w:r>
      <w:r w:rsidR="00062BFA" w:rsidRPr="004F6DAA">
        <w:rPr>
          <w:noProof/>
        </w:rPr>
        <w:t xml:space="preserve"> z</w:t>
      </w:r>
      <w:r w:rsidR="00062BFA">
        <w:rPr>
          <w:noProof/>
        </w:rPr>
        <w:t> </w:t>
      </w:r>
      <w:r w:rsidR="00062BFA" w:rsidRPr="004F6DAA">
        <w:rPr>
          <w:noProof/>
        </w:rPr>
        <w:t>pra</w:t>
      </w:r>
      <w:r w:rsidR="008E648C" w:rsidRPr="004F6DAA">
        <w:rPr>
          <w:noProof/>
        </w:rPr>
        <w:t>wem kraju produkcji</w:t>
      </w:r>
      <w:r w:rsidR="00062BFA" w:rsidRPr="004F6DAA">
        <w:rPr>
          <w:noProof/>
        </w:rPr>
        <w:t>. W</w:t>
      </w:r>
      <w:r w:rsidR="00062BFA">
        <w:rPr>
          <w:noProof/>
        </w:rPr>
        <w:t> </w:t>
      </w:r>
      <w:r w:rsidR="00062BFA" w:rsidRPr="004F6DAA">
        <w:rPr>
          <w:noProof/>
        </w:rPr>
        <w:t>naj</w:t>
      </w:r>
      <w:r w:rsidR="008E648C" w:rsidRPr="004F6DAA">
        <w:rPr>
          <w:noProof/>
        </w:rPr>
        <w:t>nowszym sprawozdaniu</w:t>
      </w:r>
      <w:r w:rsidR="008E648C" w:rsidRPr="004F6DAA">
        <w:rPr>
          <w:rStyle w:val="Odwoanieprzypisudolnego"/>
          <w:noProof/>
        </w:rPr>
        <w:footnoteReference w:id="43"/>
      </w:r>
      <w:r w:rsidR="008E648C" w:rsidRPr="004F6DAA">
        <w:rPr>
          <w:noProof/>
        </w:rPr>
        <w:t xml:space="preserve"> oszacowano, że</w:t>
      </w:r>
      <w:r w:rsidR="00062BFA" w:rsidRPr="004F6DAA">
        <w:rPr>
          <w:noProof/>
        </w:rPr>
        <w:t xml:space="preserve"> w</w:t>
      </w:r>
      <w:r w:rsidR="00062BFA">
        <w:rPr>
          <w:noProof/>
        </w:rPr>
        <w:t> </w:t>
      </w:r>
      <w:r w:rsidR="00062BFA" w:rsidRPr="004F6DAA">
        <w:rPr>
          <w:noProof/>
        </w:rPr>
        <w:t>lat</w:t>
      </w:r>
      <w:r w:rsidR="008E648C" w:rsidRPr="004F6DAA">
        <w:rPr>
          <w:noProof/>
        </w:rPr>
        <w:t xml:space="preserve">ach 2013–2019 </w:t>
      </w:r>
      <w:r w:rsidR="008E648C" w:rsidRPr="00062BFA">
        <w:rPr>
          <w:noProof/>
        </w:rPr>
        <w:t>ok.</w:t>
      </w:r>
      <w:r w:rsidR="00062BFA" w:rsidRPr="00062BFA">
        <w:rPr>
          <w:noProof/>
        </w:rPr>
        <w:t> </w:t>
      </w:r>
      <w:r w:rsidR="008E648C" w:rsidRPr="00062BFA">
        <w:rPr>
          <w:noProof/>
        </w:rPr>
        <w:t>30</w:t>
      </w:r>
      <w:r w:rsidR="00062BFA" w:rsidRPr="00062BFA">
        <w:rPr>
          <w:noProof/>
        </w:rPr>
        <w:t> </w:t>
      </w:r>
      <w:r w:rsidR="008E648C" w:rsidRPr="00062BFA">
        <w:rPr>
          <w:noProof/>
        </w:rPr>
        <w:t>%</w:t>
      </w:r>
      <w:r w:rsidR="008E648C" w:rsidRPr="004F6DAA">
        <w:rPr>
          <w:noProof/>
        </w:rPr>
        <w:t xml:space="preserve"> wylesiania do celów komercyjnej działalności rolniczej</w:t>
      </w:r>
      <w:r w:rsidR="00062BFA" w:rsidRPr="004F6DAA">
        <w:rPr>
          <w:noProof/>
        </w:rPr>
        <w:t xml:space="preserve"> w</w:t>
      </w:r>
      <w:r w:rsidR="00062BFA">
        <w:rPr>
          <w:noProof/>
        </w:rPr>
        <w:t> </w:t>
      </w:r>
      <w:r w:rsidR="00062BFA" w:rsidRPr="004F6DAA">
        <w:rPr>
          <w:noProof/>
        </w:rPr>
        <w:t>kra</w:t>
      </w:r>
      <w:r w:rsidR="008E648C" w:rsidRPr="004F6DAA">
        <w:rPr>
          <w:noProof/>
        </w:rPr>
        <w:t>jach tropikalnych było zgodne</w:t>
      </w:r>
      <w:r w:rsidR="00062BFA" w:rsidRPr="004F6DAA">
        <w:rPr>
          <w:noProof/>
        </w:rPr>
        <w:t xml:space="preserve"> z</w:t>
      </w:r>
      <w:r w:rsidR="00062BFA">
        <w:rPr>
          <w:noProof/>
        </w:rPr>
        <w:t> </w:t>
      </w:r>
      <w:r w:rsidR="00062BFA" w:rsidRPr="004F6DAA">
        <w:rPr>
          <w:noProof/>
        </w:rPr>
        <w:t>pra</w:t>
      </w:r>
      <w:r w:rsidR="008E648C" w:rsidRPr="004F6DAA">
        <w:rPr>
          <w:noProof/>
        </w:rPr>
        <w:t>wem. Dostępne dane skupiają się zazwyczaj na państwach charakteryzujących się słabym zarządzaniem – globalny udział nielegalnego wylesiania może być niższy, dostarcza już jednak jasnych danych, które są sygnałem, że pomijanie legalnego wylesiania</w:t>
      </w:r>
      <w:r w:rsidR="00062BFA" w:rsidRPr="004F6DAA">
        <w:rPr>
          <w:noProof/>
        </w:rPr>
        <w:t xml:space="preserve"> w</w:t>
      </w:r>
      <w:r w:rsidR="00062BFA">
        <w:rPr>
          <w:noProof/>
        </w:rPr>
        <w:t> </w:t>
      </w:r>
      <w:r w:rsidR="00062BFA" w:rsidRPr="004F6DAA">
        <w:rPr>
          <w:noProof/>
        </w:rPr>
        <w:t>kra</w:t>
      </w:r>
      <w:r w:rsidR="008E648C" w:rsidRPr="004F6DAA">
        <w:rPr>
          <w:noProof/>
        </w:rPr>
        <w:t>ju produkcji obniża skuteczność środków</w:t>
      </w:r>
      <w:r w:rsidR="00062BFA" w:rsidRPr="004F6DAA">
        <w:rPr>
          <w:noProof/>
        </w:rPr>
        <w:t xml:space="preserve"> z</w:t>
      </w:r>
      <w:r w:rsidR="00062BFA">
        <w:rPr>
          <w:noProof/>
        </w:rPr>
        <w:t> </w:t>
      </w:r>
      <w:r w:rsidR="00062BFA" w:rsidRPr="004F6DAA">
        <w:rPr>
          <w:noProof/>
        </w:rPr>
        <w:t>zak</w:t>
      </w:r>
      <w:r w:rsidR="008E648C" w:rsidRPr="004F6DAA">
        <w:rPr>
          <w:noProof/>
        </w:rPr>
        <w:t>resu polityki.</w:t>
      </w:r>
    </w:p>
    <w:p w14:paraId="1097A6FF" w14:textId="77777777" w:rsidR="008E648C" w:rsidRPr="004F6DAA" w:rsidRDefault="007B7EB7" w:rsidP="007B7EB7">
      <w:pPr>
        <w:pStyle w:val="ManualConsidrant"/>
        <w:rPr>
          <w:noProof/>
        </w:rPr>
      </w:pPr>
      <w:r w:rsidRPr="007B7EB7">
        <w:t>(25)</w:t>
      </w:r>
      <w:r w:rsidRPr="007B7EB7">
        <w:tab/>
      </w:r>
      <w:r w:rsidR="008E648C" w:rsidRPr="004F6DAA">
        <w:rPr>
          <w:noProof/>
        </w:rPr>
        <w:t>W ocenie skutków możliwych środków</w:t>
      </w:r>
      <w:r w:rsidR="00062BFA" w:rsidRPr="004F6DAA">
        <w:rPr>
          <w:noProof/>
        </w:rPr>
        <w:t xml:space="preserve"> z</w:t>
      </w:r>
      <w:r w:rsidR="00062BFA">
        <w:rPr>
          <w:noProof/>
        </w:rPr>
        <w:t> </w:t>
      </w:r>
      <w:r w:rsidR="00062BFA" w:rsidRPr="004F6DAA">
        <w:rPr>
          <w:noProof/>
        </w:rPr>
        <w:t>zak</w:t>
      </w:r>
      <w:r w:rsidR="008E648C" w:rsidRPr="004F6DAA">
        <w:rPr>
          <w:noProof/>
        </w:rPr>
        <w:t>resu polityki mających na celu rozwiązanie problemu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konkluzjach Rady oraz rezolucji Parlamentu Europejskiego</w:t>
      </w:r>
      <w:r w:rsidR="00062BFA" w:rsidRPr="004F6DAA">
        <w:rPr>
          <w:noProof/>
        </w:rPr>
        <w:t xml:space="preserve"> z</w:t>
      </w:r>
      <w:r w:rsidR="00062BFA">
        <w:rPr>
          <w:noProof/>
        </w:rPr>
        <w:t> </w:t>
      </w:r>
      <w:r w:rsidR="00062BFA" w:rsidRPr="004F6DAA">
        <w:rPr>
          <w:noProof/>
        </w:rPr>
        <w:t>2</w:t>
      </w:r>
      <w:r w:rsidR="008E648C" w:rsidRPr="004F6DAA">
        <w:rPr>
          <w:noProof/>
        </w:rPr>
        <w:t>0</w:t>
      </w:r>
      <w:r w:rsidR="008E648C" w:rsidRPr="00062BFA">
        <w:rPr>
          <w:noProof/>
        </w:rPr>
        <w:t>20</w:t>
      </w:r>
      <w:r w:rsidR="00062BFA" w:rsidRPr="00062BFA">
        <w:rPr>
          <w:noProof/>
        </w:rPr>
        <w:t> </w:t>
      </w:r>
      <w:r w:rsidR="008E648C" w:rsidRPr="00062BFA">
        <w:rPr>
          <w:noProof/>
        </w:rPr>
        <w:t>r.</w:t>
      </w:r>
      <w:r w:rsidR="008E648C" w:rsidRPr="004F6DAA">
        <w:rPr>
          <w:noProof/>
        </w:rPr>
        <w:t xml:space="preserve"> jasno określono potrzebę uznania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za przewodnie kryteria na potrzeby przyszłych unijnych środków. Nowe unijne ramy prawne powinny zatem uwzględniać zarówno problem legalności, jak</w:t>
      </w:r>
      <w:r w:rsidR="00062BFA" w:rsidRPr="004F6DAA">
        <w:rPr>
          <w:noProof/>
        </w:rPr>
        <w:t xml:space="preserve"> i</w:t>
      </w:r>
      <w:r w:rsidR="00062BFA">
        <w:rPr>
          <w:noProof/>
        </w:rPr>
        <w:t> </w:t>
      </w:r>
      <w:r w:rsidR="00062BFA" w:rsidRPr="004F6DAA">
        <w:rPr>
          <w:noProof/>
        </w:rPr>
        <w:t>kwe</w:t>
      </w:r>
      <w:r w:rsidR="008E648C" w:rsidRPr="004F6DAA">
        <w:rPr>
          <w:noProof/>
        </w:rPr>
        <w:t>stię, czy produkcja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nie powoduje wylesiania.</w:t>
      </w:r>
    </w:p>
    <w:p w14:paraId="24EE490C" w14:textId="77777777" w:rsidR="008E648C" w:rsidRPr="004F6DAA" w:rsidRDefault="007B7EB7" w:rsidP="007B7EB7">
      <w:pPr>
        <w:pStyle w:val="ManualConsidrant"/>
        <w:rPr>
          <w:noProof/>
        </w:rPr>
      </w:pPr>
      <w:r w:rsidRPr="007B7EB7">
        <w:t>(26)</w:t>
      </w:r>
      <w:r w:rsidRPr="007B7EB7">
        <w:tab/>
      </w:r>
      <w:r w:rsidR="008E648C" w:rsidRPr="004F6DAA">
        <w:rPr>
          <w:noProof/>
        </w:rPr>
        <w:t>Definicja pojęcia „niepowodujące wylesiania” powinna być wystarczająco szeroka, aby obejmować zarówno wylesianie, jak</w:t>
      </w:r>
      <w:r w:rsidR="00062BFA" w:rsidRPr="004F6DAA">
        <w:rPr>
          <w:noProof/>
        </w:rPr>
        <w:t xml:space="preserve"> i</w:t>
      </w:r>
      <w:r w:rsidR="00062BFA">
        <w:rPr>
          <w:noProof/>
        </w:rPr>
        <w:t> </w:t>
      </w:r>
      <w:r w:rsidR="00062BFA" w:rsidRPr="004F6DAA">
        <w:rPr>
          <w:noProof/>
        </w:rPr>
        <w:t>deg</w:t>
      </w:r>
      <w:r w:rsidR="008E648C" w:rsidRPr="004F6DAA">
        <w:rPr>
          <w:noProof/>
        </w:rPr>
        <w:t>radację lasów, powinna zapewniać jasność prawa oraz zakładać wymierność na podstawie ilościowych, obiektywnych</w:t>
      </w:r>
      <w:r w:rsidR="00062BFA" w:rsidRPr="004F6DAA">
        <w:rPr>
          <w:noProof/>
        </w:rPr>
        <w:t xml:space="preserve"> i</w:t>
      </w:r>
      <w:r w:rsidR="00062BFA">
        <w:rPr>
          <w:noProof/>
        </w:rPr>
        <w:t> </w:t>
      </w:r>
      <w:r w:rsidR="00062BFA" w:rsidRPr="004F6DAA">
        <w:rPr>
          <w:noProof/>
        </w:rPr>
        <w:t>uzn</w:t>
      </w:r>
      <w:r w:rsidR="008E648C" w:rsidRPr="004F6DAA">
        <w:rPr>
          <w:noProof/>
        </w:rPr>
        <w:t>anych międzynarodowo danych.</w:t>
      </w:r>
    </w:p>
    <w:p w14:paraId="647524FA" w14:textId="77777777" w:rsidR="008E648C" w:rsidRPr="004F6DAA" w:rsidRDefault="007B7EB7" w:rsidP="007B7EB7">
      <w:pPr>
        <w:pStyle w:val="ManualConsidrant"/>
        <w:rPr>
          <w:noProof/>
        </w:rPr>
      </w:pPr>
      <w:r w:rsidRPr="007B7EB7">
        <w:t>(27)</w:t>
      </w:r>
      <w:r w:rsidRPr="007B7EB7">
        <w:tab/>
      </w:r>
      <w:r w:rsidR="008E648C" w:rsidRPr="004F6DAA">
        <w:rPr>
          <w:noProof/>
        </w:rPr>
        <w:t>Rozporządzenie powinno obejmować takie towary, których konsumpcja</w:t>
      </w:r>
      <w:r w:rsidR="00062BFA" w:rsidRPr="004F6DAA">
        <w:rPr>
          <w:noProof/>
        </w:rPr>
        <w:t xml:space="preserve"> w</w:t>
      </w:r>
      <w:r w:rsidR="00062BFA">
        <w:rPr>
          <w:noProof/>
        </w:rPr>
        <w:t> </w:t>
      </w:r>
      <w:r w:rsidR="00062BFA" w:rsidRPr="004F6DAA">
        <w:rPr>
          <w:noProof/>
        </w:rPr>
        <w:t>Uni</w:t>
      </w:r>
      <w:r w:rsidR="008E648C" w:rsidRPr="004F6DAA">
        <w:rPr>
          <w:noProof/>
        </w:rPr>
        <w:t>i jest ma największy wpływ na globalne wylesianie</w:t>
      </w:r>
      <w:r w:rsidR="00062BFA" w:rsidRPr="004F6DAA">
        <w:rPr>
          <w:noProof/>
        </w:rPr>
        <w:t xml:space="preserve"> i</w:t>
      </w:r>
      <w:r w:rsidR="00062BFA">
        <w:rPr>
          <w:noProof/>
        </w:rPr>
        <w:t> </w:t>
      </w:r>
      <w:r w:rsidR="00062BFA" w:rsidRPr="004F6DAA">
        <w:rPr>
          <w:noProof/>
        </w:rPr>
        <w:t>glo</w:t>
      </w:r>
      <w:r w:rsidR="008E648C" w:rsidRPr="004F6DAA">
        <w:rPr>
          <w:noProof/>
        </w:rPr>
        <w:t>balną degradację lasów oraz</w:t>
      </w:r>
      <w:r w:rsidR="00062BFA" w:rsidRPr="004F6DAA">
        <w:rPr>
          <w:noProof/>
        </w:rPr>
        <w:t xml:space="preserve"> w</w:t>
      </w:r>
      <w:r w:rsidR="00062BFA">
        <w:rPr>
          <w:noProof/>
        </w:rPr>
        <w:t> </w:t>
      </w:r>
      <w:r w:rsidR="00062BFA" w:rsidRPr="004F6DAA">
        <w:rPr>
          <w:noProof/>
        </w:rPr>
        <w:t>prz</w:t>
      </w:r>
      <w:r w:rsidR="008E648C" w:rsidRPr="004F6DAA">
        <w:rPr>
          <w:noProof/>
        </w:rPr>
        <w:t>ypadku których interwencja polityczna Unii mogłaby przynieść największe korzyści na jednostkę wartości handlu</w:t>
      </w:r>
      <w:r w:rsidR="008E648C" w:rsidRPr="004F6DAA">
        <w:rPr>
          <w:i/>
          <w:iCs/>
          <w:noProof/>
        </w:rPr>
        <w:t xml:space="preserve">. </w:t>
      </w:r>
      <w:r w:rsidR="008E648C" w:rsidRPr="004F6DAA">
        <w:rPr>
          <w:noProof/>
        </w:rPr>
        <w:t>Jako część badania wspierającego ocenę skutków przeprowadzono obszerny przegląd literatury naukowej, tj. głównych źródeł,</w:t>
      </w:r>
      <w:r w:rsidR="00062BFA" w:rsidRPr="004F6DAA">
        <w:rPr>
          <w:noProof/>
        </w:rPr>
        <w:t xml:space="preserve"> w</w:t>
      </w:r>
      <w:r w:rsidR="00062BFA">
        <w:rPr>
          <w:noProof/>
        </w:rPr>
        <w:t> </w:t>
      </w:r>
      <w:r w:rsidR="00062BFA" w:rsidRPr="004F6DAA">
        <w:rPr>
          <w:noProof/>
        </w:rPr>
        <w:t>któ</w:t>
      </w:r>
      <w:r w:rsidR="008E648C" w:rsidRPr="004F6DAA">
        <w:rPr>
          <w:noProof/>
        </w:rPr>
        <w:t>rych szacuje się wpływ konsumpcji w UE na globalne wylesianie</w:t>
      </w:r>
      <w:r w:rsidR="00062BFA" w:rsidRPr="004F6DAA">
        <w:rPr>
          <w:noProof/>
        </w:rPr>
        <w:t xml:space="preserve"> i</w:t>
      </w:r>
      <w:r w:rsidR="00062BFA">
        <w:rPr>
          <w:noProof/>
        </w:rPr>
        <w:t> </w:t>
      </w:r>
      <w:r w:rsidR="00062BFA" w:rsidRPr="004F6DAA">
        <w:rPr>
          <w:noProof/>
        </w:rPr>
        <w:t>łąc</w:t>
      </w:r>
      <w:r w:rsidR="008E648C" w:rsidRPr="004F6DAA">
        <w:rPr>
          <w:noProof/>
        </w:rPr>
        <w:t>zy ten ślad</w:t>
      </w:r>
      <w:r w:rsidR="00062BFA" w:rsidRPr="004F6DAA">
        <w:rPr>
          <w:noProof/>
        </w:rPr>
        <w:t xml:space="preserve"> z</w:t>
      </w:r>
      <w:r w:rsidR="00062BFA">
        <w:rPr>
          <w:noProof/>
        </w:rPr>
        <w:t> </w:t>
      </w:r>
      <w:r w:rsidR="00062BFA" w:rsidRPr="004F6DAA">
        <w:rPr>
          <w:noProof/>
        </w:rPr>
        <w:t>kon</w:t>
      </w:r>
      <w:r w:rsidR="008E648C" w:rsidRPr="004F6DAA">
        <w:rPr>
          <w:noProof/>
        </w:rPr>
        <w:t>kretnymi towarami,</w:t>
      </w:r>
      <w:r w:rsidR="00062BFA" w:rsidRPr="004F6DAA">
        <w:rPr>
          <w:noProof/>
        </w:rPr>
        <w:t xml:space="preserve"> i</w:t>
      </w:r>
      <w:r w:rsidR="00062BFA">
        <w:rPr>
          <w:noProof/>
        </w:rPr>
        <w:t> </w:t>
      </w:r>
      <w:r w:rsidR="00062BFA" w:rsidRPr="004F6DAA">
        <w:rPr>
          <w:noProof/>
        </w:rPr>
        <w:t>dok</w:t>
      </w:r>
      <w:r w:rsidR="008E648C" w:rsidRPr="004F6DAA">
        <w:rPr>
          <w:noProof/>
        </w:rPr>
        <w:t>onano kontroli krzyżowej tego przeglądu, przeprowadzając szeroko zakrojone konsultacje</w:t>
      </w:r>
      <w:r w:rsidR="00062BFA" w:rsidRPr="004F6DAA">
        <w:rPr>
          <w:noProof/>
        </w:rPr>
        <w:t xml:space="preserve"> z</w:t>
      </w:r>
      <w:r w:rsidR="00062BFA">
        <w:rPr>
          <w:noProof/>
        </w:rPr>
        <w:t> </w:t>
      </w:r>
      <w:r w:rsidR="00062BFA" w:rsidRPr="004F6DAA">
        <w:rPr>
          <w:noProof/>
        </w:rPr>
        <w:t>zai</w:t>
      </w:r>
      <w:r w:rsidR="008E648C" w:rsidRPr="004F6DAA">
        <w:rPr>
          <w:noProof/>
        </w:rPr>
        <w:t>nteresowanymi stronami. Wynikiem tego procesu było stworzenie pierwszego wykazu zawierającego osiem towarów. Drewno włączono bezpośrednio do wykazu, gdyż zostało już ono ujęte</w:t>
      </w:r>
      <w:r w:rsidR="00062BFA" w:rsidRPr="004F6DAA">
        <w:rPr>
          <w:noProof/>
        </w:rPr>
        <w:t xml:space="preserve"> w</w:t>
      </w:r>
      <w:r w:rsidR="00062BFA">
        <w:rPr>
          <w:noProof/>
        </w:rPr>
        <w:t> </w:t>
      </w:r>
      <w:r w:rsidR="00062BFA" w:rsidRPr="004F6DAA">
        <w:rPr>
          <w:noProof/>
        </w:rPr>
        <w:t>roz</w:t>
      </w:r>
      <w:r w:rsidR="008E648C" w:rsidRPr="004F6DAA">
        <w:rPr>
          <w:noProof/>
        </w:rPr>
        <w:t>porządzeniu</w:t>
      </w:r>
      <w:r w:rsidR="00062BFA" w:rsidRPr="004F6DAA">
        <w:rPr>
          <w:noProof/>
        </w:rPr>
        <w:t xml:space="preserve"> w</w:t>
      </w:r>
      <w:r w:rsidR="00062BFA">
        <w:rPr>
          <w:noProof/>
        </w:rPr>
        <w:t> </w:t>
      </w:r>
      <w:r w:rsidR="00062BFA" w:rsidRPr="004F6DAA">
        <w:rPr>
          <w:noProof/>
        </w:rPr>
        <w:t>spr</w:t>
      </w:r>
      <w:r w:rsidR="008E648C" w:rsidRPr="004F6DAA">
        <w:rPr>
          <w:noProof/>
        </w:rPr>
        <w:t>awie drewna. Wykaz towarów następnie okrojono, przeprowadzając analizę wydajności</w:t>
      </w:r>
      <w:r w:rsidR="00062BFA" w:rsidRPr="004F6DAA">
        <w:rPr>
          <w:noProof/>
        </w:rPr>
        <w:t xml:space="preserve"> w</w:t>
      </w:r>
      <w:r w:rsidR="00062BFA">
        <w:rPr>
          <w:noProof/>
        </w:rPr>
        <w:t> </w:t>
      </w:r>
      <w:r w:rsidR="00062BFA" w:rsidRPr="004F6DAA">
        <w:rPr>
          <w:noProof/>
        </w:rPr>
        <w:t>oce</w:t>
      </w:r>
      <w:r w:rsidR="008E648C" w:rsidRPr="004F6DAA">
        <w:rPr>
          <w:noProof/>
        </w:rPr>
        <w:t>nie skutków</w:t>
      </w:r>
      <w:r w:rsidR="00062BFA" w:rsidRPr="004F6DAA">
        <w:rPr>
          <w:noProof/>
        </w:rPr>
        <w:t>. W</w:t>
      </w:r>
      <w:r w:rsidR="00062BFA">
        <w:rPr>
          <w:noProof/>
        </w:rPr>
        <w:t> </w:t>
      </w:r>
      <w:r w:rsidR="00062BFA" w:rsidRPr="004F6DAA">
        <w:rPr>
          <w:noProof/>
        </w:rPr>
        <w:t>ram</w:t>
      </w:r>
      <w:r w:rsidR="008E648C" w:rsidRPr="004F6DAA">
        <w:rPr>
          <w:noProof/>
        </w:rPr>
        <w:t>ach tej analizy wydajności porównano liczbę hektarów wylesionych obszarów powiązanych</w:t>
      </w:r>
      <w:r w:rsidR="00062BFA" w:rsidRPr="004F6DAA">
        <w:rPr>
          <w:noProof/>
        </w:rPr>
        <w:t xml:space="preserve"> z</w:t>
      </w:r>
      <w:r w:rsidR="00062BFA">
        <w:rPr>
          <w:noProof/>
        </w:rPr>
        <w:t> </w:t>
      </w:r>
      <w:r w:rsidR="00062BFA" w:rsidRPr="004F6DAA">
        <w:rPr>
          <w:noProof/>
        </w:rPr>
        <w:t>kon</w:t>
      </w:r>
      <w:r w:rsidR="008E648C" w:rsidRPr="004F6DAA">
        <w:rPr>
          <w:noProof/>
        </w:rPr>
        <w:t>sumpcją w UE, oszacowaną</w:t>
      </w:r>
      <w:r w:rsidR="00062BFA" w:rsidRPr="004F6DAA">
        <w:rPr>
          <w:noProof/>
        </w:rPr>
        <w:t xml:space="preserve"> w</w:t>
      </w:r>
      <w:r w:rsidR="00062BFA">
        <w:rPr>
          <w:noProof/>
        </w:rPr>
        <w:t> </w:t>
      </w:r>
      <w:r w:rsidR="00062BFA" w:rsidRPr="004F6DAA">
        <w:rPr>
          <w:noProof/>
        </w:rPr>
        <w:t>naj</w:t>
      </w:r>
      <w:r w:rsidR="008E648C" w:rsidRPr="004F6DAA">
        <w:rPr>
          <w:noProof/>
        </w:rPr>
        <w:t>nowszym opracowaniu badawczym</w:t>
      </w:r>
      <w:r w:rsidR="008E648C" w:rsidRPr="004F6DAA">
        <w:rPr>
          <w:rStyle w:val="Odwoanieprzypisudolnego"/>
          <w:iCs/>
          <w:noProof/>
        </w:rPr>
        <w:footnoteReference w:id="44"/>
      </w:r>
      <w:r w:rsidR="00062BFA" w:rsidRPr="004F6DAA">
        <w:rPr>
          <w:noProof/>
        </w:rPr>
        <w:t xml:space="preserve"> i</w:t>
      </w:r>
      <w:r w:rsidR="00062BFA">
        <w:rPr>
          <w:noProof/>
        </w:rPr>
        <w:t> </w:t>
      </w:r>
      <w:r w:rsidR="00062BFA" w:rsidRPr="004F6DAA">
        <w:rPr>
          <w:noProof/>
        </w:rPr>
        <w:t>prz</w:t>
      </w:r>
      <w:r w:rsidR="008E648C" w:rsidRPr="004F6DAA">
        <w:rPr>
          <w:noProof/>
        </w:rPr>
        <w:t>ypadającą na każdy</w:t>
      </w:r>
      <w:r w:rsidR="00062BFA" w:rsidRPr="004F6DAA">
        <w:rPr>
          <w:noProof/>
        </w:rPr>
        <w:t xml:space="preserve"> z</w:t>
      </w:r>
      <w:r w:rsidR="00062BFA">
        <w:rPr>
          <w:noProof/>
        </w:rPr>
        <w:t> </w:t>
      </w:r>
      <w:r w:rsidR="00062BFA" w:rsidRPr="004F6DAA">
        <w:rPr>
          <w:noProof/>
        </w:rPr>
        <w:t>tyc</w:t>
      </w:r>
      <w:r w:rsidR="008E648C" w:rsidRPr="004F6DAA">
        <w:rPr>
          <w:noProof/>
        </w:rPr>
        <w:t>h towarów,</w:t>
      </w:r>
      <w:r w:rsidR="00062BFA" w:rsidRPr="004F6DAA">
        <w:rPr>
          <w:noProof/>
        </w:rPr>
        <w:t xml:space="preserve"> z</w:t>
      </w:r>
      <w:r w:rsidR="00062BFA">
        <w:rPr>
          <w:noProof/>
        </w:rPr>
        <w:t> </w:t>
      </w:r>
      <w:r w:rsidR="00062BFA" w:rsidRPr="004F6DAA">
        <w:rPr>
          <w:noProof/>
        </w:rPr>
        <w:t>ich</w:t>
      </w:r>
      <w:r w:rsidR="008E648C" w:rsidRPr="004F6DAA">
        <w:rPr>
          <w:noProof/>
        </w:rPr>
        <w:t xml:space="preserve"> średnią wartością przywozu do UE. Zgodnie</w:t>
      </w:r>
      <w:r w:rsidR="00062BFA" w:rsidRPr="004F6DAA">
        <w:rPr>
          <w:noProof/>
        </w:rPr>
        <w:t xml:space="preserve"> z</w:t>
      </w:r>
      <w:r w:rsidR="00062BFA">
        <w:rPr>
          <w:noProof/>
        </w:rPr>
        <w:t> </w:t>
      </w:r>
      <w:r w:rsidR="00062BFA" w:rsidRPr="004F6DAA">
        <w:rPr>
          <w:noProof/>
        </w:rPr>
        <w:t>opr</w:t>
      </w:r>
      <w:r w:rsidR="008E648C" w:rsidRPr="004F6DAA">
        <w:rPr>
          <w:noProof/>
        </w:rPr>
        <w:t>acowaniem badawczym wykorzystanym do analizy wydajności spośród łącznie ośmiu analizowanych</w:t>
      </w:r>
      <w:r w:rsidR="00062BFA" w:rsidRPr="004F6DAA">
        <w:rPr>
          <w:noProof/>
        </w:rPr>
        <w:t xml:space="preserve"> w</w:t>
      </w:r>
      <w:r w:rsidR="00062BFA">
        <w:rPr>
          <w:noProof/>
        </w:rPr>
        <w:t> </w:t>
      </w:r>
      <w:r w:rsidR="00062BFA" w:rsidRPr="004F6DAA">
        <w:rPr>
          <w:noProof/>
        </w:rPr>
        <w:t>nim</w:t>
      </w:r>
      <w:r w:rsidR="008E648C" w:rsidRPr="004F6DAA">
        <w:rPr>
          <w:noProof/>
        </w:rPr>
        <w:t xml:space="preserve"> towarów sześć ma największy udział</w:t>
      </w:r>
      <w:r w:rsidR="00062BFA" w:rsidRPr="004F6DAA">
        <w:rPr>
          <w:noProof/>
        </w:rPr>
        <w:t xml:space="preserve"> w</w:t>
      </w:r>
      <w:r w:rsidR="00062BFA">
        <w:rPr>
          <w:noProof/>
        </w:rPr>
        <w:t> </w:t>
      </w:r>
      <w:r w:rsidR="00062BFA" w:rsidRPr="004F6DAA">
        <w:rPr>
          <w:noProof/>
        </w:rPr>
        <w:t>wyl</w:t>
      </w:r>
      <w:r w:rsidR="008E648C" w:rsidRPr="004F6DAA">
        <w:rPr>
          <w:noProof/>
        </w:rPr>
        <w:t>esianiu powodowanym przez UE: olej palmowy (33,9</w:t>
      </w:r>
      <w:r w:rsidR="008E648C" w:rsidRPr="00062BFA">
        <w:rPr>
          <w:noProof/>
        </w:rPr>
        <w:t>5</w:t>
      </w:r>
      <w:r w:rsidR="00062BFA" w:rsidRPr="00062BFA">
        <w:rPr>
          <w:noProof/>
        </w:rPr>
        <w:t> </w:t>
      </w:r>
      <w:r w:rsidR="008E648C" w:rsidRPr="00062BFA">
        <w:rPr>
          <w:noProof/>
        </w:rPr>
        <w:t>%</w:t>
      </w:r>
      <w:r w:rsidR="008E648C" w:rsidRPr="004F6DAA">
        <w:rPr>
          <w:noProof/>
        </w:rPr>
        <w:t>), soja (32,8</w:t>
      </w:r>
      <w:r w:rsidR="008E648C" w:rsidRPr="00062BFA">
        <w:rPr>
          <w:noProof/>
        </w:rPr>
        <w:t>3</w:t>
      </w:r>
      <w:r w:rsidR="00062BFA" w:rsidRPr="00062BFA">
        <w:rPr>
          <w:noProof/>
        </w:rPr>
        <w:t> </w:t>
      </w:r>
      <w:r w:rsidR="008E648C" w:rsidRPr="00062BFA">
        <w:rPr>
          <w:noProof/>
        </w:rPr>
        <w:t>%</w:t>
      </w:r>
      <w:r w:rsidR="008E648C" w:rsidRPr="004F6DAA">
        <w:rPr>
          <w:noProof/>
        </w:rPr>
        <w:t>), drewno (8,6</w:t>
      </w:r>
      <w:r w:rsidR="008E648C" w:rsidRPr="00062BFA">
        <w:rPr>
          <w:noProof/>
        </w:rPr>
        <w:t>2</w:t>
      </w:r>
      <w:r w:rsidR="00062BFA" w:rsidRPr="00062BFA">
        <w:rPr>
          <w:noProof/>
        </w:rPr>
        <w:t> </w:t>
      </w:r>
      <w:r w:rsidR="008E648C" w:rsidRPr="00062BFA">
        <w:rPr>
          <w:noProof/>
        </w:rPr>
        <w:t>%</w:t>
      </w:r>
      <w:r w:rsidR="008E648C" w:rsidRPr="004F6DAA">
        <w:rPr>
          <w:noProof/>
        </w:rPr>
        <w:t>), kakao (7,5</w:t>
      </w:r>
      <w:r w:rsidR="008E648C" w:rsidRPr="00062BFA">
        <w:rPr>
          <w:noProof/>
        </w:rPr>
        <w:t>4</w:t>
      </w:r>
      <w:r w:rsidR="00062BFA" w:rsidRPr="00062BFA">
        <w:rPr>
          <w:noProof/>
        </w:rPr>
        <w:t> </w:t>
      </w:r>
      <w:r w:rsidR="008E648C" w:rsidRPr="00062BFA">
        <w:rPr>
          <w:noProof/>
        </w:rPr>
        <w:t>%</w:t>
      </w:r>
      <w:r w:rsidR="008E648C" w:rsidRPr="004F6DAA">
        <w:rPr>
          <w:noProof/>
        </w:rPr>
        <w:t>), kawa (7,0</w:t>
      </w:r>
      <w:r w:rsidR="008E648C" w:rsidRPr="00062BFA">
        <w:rPr>
          <w:noProof/>
        </w:rPr>
        <w:t>1</w:t>
      </w:r>
      <w:r w:rsidR="00062BFA" w:rsidRPr="00062BFA">
        <w:rPr>
          <w:noProof/>
        </w:rPr>
        <w:t> </w:t>
      </w:r>
      <w:r w:rsidR="008E648C" w:rsidRPr="00062BFA">
        <w:rPr>
          <w:noProof/>
        </w:rPr>
        <w:t>%</w:t>
      </w:r>
      <w:r w:rsidR="008E648C" w:rsidRPr="004F6DAA">
        <w:rPr>
          <w:noProof/>
        </w:rPr>
        <w:t>)</w:t>
      </w:r>
      <w:r w:rsidR="00062BFA" w:rsidRPr="004F6DAA">
        <w:rPr>
          <w:noProof/>
        </w:rPr>
        <w:t xml:space="preserve"> i</w:t>
      </w:r>
      <w:r w:rsidR="00062BFA">
        <w:rPr>
          <w:noProof/>
        </w:rPr>
        <w:t> </w:t>
      </w:r>
      <w:r w:rsidR="00062BFA" w:rsidRPr="004F6DAA">
        <w:rPr>
          <w:noProof/>
        </w:rPr>
        <w:t>woł</w:t>
      </w:r>
      <w:r w:rsidR="008E648C" w:rsidRPr="004F6DAA">
        <w:rPr>
          <w:noProof/>
        </w:rPr>
        <w:t>owina (5,0</w:t>
      </w:r>
      <w:r w:rsidR="008E648C" w:rsidRPr="00062BFA">
        <w:rPr>
          <w:noProof/>
        </w:rPr>
        <w:t>1</w:t>
      </w:r>
      <w:r w:rsidR="00062BFA" w:rsidRPr="00062BFA">
        <w:rPr>
          <w:noProof/>
        </w:rPr>
        <w:t> </w:t>
      </w:r>
      <w:r w:rsidR="008E648C" w:rsidRPr="00062BFA">
        <w:rPr>
          <w:noProof/>
        </w:rPr>
        <w:t>%</w:t>
      </w:r>
      <w:r w:rsidR="008E648C" w:rsidRPr="004F6DAA">
        <w:rPr>
          <w:noProof/>
        </w:rPr>
        <w:t xml:space="preserve">). </w:t>
      </w:r>
    </w:p>
    <w:p w14:paraId="7D187FEE" w14:textId="77777777" w:rsidR="008E648C" w:rsidRPr="004F6DAA" w:rsidRDefault="007B7EB7" w:rsidP="007B7EB7">
      <w:pPr>
        <w:pStyle w:val="ManualConsidrant"/>
        <w:rPr>
          <w:noProof/>
        </w:rPr>
      </w:pPr>
      <w:r w:rsidRPr="007B7EB7">
        <w:t>(28)</w:t>
      </w:r>
      <w:r w:rsidRPr="007B7EB7">
        <w:tab/>
      </w:r>
      <w:r w:rsidR="008E648C" w:rsidRPr="004F6DAA">
        <w:rPr>
          <w:noProof/>
        </w:rPr>
        <w:t>Z uwagi na to, że należy zachęcać do wykorzystywania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pochodzących</w:t>
      </w:r>
      <w:r w:rsidR="00062BFA" w:rsidRPr="004F6DAA">
        <w:rPr>
          <w:noProof/>
        </w:rPr>
        <w:t xml:space="preserve"> z</w:t>
      </w:r>
      <w:r w:rsidR="00062BFA">
        <w:rPr>
          <w:noProof/>
        </w:rPr>
        <w:t> </w:t>
      </w:r>
      <w:r w:rsidR="00062BFA" w:rsidRPr="004F6DAA">
        <w:rPr>
          <w:noProof/>
        </w:rPr>
        <w:t>rec</w:t>
      </w:r>
      <w:r w:rsidR="008E648C" w:rsidRPr="004F6DAA">
        <w:rPr>
          <w:noProof/>
        </w:rPr>
        <w:t>yklingu oraz że włączenie takich towarów</w:t>
      </w:r>
      <w:r w:rsidR="00062BFA" w:rsidRPr="004F6DAA">
        <w:rPr>
          <w:noProof/>
        </w:rPr>
        <w:t xml:space="preserve"> i</w:t>
      </w:r>
      <w:r w:rsidR="00062BFA">
        <w:rPr>
          <w:noProof/>
        </w:rPr>
        <w:t> </w:t>
      </w:r>
      <w:r w:rsidR="00062BFA" w:rsidRPr="004F6DAA">
        <w:rPr>
          <w:noProof/>
        </w:rPr>
        <w:t>pro</w:t>
      </w:r>
      <w:r w:rsidR="008E648C" w:rsidRPr="004F6DAA">
        <w:rPr>
          <w:noProof/>
        </w:rPr>
        <w:t>duktów</w:t>
      </w:r>
      <w:r w:rsidR="00062BFA" w:rsidRPr="004F6DAA">
        <w:rPr>
          <w:noProof/>
        </w:rPr>
        <w:t xml:space="preserve"> w</w:t>
      </w:r>
      <w:r w:rsidR="00062BFA">
        <w:rPr>
          <w:noProof/>
        </w:rPr>
        <w:t> </w:t>
      </w:r>
      <w:r w:rsidR="00062BFA" w:rsidRPr="004F6DAA">
        <w:rPr>
          <w:noProof/>
        </w:rPr>
        <w:t>zak</w:t>
      </w:r>
      <w:r w:rsidR="008E648C" w:rsidRPr="004F6DAA">
        <w:rPr>
          <w:noProof/>
        </w:rPr>
        <w:t>res niniejszego rozporządzenia stanowiłoby nieproporcjonalne obciążenie dla podmiotów, zużyte towary</w:t>
      </w:r>
      <w:r w:rsidR="00062BFA" w:rsidRPr="004F6DAA">
        <w:rPr>
          <w:noProof/>
        </w:rPr>
        <w:t xml:space="preserve"> i</w:t>
      </w:r>
      <w:r w:rsidR="00062BFA">
        <w:rPr>
          <w:noProof/>
        </w:rPr>
        <w:t> </w:t>
      </w:r>
      <w:r w:rsidR="00062BFA" w:rsidRPr="004F6DAA">
        <w:rPr>
          <w:noProof/>
        </w:rPr>
        <w:t>pro</w:t>
      </w:r>
      <w:r w:rsidR="008E648C" w:rsidRPr="004F6DAA">
        <w:rPr>
          <w:noProof/>
        </w:rPr>
        <w:t>dukty, których cykl życia zakończył się</w:t>
      </w:r>
      <w:r w:rsidR="00062BFA" w:rsidRPr="004F6DAA">
        <w:rPr>
          <w:noProof/>
        </w:rPr>
        <w:t xml:space="preserve"> i</w:t>
      </w:r>
      <w:r w:rsidR="00062BFA">
        <w:rPr>
          <w:noProof/>
        </w:rPr>
        <w:t> </w:t>
      </w:r>
      <w:r w:rsidR="00062BFA" w:rsidRPr="004F6DAA">
        <w:rPr>
          <w:noProof/>
        </w:rPr>
        <w:t>któ</w:t>
      </w:r>
      <w:r w:rsidR="008E648C" w:rsidRPr="004F6DAA">
        <w:rPr>
          <w:noProof/>
        </w:rPr>
        <w:t>re</w:t>
      </w:r>
      <w:r w:rsidR="00062BFA" w:rsidRPr="004F6DAA">
        <w:rPr>
          <w:noProof/>
        </w:rPr>
        <w:t xml:space="preserve"> w</w:t>
      </w:r>
      <w:r w:rsidR="00062BFA">
        <w:rPr>
          <w:noProof/>
        </w:rPr>
        <w:t> </w:t>
      </w:r>
      <w:r w:rsidR="00062BFA" w:rsidRPr="004F6DAA">
        <w:rPr>
          <w:noProof/>
        </w:rPr>
        <w:t>inn</w:t>
      </w:r>
      <w:r w:rsidR="008E648C" w:rsidRPr="004F6DAA">
        <w:rPr>
          <w:noProof/>
        </w:rPr>
        <w:t>ym przypadku zostałyby usunięte jako odpady, należy wyłączyć</w:t>
      </w:r>
      <w:r w:rsidR="00062BFA" w:rsidRPr="004F6DAA">
        <w:rPr>
          <w:noProof/>
        </w:rPr>
        <w:t xml:space="preserve"> z</w:t>
      </w:r>
      <w:r w:rsidR="00062BFA">
        <w:rPr>
          <w:noProof/>
        </w:rPr>
        <w:t> </w:t>
      </w:r>
      <w:r w:rsidR="00062BFA" w:rsidRPr="004F6DAA">
        <w:rPr>
          <w:noProof/>
        </w:rPr>
        <w:t>zak</w:t>
      </w:r>
      <w:r w:rsidR="008E648C" w:rsidRPr="004F6DAA">
        <w:rPr>
          <w:noProof/>
        </w:rPr>
        <w:t>resu niniejszego rozporządzenia.</w:t>
      </w:r>
    </w:p>
    <w:p w14:paraId="2FF0C9FE" w14:textId="77777777" w:rsidR="008E648C" w:rsidRPr="004F6DAA" w:rsidRDefault="007B7EB7" w:rsidP="007B7EB7">
      <w:pPr>
        <w:pStyle w:val="ManualConsidrant"/>
        <w:rPr>
          <w:noProof/>
        </w:rPr>
      </w:pPr>
      <w:r w:rsidRPr="007B7EB7">
        <w:t>(29)</w:t>
      </w:r>
      <w:r w:rsidRPr="007B7EB7">
        <w:tab/>
      </w:r>
      <w:r w:rsidR="008E648C" w:rsidRPr="004F6DAA">
        <w:rPr>
          <w:noProof/>
        </w:rPr>
        <w:t>W niniejszym rozporządzeniu należy określić obowiązki dotyczące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aby skutecznie zwalczać wylesianie, degradację lasów</w:t>
      </w:r>
      <w:r w:rsidR="00062BFA" w:rsidRPr="004F6DAA">
        <w:rPr>
          <w:noProof/>
        </w:rPr>
        <w:t xml:space="preserve"> i</w:t>
      </w:r>
      <w:r w:rsidR="00062BFA">
        <w:rPr>
          <w:noProof/>
        </w:rPr>
        <w:t> </w:t>
      </w:r>
      <w:r w:rsidR="00062BFA" w:rsidRPr="004F6DAA">
        <w:rPr>
          <w:noProof/>
        </w:rPr>
        <w:t>pro</w:t>
      </w:r>
      <w:r w:rsidR="008E648C" w:rsidRPr="004F6DAA">
        <w:rPr>
          <w:noProof/>
        </w:rPr>
        <w:t xml:space="preserve">pagować łańcuchy dostaw niepowodujące wylesiania. </w:t>
      </w:r>
    </w:p>
    <w:p w14:paraId="4381EAEB" w14:textId="77777777" w:rsidR="008E648C" w:rsidRPr="004F6DAA" w:rsidRDefault="007B7EB7" w:rsidP="007B7EB7">
      <w:pPr>
        <w:pStyle w:val="ManualConsidrant"/>
        <w:rPr>
          <w:noProof/>
        </w:rPr>
      </w:pPr>
      <w:r w:rsidRPr="007B7EB7">
        <w:t>(30)</w:t>
      </w:r>
      <w:r w:rsidRPr="007B7EB7">
        <w:tab/>
      </w:r>
      <w:r w:rsidR="008E648C" w:rsidRPr="004F6DAA">
        <w:rPr>
          <w:noProof/>
        </w:rPr>
        <w:t>Wiele organizacji</w:t>
      </w:r>
      <w:r w:rsidR="00062BFA" w:rsidRPr="004F6DAA">
        <w:rPr>
          <w:noProof/>
        </w:rPr>
        <w:t xml:space="preserve"> i</w:t>
      </w:r>
      <w:r w:rsidR="00062BFA">
        <w:rPr>
          <w:noProof/>
        </w:rPr>
        <w:t> </w:t>
      </w:r>
      <w:r w:rsidR="00062BFA" w:rsidRPr="004F6DAA">
        <w:rPr>
          <w:noProof/>
        </w:rPr>
        <w:t>pod</w:t>
      </w:r>
      <w:r w:rsidR="008E648C" w:rsidRPr="004F6DAA">
        <w:rPr>
          <w:noProof/>
        </w:rPr>
        <w:t>miotów międzynarodowych (np. Organizacja Narodów Zjednoczonych ds. Wyżywienia</w:t>
      </w:r>
      <w:r w:rsidR="00062BFA" w:rsidRPr="004F6DAA">
        <w:rPr>
          <w:noProof/>
        </w:rPr>
        <w:t xml:space="preserve"> i</w:t>
      </w:r>
      <w:r w:rsidR="00062BFA">
        <w:rPr>
          <w:noProof/>
        </w:rPr>
        <w:t> </w:t>
      </w:r>
      <w:r w:rsidR="00062BFA" w:rsidRPr="004F6DAA">
        <w:rPr>
          <w:noProof/>
        </w:rPr>
        <w:t>Rol</w:t>
      </w:r>
      <w:r w:rsidR="008E648C" w:rsidRPr="004F6DAA">
        <w:rPr>
          <w:noProof/>
        </w:rPr>
        <w:t>nictwa, Międzyrządowy Zespół ds. Zmian Klimatu, Program Narodów Zjednoczonych ds. Ochrony Środowiska, porozumienie paryskie, Międzynarodowa Unia Ochrony Przyrody, Konwencja</w:t>
      </w:r>
      <w:r w:rsidR="00062BFA" w:rsidRPr="004F6DAA">
        <w:rPr>
          <w:noProof/>
        </w:rPr>
        <w:t xml:space="preserve"> o</w:t>
      </w:r>
      <w:r w:rsidR="00062BFA">
        <w:rPr>
          <w:noProof/>
        </w:rPr>
        <w:t> </w:t>
      </w:r>
      <w:r w:rsidR="00062BFA" w:rsidRPr="004F6DAA">
        <w:rPr>
          <w:noProof/>
        </w:rPr>
        <w:t>róż</w:t>
      </w:r>
      <w:r w:rsidR="008E648C" w:rsidRPr="004F6DAA">
        <w:rPr>
          <w:noProof/>
        </w:rPr>
        <w:t>norodności biologicznej) opracowało prace</w:t>
      </w:r>
      <w:r w:rsidR="00062BFA" w:rsidRPr="004F6DAA">
        <w:rPr>
          <w:noProof/>
        </w:rPr>
        <w:t xml:space="preserve"> w</w:t>
      </w:r>
      <w:r w:rsidR="00062BFA">
        <w:rPr>
          <w:noProof/>
        </w:rPr>
        <w:t> </w:t>
      </w:r>
      <w:r w:rsidR="00062BFA" w:rsidRPr="004F6DAA">
        <w:rPr>
          <w:noProof/>
        </w:rPr>
        <w:t>dzi</w:t>
      </w:r>
      <w:r w:rsidR="008E648C" w:rsidRPr="004F6DAA">
        <w:rPr>
          <w:noProof/>
        </w:rPr>
        <w:t>edzinie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na których opierają się definicje ujęte</w:t>
      </w:r>
      <w:r w:rsidR="00062BFA" w:rsidRPr="004F6DAA">
        <w:rPr>
          <w:noProof/>
        </w:rPr>
        <w:t xml:space="preserve"> w</w:t>
      </w:r>
      <w:r w:rsidR="00062BFA">
        <w:rPr>
          <w:noProof/>
        </w:rPr>
        <w:t> </w:t>
      </w:r>
      <w:r w:rsidR="00062BFA" w:rsidRPr="004F6DAA">
        <w:rPr>
          <w:noProof/>
        </w:rPr>
        <w:t>nin</w:t>
      </w:r>
      <w:r w:rsidR="008E648C" w:rsidRPr="004F6DAA">
        <w:rPr>
          <w:noProof/>
        </w:rPr>
        <w:t xml:space="preserve">iejszym rozporządzeniu. </w:t>
      </w:r>
    </w:p>
    <w:p w14:paraId="6A1E0472" w14:textId="77777777" w:rsidR="008E648C" w:rsidRPr="004F6DAA" w:rsidRDefault="007B7EB7" w:rsidP="007B7EB7">
      <w:pPr>
        <w:pStyle w:val="ManualConsidrant"/>
        <w:rPr>
          <w:noProof/>
        </w:rPr>
      </w:pPr>
      <w:r w:rsidRPr="007B7EB7">
        <w:t>(31)</w:t>
      </w:r>
      <w:r w:rsidRPr="007B7EB7">
        <w:tab/>
      </w:r>
      <w:r w:rsidR="008E648C" w:rsidRPr="004F6DAA">
        <w:rPr>
          <w:noProof/>
        </w:rPr>
        <w:t>Należy ustalić datę graniczną stanowiącą podstawę oceny, czy na danym obszarze dochodzi do wylesiania lub degradacji lasów, co oznacza, że po tej dacie towary</w:t>
      </w:r>
      <w:r w:rsidR="00062BFA" w:rsidRPr="004F6DAA">
        <w:rPr>
          <w:noProof/>
        </w:rPr>
        <w:t xml:space="preserve"> i</w:t>
      </w:r>
      <w:r w:rsidR="00062BFA">
        <w:rPr>
          <w:noProof/>
        </w:rPr>
        <w:t> </w:t>
      </w:r>
      <w:r w:rsidR="00062BFA" w:rsidRPr="004F6DAA">
        <w:rPr>
          <w:noProof/>
        </w:rPr>
        <w:t>pro</w:t>
      </w:r>
      <w:r w:rsidR="008E648C" w:rsidRPr="004F6DAA">
        <w:rPr>
          <w:noProof/>
        </w:rPr>
        <w:t>dukty objęte zakresem niniejszego rozporządzenia nie będą mogły być wprowadzane na rynek unijny ani</w:t>
      </w:r>
      <w:r w:rsidR="00062BFA" w:rsidRPr="004F6DAA">
        <w:rPr>
          <w:noProof/>
        </w:rPr>
        <w:t xml:space="preserve"> z</w:t>
      </w:r>
      <w:r w:rsidR="00062BFA">
        <w:rPr>
          <w:noProof/>
        </w:rPr>
        <w:t> </w:t>
      </w:r>
      <w:r w:rsidR="00062BFA" w:rsidRPr="004F6DAA">
        <w:rPr>
          <w:noProof/>
        </w:rPr>
        <w:t>nie</w:t>
      </w:r>
      <w:r w:rsidR="008E648C" w:rsidRPr="004F6DAA">
        <w:rPr>
          <w:noProof/>
        </w:rPr>
        <w:t>go wywożone, jeżeli zostały wyprodukowane na obszarze, na którym dochodzi do wylesiania lub degradacji lasów. Powinno to umożliwiać odpowiednią weryfikację</w:t>
      </w:r>
      <w:r w:rsidR="00062BFA" w:rsidRPr="004F6DAA">
        <w:rPr>
          <w:noProof/>
        </w:rPr>
        <w:t xml:space="preserve"> i</w:t>
      </w:r>
      <w:r w:rsidR="00062BFA">
        <w:rPr>
          <w:noProof/>
        </w:rPr>
        <w:t> </w:t>
      </w:r>
      <w:r w:rsidR="00062BFA" w:rsidRPr="004F6DAA">
        <w:rPr>
          <w:noProof/>
        </w:rPr>
        <w:t>odp</w:t>
      </w:r>
      <w:r w:rsidR="008E648C" w:rsidRPr="004F6DAA">
        <w:rPr>
          <w:noProof/>
        </w:rPr>
        <w:t>owiednie monitorowanie, odpowiadać obowiązującym zobowiązaniom międzynarodowym, takim jak cele zrównoważonego rozwoju</w:t>
      </w:r>
      <w:r w:rsidR="00062BFA" w:rsidRPr="004F6DAA">
        <w:rPr>
          <w:noProof/>
        </w:rPr>
        <w:t xml:space="preserve"> i</w:t>
      </w:r>
      <w:r w:rsidR="00062BFA">
        <w:rPr>
          <w:noProof/>
        </w:rPr>
        <w:t> </w:t>
      </w:r>
      <w:r w:rsidR="00062BFA" w:rsidRPr="004F6DAA">
        <w:rPr>
          <w:noProof/>
        </w:rPr>
        <w:t>dek</w:t>
      </w:r>
      <w:r w:rsidR="008E648C" w:rsidRPr="004F6DAA">
        <w:rPr>
          <w:noProof/>
        </w:rPr>
        <w:t>laracja nowojorska</w:t>
      </w:r>
      <w:r w:rsidR="00062BFA" w:rsidRPr="004F6DAA">
        <w:rPr>
          <w:noProof/>
        </w:rPr>
        <w:t xml:space="preserve"> w</w:t>
      </w:r>
      <w:r w:rsidR="00062BFA">
        <w:rPr>
          <w:noProof/>
        </w:rPr>
        <w:t> </w:t>
      </w:r>
      <w:r w:rsidR="00062BFA" w:rsidRPr="004F6DAA">
        <w:rPr>
          <w:noProof/>
        </w:rPr>
        <w:t>spr</w:t>
      </w:r>
      <w:r w:rsidR="008E648C" w:rsidRPr="004F6DAA">
        <w:rPr>
          <w:noProof/>
        </w:rPr>
        <w:t>awie lasów, oraz minimalizować</w:t>
      </w:r>
      <w:r w:rsidR="00062BFA" w:rsidRPr="004F6DAA">
        <w:rPr>
          <w:noProof/>
        </w:rPr>
        <w:t xml:space="preserve"> w</w:t>
      </w:r>
      <w:r w:rsidR="00062BFA">
        <w:rPr>
          <w:noProof/>
        </w:rPr>
        <w:t> </w:t>
      </w:r>
      <w:r w:rsidR="00062BFA" w:rsidRPr="004F6DAA">
        <w:rPr>
          <w:noProof/>
        </w:rPr>
        <w:t>ten</w:t>
      </w:r>
      <w:r w:rsidR="008E648C" w:rsidRPr="004F6DAA">
        <w:rPr>
          <w:noProof/>
        </w:rPr>
        <w:t xml:space="preserve"> sposób nagłe zakłócenia</w:t>
      </w:r>
      <w:r w:rsidR="00062BFA" w:rsidRPr="004F6DAA">
        <w:rPr>
          <w:noProof/>
        </w:rPr>
        <w:t xml:space="preserve"> w</w:t>
      </w:r>
      <w:r w:rsidR="00062BFA">
        <w:rPr>
          <w:noProof/>
        </w:rPr>
        <w:t> </w:t>
      </w:r>
      <w:r w:rsidR="00062BFA" w:rsidRPr="004F6DAA">
        <w:rPr>
          <w:noProof/>
        </w:rPr>
        <w:t>łań</w:t>
      </w:r>
      <w:r w:rsidR="008E648C" w:rsidRPr="004F6DAA">
        <w:rPr>
          <w:noProof/>
        </w:rPr>
        <w:t>cuchach dostaw,</w:t>
      </w:r>
      <w:r w:rsidR="00062BFA" w:rsidRPr="004F6DAA">
        <w:rPr>
          <w:noProof/>
        </w:rPr>
        <w:t xml:space="preserve"> a</w:t>
      </w:r>
      <w:r w:rsidR="00062BFA">
        <w:rPr>
          <w:noProof/>
        </w:rPr>
        <w:t> </w:t>
      </w:r>
      <w:r w:rsidR="00062BFA" w:rsidRPr="004F6DAA">
        <w:rPr>
          <w:noProof/>
        </w:rPr>
        <w:t>jed</w:t>
      </w:r>
      <w:r w:rsidR="008E648C" w:rsidRPr="004F6DAA">
        <w:rPr>
          <w:noProof/>
        </w:rPr>
        <w:t>nocześnie wyeliminować jakiejkolwiek zachęty do przyspieszania działań prowadzących do wylesiania</w:t>
      </w:r>
      <w:r w:rsidR="00062BFA" w:rsidRPr="004F6DAA">
        <w:rPr>
          <w:noProof/>
        </w:rPr>
        <w:t xml:space="preserve"> i</w:t>
      </w:r>
      <w:r w:rsidR="00062BFA">
        <w:rPr>
          <w:noProof/>
        </w:rPr>
        <w:t> </w:t>
      </w:r>
      <w:r w:rsidR="00062BFA" w:rsidRPr="004F6DAA">
        <w:rPr>
          <w:noProof/>
        </w:rPr>
        <w:t>deg</w:t>
      </w:r>
      <w:r w:rsidR="008E648C" w:rsidRPr="004F6DAA">
        <w:rPr>
          <w:noProof/>
        </w:rPr>
        <w:t>radacji lasów</w:t>
      </w:r>
      <w:r w:rsidR="00062BFA" w:rsidRPr="004F6DAA">
        <w:rPr>
          <w:noProof/>
        </w:rPr>
        <w:t xml:space="preserve"> w</w:t>
      </w:r>
      <w:r w:rsidR="00062BFA">
        <w:rPr>
          <w:noProof/>
        </w:rPr>
        <w:t> </w:t>
      </w:r>
      <w:r w:rsidR="00062BFA" w:rsidRPr="004F6DAA">
        <w:rPr>
          <w:noProof/>
        </w:rPr>
        <w:t>zwi</w:t>
      </w:r>
      <w:r w:rsidR="008E648C" w:rsidRPr="004F6DAA">
        <w:rPr>
          <w:noProof/>
        </w:rPr>
        <w:t>ązku</w:t>
      </w:r>
      <w:r w:rsidR="00062BFA" w:rsidRPr="004F6DAA">
        <w:rPr>
          <w:noProof/>
        </w:rPr>
        <w:t xml:space="preserve"> z</w:t>
      </w:r>
      <w:r w:rsidR="00062BFA">
        <w:rPr>
          <w:noProof/>
        </w:rPr>
        <w:t> </w:t>
      </w:r>
      <w:r w:rsidR="00062BFA" w:rsidRPr="004F6DAA">
        <w:rPr>
          <w:noProof/>
        </w:rPr>
        <w:t>wej</w:t>
      </w:r>
      <w:r w:rsidR="008E648C" w:rsidRPr="004F6DAA">
        <w:rPr>
          <w:noProof/>
        </w:rPr>
        <w:t>ściem</w:t>
      </w:r>
      <w:r w:rsidR="00062BFA" w:rsidRPr="004F6DAA">
        <w:rPr>
          <w:noProof/>
        </w:rPr>
        <w:t xml:space="preserve"> w</w:t>
      </w:r>
      <w:r w:rsidR="00062BFA">
        <w:rPr>
          <w:noProof/>
        </w:rPr>
        <w:t> </w:t>
      </w:r>
      <w:r w:rsidR="00062BFA" w:rsidRPr="004F6DAA">
        <w:rPr>
          <w:noProof/>
        </w:rPr>
        <w:t>życ</w:t>
      </w:r>
      <w:r w:rsidR="008E648C" w:rsidRPr="004F6DAA">
        <w:rPr>
          <w:noProof/>
        </w:rPr>
        <w:t xml:space="preserve">ie niniejszego rozporządzenia. </w:t>
      </w:r>
    </w:p>
    <w:p w14:paraId="1C9D89C5" w14:textId="77777777" w:rsidR="008E648C" w:rsidRPr="004F6DAA" w:rsidRDefault="007B7EB7" w:rsidP="007B7EB7">
      <w:pPr>
        <w:pStyle w:val="ManualConsidrant"/>
        <w:rPr>
          <w:noProof/>
        </w:rPr>
      </w:pPr>
      <w:r w:rsidRPr="007B7EB7">
        <w:t>(32)</w:t>
      </w:r>
      <w:r w:rsidRPr="007B7EB7">
        <w:tab/>
      </w:r>
      <w:r w:rsidR="008E648C" w:rsidRPr="004F6DAA">
        <w:rPr>
          <w:noProof/>
        </w:rPr>
        <w:t>W celu zwiększenia wkładu Unii</w:t>
      </w:r>
      <w:r w:rsidR="00062BFA" w:rsidRPr="004F6DAA">
        <w:rPr>
          <w:noProof/>
        </w:rPr>
        <w:t xml:space="preserve"> w</w:t>
      </w:r>
      <w:r w:rsidR="00062BFA">
        <w:rPr>
          <w:noProof/>
        </w:rPr>
        <w:t> </w:t>
      </w:r>
      <w:r w:rsidR="00062BFA" w:rsidRPr="004F6DAA">
        <w:rPr>
          <w:noProof/>
        </w:rPr>
        <w:t>zat</w:t>
      </w:r>
      <w:r w:rsidR="008E648C" w:rsidRPr="004F6DAA">
        <w:rPr>
          <w:noProof/>
        </w:rPr>
        <w:t>rzymanie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oraz zapewnienia, aby nie wprowadzać do obrotu</w:t>
      </w:r>
      <w:r w:rsidR="00062BFA" w:rsidRPr="004F6DAA">
        <w:rPr>
          <w:noProof/>
        </w:rPr>
        <w:t xml:space="preserve"> w</w:t>
      </w:r>
      <w:r w:rsidR="00062BFA">
        <w:rPr>
          <w:noProof/>
        </w:rPr>
        <w:t> </w:t>
      </w:r>
      <w:r w:rsidR="00062BFA" w:rsidRPr="004F6DAA">
        <w:rPr>
          <w:noProof/>
        </w:rPr>
        <w:t>Uni</w:t>
      </w:r>
      <w:r w:rsidR="008E648C" w:rsidRPr="004F6DAA">
        <w:rPr>
          <w:noProof/>
        </w:rPr>
        <w:t>i towarów</w:t>
      </w:r>
      <w:r w:rsidR="00062BFA" w:rsidRPr="004F6DAA">
        <w:rPr>
          <w:noProof/>
        </w:rPr>
        <w:t xml:space="preserve"> i</w:t>
      </w:r>
      <w:r w:rsidR="00062BFA">
        <w:rPr>
          <w:noProof/>
        </w:rPr>
        <w:t> </w:t>
      </w:r>
      <w:r w:rsidR="00062BFA" w:rsidRPr="004F6DAA">
        <w:rPr>
          <w:noProof/>
        </w:rPr>
        <w:t>pro</w:t>
      </w:r>
      <w:r w:rsidR="008E648C" w:rsidRPr="004F6DAA">
        <w:rPr>
          <w:noProof/>
        </w:rPr>
        <w:t>duktów pochodzących</w:t>
      </w:r>
      <w:r w:rsidR="00062BFA" w:rsidRPr="004F6DAA">
        <w:rPr>
          <w:noProof/>
        </w:rPr>
        <w:t xml:space="preserve"> z</w:t>
      </w:r>
      <w:r w:rsidR="00062BFA">
        <w:rPr>
          <w:noProof/>
        </w:rPr>
        <w:t> </w:t>
      </w:r>
      <w:r w:rsidR="00062BFA" w:rsidRPr="004F6DAA">
        <w:rPr>
          <w:noProof/>
        </w:rPr>
        <w:t>łań</w:t>
      </w:r>
      <w:r w:rsidR="008E648C" w:rsidRPr="004F6DAA">
        <w:rPr>
          <w:noProof/>
        </w:rPr>
        <w:t>cuchów dostaw związanych</w:t>
      </w:r>
      <w:r w:rsidR="00062BFA" w:rsidRPr="004F6DAA">
        <w:rPr>
          <w:noProof/>
        </w:rPr>
        <w:t xml:space="preserve"> z</w:t>
      </w:r>
      <w:r w:rsidR="00062BFA">
        <w:rPr>
          <w:noProof/>
        </w:rPr>
        <w:t> </w:t>
      </w:r>
      <w:r w:rsidR="00062BFA" w:rsidRPr="004F6DAA">
        <w:rPr>
          <w:noProof/>
        </w:rPr>
        <w:t>wyl</w:t>
      </w:r>
      <w:r w:rsidR="008E648C" w:rsidRPr="004F6DAA">
        <w:rPr>
          <w:noProof/>
        </w:rPr>
        <w:t>esianiem</w:t>
      </w:r>
      <w:r w:rsidR="00062BFA" w:rsidRPr="004F6DAA">
        <w:rPr>
          <w:noProof/>
        </w:rPr>
        <w:t xml:space="preserve"> i</w:t>
      </w:r>
      <w:r w:rsidR="00062BFA">
        <w:rPr>
          <w:noProof/>
        </w:rPr>
        <w:t> </w:t>
      </w:r>
      <w:r w:rsidR="00062BFA" w:rsidRPr="004F6DAA">
        <w:rPr>
          <w:noProof/>
        </w:rPr>
        <w:t>deg</w:t>
      </w:r>
      <w:r w:rsidR="008E648C" w:rsidRPr="004F6DAA">
        <w:rPr>
          <w:noProof/>
        </w:rPr>
        <w:t>radacją lasów, nie należy wprowadzać do obrotu</w:t>
      </w:r>
      <w:r w:rsidR="00062BFA" w:rsidRPr="004F6DAA">
        <w:rPr>
          <w:noProof/>
        </w:rPr>
        <w:t xml:space="preserve"> w</w:t>
      </w:r>
      <w:r w:rsidR="00062BFA">
        <w:rPr>
          <w:noProof/>
        </w:rPr>
        <w:t> </w:t>
      </w:r>
      <w:r w:rsidR="00062BFA" w:rsidRPr="004F6DAA">
        <w:rPr>
          <w:noProof/>
        </w:rPr>
        <w:t>Uni</w:t>
      </w:r>
      <w:r w:rsidR="008E648C" w:rsidRPr="004F6DAA">
        <w:rPr>
          <w:noProof/>
        </w:rPr>
        <w:t>i ani udostępniać na rynku unijnym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ani wywozić ich</w:t>
      </w:r>
      <w:r w:rsidR="00062BFA" w:rsidRPr="004F6DAA">
        <w:rPr>
          <w:noProof/>
        </w:rPr>
        <w:t xml:space="preserve"> z</w:t>
      </w:r>
      <w:r w:rsidR="00062BFA">
        <w:rPr>
          <w:noProof/>
        </w:rPr>
        <w:t> </w:t>
      </w:r>
      <w:r w:rsidR="00062BFA" w:rsidRPr="004F6DAA">
        <w:rPr>
          <w:noProof/>
        </w:rPr>
        <w:t>teg</w:t>
      </w:r>
      <w:r w:rsidR="008E648C" w:rsidRPr="004F6DAA">
        <w:rPr>
          <w:noProof/>
        </w:rPr>
        <w:t>o rynku, chyba że nie powodują one wylesiania</w:t>
      </w:r>
      <w:r w:rsidR="00062BFA" w:rsidRPr="004F6DAA">
        <w:rPr>
          <w:noProof/>
        </w:rPr>
        <w:t xml:space="preserve"> i</w:t>
      </w:r>
      <w:r w:rsidR="00062BFA">
        <w:rPr>
          <w:noProof/>
        </w:rPr>
        <w:t> </w:t>
      </w:r>
      <w:r w:rsidR="00062BFA" w:rsidRPr="004F6DAA">
        <w:rPr>
          <w:noProof/>
        </w:rPr>
        <w:t>zos</w:t>
      </w:r>
      <w:r w:rsidR="008E648C" w:rsidRPr="004F6DAA">
        <w:rPr>
          <w:noProof/>
        </w:rPr>
        <w:t>tały wytworzone zgodnie</w:t>
      </w:r>
      <w:r w:rsidR="00062BFA" w:rsidRPr="004F6DAA">
        <w:rPr>
          <w:noProof/>
        </w:rPr>
        <w:t xml:space="preserve"> z</w:t>
      </w:r>
      <w:r w:rsidR="00062BFA">
        <w:rPr>
          <w:noProof/>
        </w:rPr>
        <w:t> </w:t>
      </w:r>
      <w:r w:rsidR="00062BFA" w:rsidRPr="004F6DAA">
        <w:rPr>
          <w:noProof/>
        </w:rPr>
        <w:t>wła</w:t>
      </w:r>
      <w:r w:rsidR="008E648C" w:rsidRPr="004F6DAA">
        <w:rPr>
          <w:noProof/>
        </w:rPr>
        <w:t>ściwymi przepisami kraju produkcji. Aby potwierdzić taki stan rzeczy, na</w:t>
      </w:r>
      <w:r w:rsidR="002B56DE">
        <w:rPr>
          <w:noProof/>
        </w:rPr>
        <w:t xml:space="preserve">leży zawsze </w:t>
      </w:r>
      <w:r w:rsidR="008E648C" w:rsidRPr="004F6DAA">
        <w:rPr>
          <w:noProof/>
        </w:rPr>
        <w:t>dołączać do nich oświadczenie</w:t>
      </w:r>
      <w:r w:rsidR="00062BFA" w:rsidRPr="004F6DAA">
        <w:rPr>
          <w:noProof/>
        </w:rPr>
        <w:t xml:space="preserve"> o</w:t>
      </w:r>
      <w:r w:rsidR="00062BFA">
        <w:rPr>
          <w:noProof/>
        </w:rPr>
        <w:t> </w:t>
      </w:r>
      <w:r w:rsidR="00062BFA" w:rsidRPr="004F6DAA">
        <w:rPr>
          <w:noProof/>
        </w:rPr>
        <w:t>zac</w:t>
      </w:r>
      <w:r w:rsidR="008E648C" w:rsidRPr="004F6DAA">
        <w:rPr>
          <w:noProof/>
        </w:rPr>
        <w:t>howaniu należytej staranności.</w:t>
      </w:r>
    </w:p>
    <w:p w14:paraId="62BB03CF" w14:textId="77777777" w:rsidR="008E648C" w:rsidRPr="004F6DAA" w:rsidRDefault="007B7EB7" w:rsidP="007B7EB7">
      <w:pPr>
        <w:pStyle w:val="ManualConsidrant"/>
        <w:rPr>
          <w:noProof/>
        </w:rPr>
      </w:pPr>
      <w:r w:rsidRPr="007B7EB7">
        <w:t>(33)</w:t>
      </w:r>
      <w:r w:rsidRPr="007B7EB7">
        <w:tab/>
      </w:r>
      <w:r w:rsidR="008E648C" w:rsidRPr="004F6DAA">
        <w:rPr>
          <w:noProof/>
        </w:rPr>
        <w:t>Opierając się na podejściu systemowym, podmioty powinny podejmować odpowiednie kroki</w:t>
      </w:r>
      <w:r w:rsidR="00062BFA" w:rsidRPr="004F6DAA">
        <w:rPr>
          <w:noProof/>
        </w:rPr>
        <w:t xml:space="preserve"> w</w:t>
      </w:r>
      <w:r w:rsidR="00062BFA">
        <w:rPr>
          <w:noProof/>
        </w:rPr>
        <w:t> </w:t>
      </w:r>
      <w:r w:rsidR="00062BFA" w:rsidRPr="004F6DAA">
        <w:rPr>
          <w:noProof/>
        </w:rPr>
        <w:t>cel</w:t>
      </w:r>
      <w:r w:rsidR="008E648C" w:rsidRPr="004F6DAA">
        <w:rPr>
          <w:noProof/>
        </w:rPr>
        <w:t>u potwierdzenia, że odnośne towary</w:t>
      </w:r>
      <w:r w:rsidR="00062BFA" w:rsidRPr="004F6DAA">
        <w:rPr>
          <w:noProof/>
        </w:rPr>
        <w:t xml:space="preserve"> i</w:t>
      </w:r>
      <w:r w:rsidR="00062BFA">
        <w:rPr>
          <w:noProof/>
        </w:rPr>
        <w:t> </w:t>
      </w:r>
      <w:r w:rsidR="00062BFA" w:rsidRPr="004F6DAA">
        <w:rPr>
          <w:noProof/>
        </w:rPr>
        <w:t>pro</w:t>
      </w:r>
      <w:r w:rsidR="008E648C" w:rsidRPr="004F6DAA">
        <w:rPr>
          <w:noProof/>
        </w:rPr>
        <w:t>dukty, które zamierzają wprowadzić do obrotu</w:t>
      </w:r>
      <w:r w:rsidR="00062BFA" w:rsidRPr="004F6DAA">
        <w:rPr>
          <w:noProof/>
        </w:rPr>
        <w:t xml:space="preserve"> w</w:t>
      </w:r>
      <w:r w:rsidR="00062BFA">
        <w:rPr>
          <w:noProof/>
        </w:rPr>
        <w:t> </w:t>
      </w:r>
      <w:r w:rsidR="00062BFA" w:rsidRPr="004F6DAA">
        <w:rPr>
          <w:noProof/>
        </w:rPr>
        <w:t>Uni</w:t>
      </w:r>
      <w:r w:rsidR="008E648C" w:rsidRPr="004F6DAA">
        <w:rPr>
          <w:noProof/>
        </w:rPr>
        <w:t>i, są zgodne</w:t>
      </w:r>
      <w:r w:rsidR="00062BFA" w:rsidRPr="004F6DAA">
        <w:rPr>
          <w:noProof/>
        </w:rPr>
        <w:t xml:space="preserve"> z</w:t>
      </w:r>
      <w:r w:rsidR="00062BFA">
        <w:rPr>
          <w:noProof/>
        </w:rPr>
        <w:t> </w:t>
      </w:r>
      <w:r w:rsidR="00062BFA" w:rsidRPr="004F6DAA">
        <w:rPr>
          <w:noProof/>
        </w:rPr>
        <w:t>wym</w:t>
      </w:r>
      <w:r w:rsidR="008E648C" w:rsidRPr="004F6DAA">
        <w:rPr>
          <w:noProof/>
        </w:rPr>
        <w:t>ogami dotyczącymi niepowodowania wylesiania</w:t>
      </w:r>
      <w:r w:rsidR="00062BFA" w:rsidRPr="004F6DAA">
        <w:rPr>
          <w:noProof/>
        </w:rPr>
        <w:t xml:space="preserve"> i</w:t>
      </w:r>
      <w:r w:rsidR="00062BFA">
        <w:rPr>
          <w:noProof/>
        </w:rPr>
        <w:t> </w:t>
      </w:r>
      <w:r w:rsidR="00062BFA" w:rsidRPr="004F6DAA">
        <w:rPr>
          <w:noProof/>
        </w:rPr>
        <w:t>leg</w:t>
      </w:r>
      <w:r w:rsidR="008E648C" w:rsidRPr="004F6DAA">
        <w:rPr>
          <w:noProof/>
        </w:rPr>
        <w:t>alności określonymi</w:t>
      </w:r>
      <w:r w:rsidR="00062BFA" w:rsidRPr="004F6DAA">
        <w:rPr>
          <w:noProof/>
        </w:rPr>
        <w:t xml:space="preserve"> w</w:t>
      </w:r>
      <w:r w:rsidR="00062BFA">
        <w:rPr>
          <w:noProof/>
        </w:rPr>
        <w:t> </w:t>
      </w:r>
      <w:r w:rsidR="00062BFA" w:rsidRPr="004F6DAA">
        <w:rPr>
          <w:noProof/>
        </w:rPr>
        <w:t>nin</w:t>
      </w:r>
      <w:r w:rsidR="008E648C" w:rsidRPr="004F6DAA">
        <w:rPr>
          <w:noProof/>
        </w:rPr>
        <w:t>iejszym rozporządzeniu</w:t>
      </w:r>
      <w:r w:rsidR="00062BFA" w:rsidRPr="004F6DAA">
        <w:rPr>
          <w:noProof/>
        </w:rPr>
        <w:t>. W</w:t>
      </w:r>
      <w:r w:rsidR="00062BFA">
        <w:rPr>
          <w:noProof/>
        </w:rPr>
        <w:t> </w:t>
      </w:r>
      <w:r w:rsidR="00062BFA" w:rsidRPr="004F6DAA">
        <w:rPr>
          <w:noProof/>
        </w:rPr>
        <w:t>tym</w:t>
      </w:r>
      <w:r w:rsidR="008E648C" w:rsidRPr="004F6DAA">
        <w:rPr>
          <w:noProof/>
        </w:rPr>
        <w:t xml:space="preserve"> celu podmioty powinny ustanowić</w:t>
      </w:r>
      <w:r w:rsidR="00062BFA" w:rsidRPr="004F6DAA">
        <w:rPr>
          <w:noProof/>
        </w:rPr>
        <w:t xml:space="preserve"> i</w:t>
      </w:r>
      <w:r w:rsidR="00062BFA">
        <w:rPr>
          <w:noProof/>
        </w:rPr>
        <w:t> </w:t>
      </w:r>
      <w:r w:rsidR="00062BFA" w:rsidRPr="004F6DAA">
        <w:rPr>
          <w:noProof/>
        </w:rPr>
        <w:t>wdr</w:t>
      </w:r>
      <w:r w:rsidR="008E648C" w:rsidRPr="004F6DAA">
        <w:rPr>
          <w:noProof/>
        </w:rPr>
        <w:t>ożyć procedury należytej staranności. Procedura należytej staranności zgodna</w:t>
      </w:r>
      <w:r w:rsidR="00062BFA" w:rsidRPr="004F6DAA">
        <w:rPr>
          <w:noProof/>
        </w:rPr>
        <w:t xml:space="preserve"> z</w:t>
      </w:r>
      <w:r w:rsidR="00062BFA">
        <w:rPr>
          <w:noProof/>
        </w:rPr>
        <w:t> </w:t>
      </w:r>
      <w:r w:rsidR="00062BFA" w:rsidRPr="004F6DAA">
        <w:rPr>
          <w:noProof/>
        </w:rPr>
        <w:t>wym</w:t>
      </w:r>
      <w:r w:rsidR="008E648C" w:rsidRPr="004F6DAA">
        <w:rPr>
          <w:noProof/>
        </w:rPr>
        <w:t>ogiem określonym</w:t>
      </w:r>
      <w:r w:rsidR="00062BFA" w:rsidRPr="004F6DAA">
        <w:rPr>
          <w:noProof/>
        </w:rPr>
        <w:t xml:space="preserve"> w</w:t>
      </w:r>
      <w:r w:rsidR="00062BFA">
        <w:rPr>
          <w:noProof/>
        </w:rPr>
        <w:t> </w:t>
      </w:r>
      <w:r w:rsidR="00062BFA" w:rsidRPr="004F6DAA">
        <w:rPr>
          <w:noProof/>
        </w:rPr>
        <w:t>nin</w:t>
      </w:r>
      <w:r w:rsidR="008E648C" w:rsidRPr="004F6DAA">
        <w:rPr>
          <w:noProof/>
        </w:rPr>
        <w:t>iejszym rozporządzeniu powinna obejmować trzy elementy: wymogi informacyjne, ocenę ryzyka</w:t>
      </w:r>
      <w:r w:rsidR="00062BFA" w:rsidRPr="004F6DAA">
        <w:rPr>
          <w:noProof/>
        </w:rPr>
        <w:t xml:space="preserve"> i</w:t>
      </w:r>
      <w:r w:rsidR="00062BFA">
        <w:rPr>
          <w:noProof/>
        </w:rPr>
        <w:t> </w:t>
      </w:r>
      <w:r w:rsidR="00062BFA" w:rsidRPr="004F6DAA">
        <w:rPr>
          <w:noProof/>
        </w:rPr>
        <w:t>śro</w:t>
      </w:r>
      <w:r w:rsidR="008E648C" w:rsidRPr="004F6DAA">
        <w:rPr>
          <w:noProof/>
        </w:rPr>
        <w:t>dki zmniejszające ryzyko. Procedury należytej staranności należy opracować</w:t>
      </w:r>
      <w:r w:rsidR="00062BFA" w:rsidRPr="004F6DAA">
        <w:rPr>
          <w:noProof/>
        </w:rPr>
        <w:t xml:space="preserve"> w</w:t>
      </w:r>
      <w:r w:rsidR="00062BFA">
        <w:rPr>
          <w:noProof/>
        </w:rPr>
        <w:t> </w:t>
      </w:r>
      <w:r w:rsidR="00062BFA" w:rsidRPr="004F6DAA">
        <w:rPr>
          <w:noProof/>
        </w:rPr>
        <w:t>tak</w:t>
      </w:r>
      <w:r w:rsidR="008E648C" w:rsidRPr="004F6DAA">
        <w:rPr>
          <w:noProof/>
        </w:rPr>
        <w:t>i sposób, aby zapewniały dostęp do informacji na temat źródeł</w:t>
      </w:r>
      <w:r w:rsidR="00062BFA" w:rsidRPr="004F6DAA">
        <w:rPr>
          <w:noProof/>
        </w:rPr>
        <w:t xml:space="preserve"> i</w:t>
      </w:r>
      <w:r w:rsidR="00062BFA">
        <w:rPr>
          <w:noProof/>
        </w:rPr>
        <w:t> </w:t>
      </w:r>
      <w:r w:rsidR="00062BFA" w:rsidRPr="004F6DAA">
        <w:rPr>
          <w:noProof/>
        </w:rPr>
        <w:t>dos</w:t>
      </w:r>
      <w:r w:rsidR="008E648C" w:rsidRPr="004F6DAA">
        <w:rPr>
          <w:noProof/>
        </w:rPr>
        <w:t>tawców towarów</w:t>
      </w:r>
      <w:r w:rsidR="00062BFA" w:rsidRPr="004F6DAA">
        <w:rPr>
          <w:noProof/>
        </w:rPr>
        <w:t xml:space="preserve"> i</w:t>
      </w:r>
      <w:r w:rsidR="00062BFA">
        <w:rPr>
          <w:noProof/>
        </w:rPr>
        <w:t> </w:t>
      </w:r>
      <w:r w:rsidR="00062BFA" w:rsidRPr="004F6DAA">
        <w:rPr>
          <w:noProof/>
        </w:rPr>
        <w:t>pro</w:t>
      </w:r>
      <w:r w:rsidR="008E648C" w:rsidRPr="004F6DAA">
        <w:rPr>
          <w:noProof/>
        </w:rPr>
        <w:t>duktów wprowadzanych do obrotu</w:t>
      </w:r>
      <w:r w:rsidR="00062BFA" w:rsidRPr="004F6DAA">
        <w:rPr>
          <w:noProof/>
        </w:rPr>
        <w:t xml:space="preserve"> w</w:t>
      </w:r>
      <w:r w:rsidR="00062BFA">
        <w:rPr>
          <w:noProof/>
        </w:rPr>
        <w:t> </w:t>
      </w:r>
      <w:r w:rsidR="00062BFA" w:rsidRPr="004F6DAA">
        <w:rPr>
          <w:noProof/>
        </w:rPr>
        <w:t>Uni</w:t>
      </w:r>
      <w:r w:rsidR="008E648C" w:rsidRPr="004F6DAA">
        <w:rPr>
          <w:noProof/>
        </w:rPr>
        <w:t>i,</w:t>
      </w:r>
      <w:r w:rsidR="00062BFA" w:rsidRPr="004F6DAA">
        <w:rPr>
          <w:noProof/>
        </w:rPr>
        <w:t xml:space="preserve"> w</w:t>
      </w:r>
      <w:r w:rsidR="00062BFA">
        <w:rPr>
          <w:noProof/>
        </w:rPr>
        <w:t> </w:t>
      </w:r>
      <w:r w:rsidR="00062BFA" w:rsidRPr="004F6DAA">
        <w:rPr>
          <w:noProof/>
        </w:rPr>
        <w:t>tym</w:t>
      </w:r>
      <w:r w:rsidR="008E648C" w:rsidRPr="004F6DAA">
        <w:rPr>
          <w:noProof/>
        </w:rPr>
        <w:t xml:space="preserve"> informacji wskazujących na spełnienie wymogów dotyczących niepowodowania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oraz wymogu legalności, m.in. dzięki określeniu państwa</w:t>
      </w:r>
      <w:r w:rsidR="00062BFA" w:rsidRPr="004F6DAA">
        <w:rPr>
          <w:noProof/>
        </w:rPr>
        <w:t xml:space="preserve"> i</w:t>
      </w:r>
      <w:r w:rsidR="00062BFA">
        <w:rPr>
          <w:noProof/>
        </w:rPr>
        <w:t> </w:t>
      </w:r>
      <w:r w:rsidR="00062BFA" w:rsidRPr="004F6DAA">
        <w:rPr>
          <w:noProof/>
        </w:rPr>
        <w:t>obs</w:t>
      </w:r>
      <w:r w:rsidR="008E648C" w:rsidRPr="004F6DAA">
        <w:rPr>
          <w:noProof/>
        </w:rPr>
        <w:t>zaru produkcji,</w:t>
      </w:r>
      <w:r w:rsidR="00062BFA" w:rsidRPr="004F6DAA">
        <w:rPr>
          <w:noProof/>
        </w:rPr>
        <w:t xml:space="preserve"> w</w:t>
      </w:r>
      <w:r w:rsidR="00062BFA">
        <w:rPr>
          <w:noProof/>
        </w:rPr>
        <w:t> </w:t>
      </w:r>
      <w:r w:rsidR="00062BFA" w:rsidRPr="004F6DAA">
        <w:rPr>
          <w:noProof/>
        </w:rPr>
        <w:t>tym</w:t>
      </w:r>
      <w:r w:rsidR="008E648C" w:rsidRPr="004F6DAA">
        <w:rPr>
          <w:noProof/>
        </w:rPr>
        <w:t xml:space="preserve"> współrzędnych geolokalizacyjnych danych działek.</w:t>
      </w:r>
      <w:r w:rsidR="008E648C" w:rsidRPr="004F6DAA">
        <w:rPr>
          <w:noProof/>
          <w:color w:val="000000" w:themeColor="text1"/>
        </w:rPr>
        <w:t xml:space="preserve"> Na potrzeby takich współrzędnych geolokalizacyjnych, które są zależne od czasu, pozycjonowania lub obserwacji Ziemi, można wykorzystywać dane satelitarne</w:t>
      </w:r>
      <w:r w:rsidR="00062BFA" w:rsidRPr="004F6DAA">
        <w:rPr>
          <w:noProof/>
          <w:color w:val="000000" w:themeColor="text1"/>
        </w:rPr>
        <w:t xml:space="preserve"> i</w:t>
      </w:r>
      <w:r w:rsidR="00062BFA">
        <w:rPr>
          <w:noProof/>
          <w:color w:val="000000" w:themeColor="text1"/>
        </w:rPr>
        <w:t> </w:t>
      </w:r>
      <w:r w:rsidR="00062BFA" w:rsidRPr="004F6DAA">
        <w:rPr>
          <w:noProof/>
          <w:color w:val="000000" w:themeColor="text1"/>
        </w:rPr>
        <w:t>usł</w:t>
      </w:r>
      <w:r w:rsidR="008E648C" w:rsidRPr="004F6DAA">
        <w:rPr>
          <w:noProof/>
          <w:color w:val="000000" w:themeColor="text1"/>
        </w:rPr>
        <w:t>ugi</w:t>
      </w:r>
      <w:r w:rsidR="00062BFA" w:rsidRPr="004F6DAA">
        <w:rPr>
          <w:noProof/>
          <w:color w:val="000000" w:themeColor="text1"/>
        </w:rPr>
        <w:t xml:space="preserve"> w</w:t>
      </w:r>
      <w:r w:rsidR="00062BFA">
        <w:rPr>
          <w:noProof/>
          <w:color w:val="000000" w:themeColor="text1"/>
        </w:rPr>
        <w:t> </w:t>
      </w:r>
      <w:r w:rsidR="00062BFA" w:rsidRPr="004F6DAA">
        <w:rPr>
          <w:noProof/>
          <w:color w:val="000000" w:themeColor="text1"/>
        </w:rPr>
        <w:t>ram</w:t>
      </w:r>
      <w:r w:rsidR="008E648C" w:rsidRPr="004F6DAA">
        <w:rPr>
          <w:noProof/>
          <w:color w:val="000000" w:themeColor="text1"/>
        </w:rPr>
        <w:t>ach programu kosmicznego Unii (EGNOS/Galileo</w:t>
      </w:r>
      <w:r w:rsidR="00062BFA" w:rsidRPr="004F6DAA">
        <w:rPr>
          <w:noProof/>
          <w:color w:val="000000" w:themeColor="text1"/>
        </w:rPr>
        <w:t xml:space="preserve"> i</w:t>
      </w:r>
      <w:r w:rsidR="00062BFA">
        <w:rPr>
          <w:noProof/>
          <w:color w:val="000000" w:themeColor="text1"/>
        </w:rPr>
        <w:t> </w:t>
      </w:r>
      <w:r w:rsidR="00062BFA" w:rsidRPr="004F6DAA">
        <w:rPr>
          <w:noProof/>
          <w:color w:val="000000" w:themeColor="text1"/>
        </w:rPr>
        <w:t>pro</w:t>
      </w:r>
      <w:r w:rsidR="008E648C" w:rsidRPr="004F6DAA">
        <w:rPr>
          <w:noProof/>
          <w:color w:val="000000" w:themeColor="text1"/>
        </w:rPr>
        <w:t xml:space="preserve">gram Copernicus). </w:t>
      </w:r>
      <w:r w:rsidR="008E648C" w:rsidRPr="004F6DAA">
        <w:rPr>
          <w:noProof/>
        </w:rPr>
        <w:t>Na podstawie tych informacji podmioty powinny przeprowadzić ocenę ryzyka. Po określeniu ryzyka podmioty powinny podjąć działania zmniejszające ryzyko, aby całkiem je wyeliminować lub obniżyć do poziomu, na którym będzie ono znikome. Dopiero po przeprowadzeniu wymaganych kroków procedury należytej staranności</w:t>
      </w:r>
      <w:r w:rsidR="00062BFA" w:rsidRPr="004F6DAA">
        <w:rPr>
          <w:noProof/>
        </w:rPr>
        <w:t xml:space="preserve"> i</w:t>
      </w:r>
      <w:r w:rsidR="00062BFA">
        <w:rPr>
          <w:noProof/>
        </w:rPr>
        <w:t> </w:t>
      </w:r>
      <w:r w:rsidR="00062BFA" w:rsidRPr="004F6DAA">
        <w:rPr>
          <w:noProof/>
        </w:rPr>
        <w:t>stw</w:t>
      </w:r>
      <w:r w:rsidR="008E648C" w:rsidRPr="004F6DAA">
        <w:rPr>
          <w:noProof/>
        </w:rPr>
        <w:t>ierdzeniu, że nie istnieje ryzyko, aby odnośny towar lub produkt był niezgodny</w:t>
      </w:r>
      <w:r w:rsidR="00062BFA" w:rsidRPr="004F6DAA">
        <w:rPr>
          <w:noProof/>
        </w:rPr>
        <w:t xml:space="preserve"> z</w:t>
      </w:r>
      <w:r w:rsidR="00062BFA">
        <w:rPr>
          <w:noProof/>
        </w:rPr>
        <w:t> </w:t>
      </w:r>
      <w:r w:rsidR="00062BFA" w:rsidRPr="004F6DAA">
        <w:rPr>
          <w:noProof/>
        </w:rPr>
        <w:t>prz</w:t>
      </w:r>
      <w:r w:rsidR="008E648C" w:rsidRPr="004F6DAA">
        <w:rPr>
          <w:noProof/>
        </w:rPr>
        <w:t>episami niniejszego rozporządzenia, lub ryzyko takie jest znikome, należy zezwolić podmiotowi na wprowadzenie odnośnego towaru lub produktu do obrotu</w:t>
      </w:r>
      <w:r w:rsidR="00062BFA" w:rsidRPr="004F6DAA">
        <w:rPr>
          <w:noProof/>
        </w:rPr>
        <w:t xml:space="preserve"> w</w:t>
      </w:r>
      <w:r w:rsidR="00062BFA">
        <w:rPr>
          <w:noProof/>
        </w:rPr>
        <w:t> </w:t>
      </w:r>
      <w:r w:rsidR="00062BFA" w:rsidRPr="004F6DAA">
        <w:rPr>
          <w:noProof/>
        </w:rPr>
        <w:t>Uni</w:t>
      </w:r>
      <w:r w:rsidR="008E648C" w:rsidRPr="004F6DAA">
        <w:rPr>
          <w:noProof/>
        </w:rPr>
        <w:t xml:space="preserve">i lub na jego wywóz. </w:t>
      </w:r>
    </w:p>
    <w:p w14:paraId="3B8E13B6" w14:textId="77777777" w:rsidR="008E648C" w:rsidRPr="004F6DAA" w:rsidRDefault="007B7EB7" w:rsidP="007B7EB7">
      <w:pPr>
        <w:pStyle w:val="ManualConsidrant"/>
        <w:rPr>
          <w:noProof/>
        </w:rPr>
      </w:pPr>
      <w:r w:rsidRPr="007B7EB7">
        <w:t>(34)</w:t>
      </w:r>
      <w:r w:rsidRPr="007B7EB7">
        <w:tab/>
      </w:r>
      <w:r w:rsidR="008E648C" w:rsidRPr="004F6DAA">
        <w:rPr>
          <w:noProof/>
        </w:rPr>
        <w:t>Podmioty powinny formalnie przyjąć odpowiedzialność za zgodność odnośnych towarów lub produktów, które zamierzają wprowadzić do obrotu</w:t>
      </w:r>
      <w:r w:rsidR="00062BFA" w:rsidRPr="004F6DAA">
        <w:rPr>
          <w:noProof/>
        </w:rPr>
        <w:t xml:space="preserve"> w</w:t>
      </w:r>
      <w:r w:rsidR="00062BFA">
        <w:rPr>
          <w:noProof/>
        </w:rPr>
        <w:t> </w:t>
      </w:r>
      <w:r w:rsidR="00062BFA" w:rsidRPr="004F6DAA">
        <w:rPr>
          <w:noProof/>
        </w:rPr>
        <w:t>Uni</w:t>
      </w:r>
      <w:r w:rsidR="008E648C" w:rsidRPr="004F6DAA">
        <w:rPr>
          <w:noProof/>
        </w:rPr>
        <w:t>i lub wywozić</w:t>
      </w:r>
      <w:r w:rsidR="00062BFA" w:rsidRPr="004F6DAA">
        <w:rPr>
          <w:noProof/>
        </w:rPr>
        <w:t xml:space="preserve"> z</w:t>
      </w:r>
      <w:r w:rsidR="00062BFA">
        <w:rPr>
          <w:noProof/>
        </w:rPr>
        <w:t> </w:t>
      </w:r>
      <w:r w:rsidR="00062BFA" w:rsidRPr="004F6DAA">
        <w:rPr>
          <w:noProof/>
        </w:rPr>
        <w:t>Uni</w:t>
      </w:r>
      <w:r w:rsidR="008E648C" w:rsidRPr="004F6DAA">
        <w:rPr>
          <w:noProof/>
        </w:rPr>
        <w:t>i, przedstawiając oświadczenie</w:t>
      </w:r>
      <w:r w:rsidR="00062BFA" w:rsidRPr="004F6DAA">
        <w:rPr>
          <w:noProof/>
        </w:rPr>
        <w:t xml:space="preserve"> o</w:t>
      </w:r>
      <w:r w:rsidR="00062BFA">
        <w:rPr>
          <w:noProof/>
        </w:rPr>
        <w:t> </w:t>
      </w:r>
      <w:r w:rsidR="00062BFA" w:rsidRPr="004F6DAA">
        <w:rPr>
          <w:noProof/>
        </w:rPr>
        <w:t>zac</w:t>
      </w:r>
      <w:r w:rsidR="008E648C" w:rsidRPr="004F6DAA">
        <w:rPr>
          <w:noProof/>
        </w:rPr>
        <w:t>howaniu należytej staranności. Wzór takiego oświadczenia powinien zostać określony</w:t>
      </w:r>
      <w:r w:rsidR="00062BFA" w:rsidRPr="004F6DAA">
        <w:rPr>
          <w:noProof/>
        </w:rPr>
        <w:t xml:space="preserve"> w</w:t>
      </w:r>
      <w:r w:rsidR="00062BFA">
        <w:rPr>
          <w:noProof/>
        </w:rPr>
        <w:t> </w:t>
      </w:r>
      <w:r w:rsidR="00062BFA" w:rsidRPr="004F6DAA">
        <w:rPr>
          <w:noProof/>
        </w:rPr>
        <w:t>nin</w:t>
      </w:r>
      <w:r w:rsidR="008E648C" w:rsidRPr="004F6DAA">
        <w:rPr>
          <w:noProof/>
        </w:rPr>
        <w:t>iejszym rozporządzeniu. Oczekuje się, że ułatwi to właściwym organom</w:t>
      </w:r>
      <w:r w:rsidR="00062BFA" w:rsidRPr="004F6DAA">
        <w:rPr>
          <w:noProof/>
        </w:rPr>
        <w:t xml:space="preserve"> i</w:t>
      </w:r>
      <w:r w:rsidR="00062BFA">
        <w:rPr>
          <w:noProof/>
        </w:rPr>
        <w:t> </w:t>
      </w:r>
      <w:r w:rsidR="00062BFA" w:rsidRPr="004F6DAA">
        <w:rPr>
          <w:noProof/>
        </w:rPr>
        <w:t>sąd</w:t>
      </w:r>
      <w:r w:rsidR="008E648C" w:rsidRPr="004F6DAA">
        <w:rPr>
          <w:noProof/>
        </w:rPr>
        <w:t>om egzekwowanie przepisów niniejszego rozporządzenia,</w:t>
      </w:r>
      <w:r w:rsidR="00062BFA" w:rsidRPr="004F6DAA">
        <w:rPr>
          <w:noProof/>
        </w:rPr>
        <w:t xml:space="preserve"> a</w:t>
      </w:r>
      <w:r w:rsidR="00062BFA">
        <w:rPr>
          <w:noProof/>
        </w:rPr>
        <w:t> </w:t>
      </w:r>
      <w:r w:rsidR="00062BFA" w:rsidRPr="004F6DAA">
        <w:rPr>
          <w:noProof/>
        </w:rPr>
        <w:t>tak</w:t>
      </w:r>
      <w:r w:rsidR="008E648C" w:rsidRPr="004F6DAA">
        <w:rPr>
          <w:noProof/>
        </w:rPr>
        <w:t xml:space="preserve">że zwiększy przestrzeganie tych przepisów przez podmioty. </w:t>
      </w:r>
    </w:p>
    <w:p w14:paraId="5496FC17" w14:textId="77777777" w:rsidR="008E648C" w:rsidRPr="004F6DAA" w:rsidRDefault="007B7EB7" w:rsidP="007B7EB7">
      <w:pPr>
        <w:pStyle w:val="ManualConsidrant"/>
        <w:rPr>
          <w:noProof/>
        </w:rPr>
      </w:pPr>
      <w:r w:rsidRPr="007B7EB7">
        <w:t>(35)</w:t>
      </w:r>
      <w:r w:rsidRPr="007B7EB7">
        <w:tab/>
      </w:r>
      <w:r w:rsidR="008E648C" w:rsidRPr="004F6DAA">
        <w:rPr>
          <w:noProof/>
        </w:rPr>
        <w:t>W celu uznania dobrych praktyk</w:t>
      </w:r>
      <w:r w:rsidR="00062BFA" w:rsidRPr="004F6DAA">
        <w:rPr>
          <w:noProof/>
        </w:rPr>
        <w:t xml:space="preserve"> w</w:t>
      </w:r>
      <w:r w:rsidR="00062BFA">
        <w:rPr>
          <w:noProof/>
        </w:rPr>
        <w:t> </w:t>
      </w:r>
      <w:r w:rsidR="00062BFA" w:rsidRPr="004F6DAA">
        <w:rPr>
          <w:noProof/>
        </w:rPr>
        <w:t>pro</w:t>
      </w:r>
      <w:r w:rsidR="008E648C" w:rsidRPr="004F6DAA">
        <w:rPr>
          <w:noProof/>
        </w:rPr>
        <w:t>cedurze oceny ryzyka można wykorzystywać certyfikację lub inne systemy zweryfikowane przez osoby trzecie; nie powinny one jednak zastępować odpowiedzialności podmiotu</w:t>
      </w:r>
      <w:r w:rsidR="00062BFA" w:rsidRPr="004F6DAA">
        <w:rPr>
          <w:noProof/>
        </w:rPr>
        <w:t xml:space="preserve"> w</w:t>
      </w:r>
      <w:r w:rsidR="00062BFA">
        <w:rPr>
          <w:noProof/>
        </w:rPr>
        <w:t> </w:t>
      </w:r>
      <w:r w:rsidR="00062BFA" w:rsidRPr="004F6DAA">
        <w:rPr>
          <w:noProof/>
        </w:rPr>
        <w:t>zak</w:t>
      </w:r>
      <w:r w:rsidR="008E648C" w:rsidRPr="004F6DAA">
        <w:rPr>
          <w:noProof/>
        </w:rPr>
        <w:t>resie należytej staranności.</w:t>
      </w:r>
    </w:p>
    <w:p w14:paraId="3F51E96E" w14:textId="77777777" w:rsidR="008E648C" w:rsidRPr="004F6DAA" w:rsidRDefault="007B7EB7" w:rsidP="007B7EB7">
      <w:pPr>
        <w:pStyle w:val="ManualConsidrant"/>
        <w:rPr>
          <w:noProof/>
        </w:rPr>
      </w:pPr>
      <w:r w:rsidRPr="007B7EB7">
        <w:t>(36)</w:t>
      </w:r>
      <w:r w:rsidRPr="007B7EB7">
        <w:tab/>
      </w:r>
      <w:r w:rsidR="008E648C" w:rsidRPr="004F6DAA">
        <w:rPr>
          <w:noProof/>
        </w:rPr>
        <w:t>Podmioty handlowe powinny odpowiadać za gromadzenie</w:t>
      </w:r>
      <w:r w:rsidR="00062BFA" w:rsidRPr="004F6DAA">
        <w:rPr>
          <w:noProof/>
        </w:rPr>
        <w:t xml:space="preserve"> i</w:t>
      </w:r>
      <w:r w:rsidR="00062BFA">
        <w:rPr>
          <w:noProof/>
        </w:rPr>
        <w:t> </w:t>
      </w:r>
      <w:r w:rsidR="00062BFA" w:rsidRPr="004F6DAA">
        <w:rPr>
          <w:noProof/>
        </w:rPr>
        <w:t>prz</w:t>
      </w:r>
      <w:r w:rsidR="008E648C" w:rsidRPr="004F6DAA">
        <w:rPr>
          <w:noProof/>
        </w:rPr>
        <w:t>echowywanie informacji służących zapewnieniu przejrzystości łańcucha dostaw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które udostępniają na rynku. Ponieważ duże podmioty handlowe, które nie są małymi</w:t>
      </w:r>
      <w:r w:rsidR="00062BFA" w:rsidRPr="004F6DAA">
        <w:rPr>
          <w:noProof/>
        </w:rPr>
        <w:t xml:space="preserve"> i</w:t>
      </w:r>
      <w:r w:rsidR="00062BFA">
        <w:rPr>
          <w:noProof/>
        </w:rPr>
        <w:t> </w:t>
      </w:r>
      <w:r w:rsidR="00062BFA" w:rsidRPr="004F6DAA">
        <w:rPr>
          <w:noProof/>
        </w:rPr>
        <w:t>śre</w:t>
      </w:r>
      <w:r w:rsidR="008E648C" w:rsidRPr="004F6DAA">
        <w:rPr>
          <w:noProof/>
        </w:rPr>
        <w:t>dnimi przedsiębiorstwami (MŚP), mają znaczący wpływ na łańcuchy dostaw</w:t>
      </w:r>
      <w:r w:rsidR="00062BFA" w:rsidRPr="004F6DAA">
        <w:rPr>
          <w:noProof/>
        </w:rPr>
        <w:t xml:space="preserve"> i</w:t>
      </w:r>
      <w:r w:rsidR="00062BFA">
        <w:rPr>
          <w:noProof/>
        </w:rPr>
        <w:t> </w:t>
      </w:r>
      <w:r w:rsidR="00062BFA" w:rsidRPr="004F6DAA">
        <w:rPr>
          <w:noProof/>
        </w:rPr>
        <w:t>odg</w:t>
      </w:r>
      <w:r w:rsidR="008E648C" w:rsidRPr="004F6DAA">
        <w:rPr>
          <w:noProof/>
        </w:rPr>
        <w:t>rywają istotną rolę</w:t>
      </w:r>
      <w:r w:rsidR="00062BFA" w:rsidRPr="004F6DAA">
        <w:rPr>
          <w:noProof/>
        </w:rPr>
        <w:t xml:space="preserve"> w</w:t>
      </w:r>
      <w:r w:rsidR="00062BFA">
        <w:rPr>
          <w:noProof/>
        </w:rPr>
        <w:t> </w:t>
      </w:r>
      <w:r w:rsidR="00062BFA" w:rsidRPr="004F6DAA">
        <w:rPr>
          <w:noProof/>
        </w:rPr>
        <w:t>zap</w:t>
      </w:r>
      <w:r w:rsidR="008E648C" w:rsidRPr="004F6DAA">
        <w:rPr>
          <w:noProof/>
        </w:rPr>
        <w:t>ewnianiu, aby nie powodowały one wylesiania, powinny mieć te same obowiązki, co podmioty.</w:t>
      </w:r>
    </w:p>
    <w:p w14:paraId="4474EA17" w14:textId="77777777" w:rsidR="008E648C" w:rsidRPr="004F6DAA" w:rsidRDefault="007B7EB7" w:rsidP="007B7EB7">
      <w:pPr>
        <w:pStyle w:val="ManualConsidrant"/>
        <w:rPr>
          <w:noProof/>
        </w:rPr>
      </w:pPr>
      <w:r w:rsidRPr="007B7EB7">
        <w:t>(37)</w:t>
      </w:r>
      <w:r w:rsidRPr="007B7EB7">
        <w:tab/>
      </w:r>
      <w:r w:rsidR="008E648C" w:rsidRPr="004F6DAA">
        <w:rPr>
          <w:noProof/>
        </w:rPr>
        <w:t>Aby sprzyjać przejrzystości</w:t>
      </w:r>
      <w:r w:rsidR="00062BFA" w:rsidRPr="004F6DAA">
        <w:rPr>
          <w:noProof/>
        </w:rPr>
        <w:t xml:space="preserve"> i</w:t>
      </w:r>
      <w:r w:rsidR="00062BFA">
        <w:rPr>
          <w:noProof/>
        </w:rPr>
        <w:t> </w:t>
      </w:r>
      <w:r w:rsidR="00062BFA" w:rsidRPr="004F6DAA">
        <w:rPr>
          <w:noProof/>
        </w:rPr>
        <w:t>uła</w:t>
      </w:r>
      <w:r w:rsidR="008E648C" w:rsidRPr="004F6DAA">
        <w:rPr>
          <w:noProof/>
        </w:rPr>
        <w:t>twić egzekwowanie przepisów, podmioty, które nie są MŚP, powinny co roku składać publiczne sprawozdanie dotyczące ich systemu zasad należytej staranności,</w:t>
      </w:r>
      <w:r w:rsidR="00062BFA" w:rsidRPr="004F6DAA">
        <w:rPr>
          <w:noProof/>
        </w:rPr>
        <w:t xml:space="preserve"> w</w:t>
      </w:r>
      <w:r w:rsidR="00062BFA">
        <w:rPr>
          <w:noProof/>
        </w:rPr>
        <w:t> </w:t>
      </w:r>
      <w:r w:rsidR="00062BFA" w:rsidRPr="004F6DAA">
        <w:rPr>
          <w:noProof/>
        </w:rPr>
        <w:t>tym</w:t>
      </w:r>
      <w:r w:rsidR="008E648C" w:rsidRPr="004F6DAA">
        <w:rPr>
          <w:noProof/>
        </w:rPr>
        <w:t xml:space="preserve"> kroków podejmowanych</w:t>
      </w:r>
      <w:r w:rsidR="00062BFA" w:rsidRPr="004F6DAA">
        <w:rPr>
          <w:noProof/>
        </w:rPr>
        <w:t xml:space="preserve"> w</w:t>
      </w:r>
      <w:r w:rsidR="00062BFA">
        <w:rPr>
          <w:noProof/>
        </w:rPr>
        <w:t> </w:t>
      </w:r>
      <w:r w:rsidR="00062BFA" w:rsidRPr="004F6DAA">
        <w:rPr>
          <w:noProof/>
        </w:rPr>
        <w:t>cel</w:t>
      </w:r>
      <w:r w:rsidR="008E648C" w:rsidRPr="004F6DAA">
        <w:rPr>
          <w:noProof/>
        </w:rPr>
        <w:t xml:space="preserve">u realizacji ich zobowiązań. </w:t>
      </w:r>
    </w:p>
    <w:p w14:paraId="544558FC" w14:textId="77777777" w:rsidR="008E648C" w:rsidRPr="004F6DAA" w:rsidRDefault="007B7EB7" w:rsidP="007B7EB7">
      <w:pPr>
        <w:pStyle w:val="ManualConsidrant"/>
        <w:rPr>
          <w:noProof/>
        </w:rPr>
      </w:pPr>
      <w:r w:rsidRPr="007B7EB7">
        <w:t>(38)</w:t>
      </w:r>
      <w:r w:rsidRPr="007B7EB7">
        <w:tab/>
      </w:r>
      <w:r w:rsidR="008E648C" w:rsidRPr="004F6DAA">
        <w:rPr>
          <w:noProof/>
        </w:rPr>
        <w:t>Inne instrumenty legislacyjne UE określające wymogi</w:t>
      </w:r>
      <w:r w:rsidR="00062BFA" w:rsidRPr="004F6DAA">
        <w:rPr>
          <w:noProof/>
        </w:rPr>
        <w:t xml:space="preserve"> w</w:t>
      </w:r>
      <w:r w:rsidR="00062BFA">
        <w:rPr>
          <w:noProof/>
        </w:rPr>
        <w:t> </w:t>
      </w:r>
      <w:r w:rsidR="00062BFA" w:rsidRPr="004F6DAA">
        <w:rPr>
          <w:noProof/>
        </w:rPr>
        <w:t>zak</w:t>
      </w:r>
      <w:r w:rsidR="008E648C" w:rsidRPr="004F6DAA">
        <w:rPr>
          <w:noProof/>
        </w:rPr>
        <w:t>resie należytej staranności</w:t>
      </w:r>
      <w:r w:rsidR="00062BFA" w:rsidRPr="004F6DAA">
        <w:rPr>
          <w:noProof/>
        </w:rPr>
        <w:t xml:space="preserve"> w</w:t>
      </w:r>
      <w:r w:rsidR="00062BFA">
        <w:rPr>
          <w:noProof/>
        </w:rPr>
        <w:t> </w:t>
      </w:r>
      <w:r w:rsidR="00062BFA" w:rsidRPr="004F6DAA">
        <w:rPr>
          <w:noProof/>
        </w:rPr>
        <w:t>łań</w:t>
      </w:r>
      <w:r w:rsidR="008E648C" w:rsidRPr="004F6DAA">
        <w:rPr>
          <w:noProof/>
        </w:rPr>
        <w:t>cuchu wartości</w:t>
      </w:r>
      <w:r w:rsidR="00062BFA" w:rsidRPr="004F6DAA">
        <w:rPr>
          <w:noProof/>
        </w:rPr>
        <w:t xml:space="preserve"> w</w:t>
      </w:r>
      <w:r w:rsidR="00062BFA">
        <w:rPr>
          <w:noProof/>
        </w:rPr>
        <w:t> </w:t>
      </w:r>
      <w:r w:rsidR="00062BFA" w:rsidRPr="004F6DAA">
        <w:rPr>
          <w:noProof/>
        </w:rPr>
        <w:t>odn</w:t>
      </w:r>
      <w:r w:rsidR="008E648C" w:rsidRPr="004F6DAA">
        <w:rPr>
          <w:noProof/>
        </w:rPr>
        <w:t>iesieniu do niekorzystnego wpływu na prawa człowieka lub środowisko powinny mieć zastosowanie,</w:t>
      </w:r>
      <w:r w:rsidR="00062BFA" w:rsidRPr="004F6DAA">
        <w:rPr>
          <w:noProof/>
        </w:rPr>
        <w:t xml:space="preserve"> o</w:t>
      </w:r>
      <w:r w:rsidR="00062BFA">
        <w:rPr>
          <w:noProof/>
        </w:rPr>
        <w:t> </w:t>
      </w:r>
      <w:r w:rsidR="00062BFA" w:rsidRPr="004F6DAA">
        <w:rPr>
          <w:noProof/>
        </w:rPr>
        <w:t>ile w</w:t>
      </w:r>
      <w:r w:rsidR="00062BFA">
        <w:rPr>
          <w:noProof/>
        </w:rPr>
        <w:t> </w:t>
      </w:r>
      <w:r w:rsidR="00062BFA" w:rsidRPr="004F6DAA">
        <w:rPr>
          <w:noProof/>
        </w:rPr>
        <w:t>nin</w:t>
      </w:r>
      <w:r w:rsidR="008E648C" w:rsidRPr="004F6DAA">
        <w:rPr>
          <w:noProof/>
        </w:rPr>
        <w:t>iejszym rozporządzeniu nie ma żadnych przepisów szczegółowych</w:t>
      </w:r>
      <w:r w:rsidR="00062BFA" w:rsidRPr="004F6DAA">
        <w:rPr>
          <w:noProof/>
        </w:rPr>
        <w:t xml:space="preserve"> o</w:t>
      </w:r>
      <w:r w:rsidR="00062BFA">
        <w:rPr>
          <w:noProof/>
        </w:rPr>
        <w:t> </w:t>
      </w:r>
      <w:r w:rsidR="00062BFA" w:rsidRPr="004F6DAA">
        <w:rPr>
          <w:noProof/>
        </w:rPr>
        <w:t>tym</w:t>
      </w:r>
      <w:r w:rsidR="008E648C" w:rsidRPr="004F6DAA">
        <w:rPr>
          <w:noProof/>
        </w:rPr>
        <w:t xml:space="preserve"> samym celu, charakterze</w:t>
      </w:r>
      <w:r w:rsidR="00062BFA" w:rsidRPr="004F6DAA">
        <w:rPr>
          <w:noProof/>
        </w:rPr>
        <w:t xml:space="preserve"> i</w:t>
      </w:r>
      <w:r w:rsidR="00062BFA">
        <w:rPr>
          <w:noProof/>
        </w:rPr>
        <w:t> </w:t>
      </w:r>
      <w:r w:rsidR="00062BFA" w:rsidRPr="004F6DAA">
        <w:rPr>
          <w:noProof/>
        </w:rPr>
        <w:t>sku</w:t>
      </w:r>
      <w:r w:rsidR="008E648C" w:rsidRPr="004F6DAA">
        <w:rPr>
          <w:noProof/>
        </w:rPr>
        <w:t>tku, które można by dostosować</w:t>
      </w:r>
      <w:r w:rsidR="00062BFA" w:rsidRPr="004F6DAA">
        <w:rPr>
          <w:noProof/>
        </w:rPr>
        <w:t xml:space="preserve"> w</w:t>
      </w:r>
      <w:r w:rsidR="00062BFA">
        <w:rPr>
          <w:noProof/>
        </w:rPr>
        <w:t> </w:t>
      </w:r>
      <w:r w:rsidR="00062BFA" w:rsidRPr="004F6DAA">
        <w:rPr>
          <w:noProof/>
        </w:rPr>
        <w:t>świ</w:t>
      </w:r>
      <w:r w:rsidR="008E648C" w:rsidRPr="004F6DAA">
        <w:rPr>
          <w:noProof/>
        </w:rPr>
        <w:t>etle przyszłych zmian legislacyjnych. Istnienie niniejszego rozporządzenia nie powinno wykluczać stosowania innych instrumentów legislacyjnych UE,</w:t>
      </w:r>
      <w:r w:rsidR="00062BFA" w:rsidRPr="004F6DAA">
        <w:rPr>
          <w:noProof/>
        </w:rPr>
        <w:t xml:space="preserve"> w</w:t>
      </w:r>
      <w:r w:rsidR="00062BFA">
        <w:rPr>
          <w:noProof/>
        </w:rPr>
        <w:t> </w:t>
      </w:r>
      <w:r w:rsidR="00062BFA" w:rsidRPr="004F6DAA">
        <w:rPr>
          <w:noProof/>
        </w:rPr>
        <w:t>któ</w:t>
      </w:r>
      <w:r w:rsidR="008E648C" w:rsidRPr="004F6DAA">
        <w:rPr>
          <w:noProof/>
        </w:rPr>
        <w:t>rych określono wymogi dotyczące należytej staranności</w:t>
      </w:r>
      <w:r w:rsidR="00062BFA" w:rsidRPr="004F6DAA">
        <w:rPr>
          <w:noProof/>
        </w:rPr>
        <w:t xml:space="preserve"> w</w:t>
      </w:r>
      <w:r w:rsidR="00062BFA">
        <w:rPr>
          <w:noProof/>
        </w:rPr>
        <w:t> </w:t>
      </w:r>
      <w:r w:rsidR="00062BFA" w:rsidRPr="004F6DAA">
        <w:rPr>
          <w:noProof/>
        </w:rPr>
        <w:t>łań</w:t>
      </w:r>
      <w:r w:rsidR="008E648C" w:rsidRPr="004F6DAA">
        <w:rPr>
          <w:noProof/>
        </w:rPr>
        <w:t>cuchu wartości. Jeżeli</w:t>
      </w:r>
      <w:r w:rsidR="00062BFA" w:rsidRPr="004F6DAA">
        <w:rPr>
          <w:noProof/>
        </w:rPr>
        <w:t xml:space="preserve"> w</w:t>
      </w:r>
      <w:r w:rsidR="00062BFA">
        <w:rPr>
          <w:noProof/>
        </w:rPr>
        <w:t> </w:t>
      </w:r>
      <w:r w:rsidR="00062BFA" w:rsidRPr="004F6DAA">
        <w:rPr>
          <w:noProof/>
        </w:rPr>
        <w:t>tak</w:t>
      </w:r>
      <w:r w:rsidR="008E648C" w:rsidRPr="004F6DAA">
        <w:rPr>
          <w:noProof/>
        </w:rPr>
        <w:t>ich innych instrumentach legislacyjnych UE przewidziano bardziej szczegółowe przepisy lub dodano wymogi do przepisów określonych</w:t>
      </w:r>
      <w:r w:rsidR="00062BFA" w:rsidRPr="004F6DAA">
        <w:rPr>
          <w:noProof/>
        </w:rPr>
        <w:t xml:space="preserve"> w</w:t>
      </w:r>
      <w:r w:rsidR="00062BFA">
        <w:rPr>
          <w:noProof/>
        </w:rPr>
        <w:t> </w:t>
      </w:r>
      <w:r w:rsidR="00062BFA" w:rsidRPr="004F6DAA">
        <w:rPr>
          <w:noProof/>
        </w:rPr>
        <w:t>nin</w:t>
      </w:r>
      <w:r w:rsidR="008E648C" w:rsidRPr="004F6DAA">
        <w:rPr>
          <w:noProof/>
        </w:rPr>
        <w:t>iejszym rozporządzeniu, przepisy takie należy stosować</w:t>
      </w:r>
      <w:r w:rsidR="00062BFA" w:rsidRPr="004F6DAA">
        <w:rPr>
          <w:noProof/>
        </w:rPr>
        <w:t xml:space="preserve"> w</w:t>
      </w:r>
      <w:r w:rsidR="00062BFA">
        <w:rPr>
          <w:noProof/>
        </w:rPr>
        <w:t> </w:t>
      </w:r>
      <w:r w:rsidR="00062BFA" w:rsidRPr="004F6DAA">
        <w:rPr>
          <w:noProof/>
        </w:rPr>
        <w:t>zwi</w:t>
      </w:r>
      <w:r w:rsidR="008E648C" w:rsidRPr="004F6DAA">
        <w:rPr>
          <w:noProof/>
        </w:rPr>
        <w:t>ązku</w:t>
      </w:r>
      <w:r w:rsidR="00062BFA" w:rsidRPr="004F6DAA">
        <w:rPr>
          <w:noProof/>
        </w:rPr>
        <w:t xml:space="preserve"> z</w:t>
      </w:r>
      <w:r w:rsidR="00062BFA">
        <w:rPr>
          <w:noProof/>
        </w:rPr>
        <w:t> </w:t>
      </w:r>
      <w:r w:rsidR="00062BFA" w:rsidRPr="004F6DAA">
        <w:rPr>
          <w:noProof/>
        </w:rPr>
        <w:t>prz</w:t>
      </w:r>
      <w:r w:rsidR="008E648C" w:rsidRPr="004F6DAA">
        <w:rPr>
          <w:noProof/>
        </w:rPr>
        <w:t>episami niniejszego rozporządzenia. Ponadto jeżeli</w:t>
      </w:r>
      <w:r w:rsidR="00062BFA" w:rsidRPr="004F6DAA">
        <w:rPr>
          <w:noProof/>
        </w:rPr>
        <w:t xml:space="preserve"> w</w:t>
      </w:r>
      <w:r w:rsidR="00062BFA">
        <w:rPr>
          <w:noProof/>
        </w:rPr>
        <w:t> </w:t>
      </w:r>
      <w:r w:rsidR="00062BFA" w:rsidRPr="004F6DAA">
        <w:rPr>
          <w:noProof/>
        </w:rPr>
        <w:t>nin</w:t>
      </w:r>
      <w:r w:rsidR="008E648C" w:rsidRPr="004F6DAA">
        <w:rPr>
          <w:noProof/>
        </w:rPr>
        <w:t>iejszym rozporządzeniu określono bardziej szczegółowe przepisy, nie należy ich interpretować</w:t>
      </w:r>
      <w:r w:rsidR="00062BFA" w:rsidRPr="004F6DAA">
        <w:rPr>
          <w:noProof/>
        </w:rPr>
        <w:t xml:space="preserve"> w</w:t>
      </w:r>
      <w:r w:rsidR="00062BFA">
        <w:rPr>
          <w:noProof/>
        </w:rPr>
        <w:t> </w:t>
      </w:r>
      <w:r w:rsidR="00062BFA" w:rsidRPr="004F6DAA">
        <w:rPr>
          <w:noProof/>
        </w:rPr>
        <w:t>spo</w:t>
      </w:r>
      <w:r w:rsidR="008E648C" w:rsidRPr="004F6DAA">
        <w:rPr>
          <w:noProof/>
        </w:rPr>
        <w:t>sób, który osłabiałby skuteczne stosowanie innych instrumentów legislacyjnych UE dotyczących należytej staranności lub osiągnięcie ich ogólnego celu.</w:t>
      </w:r>
    </w:p>
    <w:p w14:paraId="03739338" w14:textId="77777777" w:rsidR="008E648C" w:rsidRPr="004F6DAA" w:rsidRDefault="007B7EB7" w:rsidP="007B7EB7">
      <w:pPr>
        <w:pStyle w:val="ManualConsidrant"/>
        <w:rPr>
          <w:noProof/>
        </w:rPr>
      </w:pPr>
      <w:r w:rsidRPr="007B7EB7">
        <w:t>(39)</w:t>
      </w:r>
      <w:r w:rsidRPr="007B7EB7">
        <w:tab/>
      </w:r>
      <w:r w:rsidR="008E648C" w:rsidRPr="004F6DAA">
        <w:rPr>
          <w:noProof/>
        </w:rPr>
        <w:t>Podmioty objęte zakresem stosowania innych instrumentów legislacyjnych UE określających wymogi</w:t>
      </w:r>
      <w:r w:rsidR="00062BFA" w:rsidRPr="004F6DAA">
        <w:rPr>
          <w:noProof/>
        </w:rPr>
        <w:t xml:space="preserve"> w</w:t>
      </w:r>
      <w:r w:rsidR="00062BFA">
        <w:rPr>
          <w:noProof/>
        </w:rPr>
        <w:t> </w:t>
      </w:r>
      <w:r w:rsidR="00062BFA" w:rsidRPr="004F6DAA">
        <w:rPr>
          <w:noProof/>
        </w:rPr>
        <w:t>zak</w:t>
      </w:r>
      <w:r w:rsidR="008E648C" w:rsidRPr="004F6DAA">
        <w:rPr>
          <w:noProof/>
        </w:rPr>
        <w:t>resie należytej staranności</w:t>
      </w:r>
      <w:r w:rsidR="00062BFA" w:rsidRPr="004F6DAA">
        <w:rPr>
          <w:noProof/>
        </w:rPr>
        <w:t xml:space="preserve"> w</w:t>
      </w:r>
      <w:r w:rsidR="00062BFA">
        <w:rPr>
          <w:noProof/>
        </w:rPr>
        <w:t> </w:t>
      </w:r>
      <w:r w:rsidR="00062BFA" w:rsidRPr="004F6DAA">
        <w:rPr>
          <w:noProof/>
        </w:rPr>
        <w:t>łań</w:t>
      </w:r>
      <w:r w:rsidR="008E648C" w:rsidRPr="004F6DAA">
        <w:rPr>
          <w:noProof/>
        </w:rPr>
        <w:t>cuchu wartości</w:t>
      </w:r>
      <w:r w:rsidR="00062BFA" w:rsidRPr="004F6DAA">
        <w:rPr>
          <w:noProof/>
        </w:rPr>
        <w:t xml:space="preserve"> w</w:t>
      </w:r>
      <w:r w:rsidR="00062BFA">
        <w:rPr>
          <w:noProof/>
        </w:rPr>
        <w:t> </w:t>
      </w:r>
      <w:r w:rsidR="00062BFA" w:rsidRPr="004F6DAA">
        <w:rPr>
          <w:noProof/>
        </w:rPr>
        <w:t>odn</w:t>
      </w:r>
      <w:r w:rsidR="008E648C" w:rsidRPr="004F6DAA">
        <w:rPr>
          <w:noProof/>
        </w:rPr>
        <w:t>iesieniu do niekorzystnego wpływu na prawa człowieka lub środowisko powinny być</w:t>
      </w:r>
      <w:r w:rsidR="00062BFA" w:rsidRPr="004F6DAA">
        <w:rPr>
          <w:noProof/>
        </w:rPr>
        <w:t xml:space="preserve"> w</w:t>
      </w:r>
      <w:r w:rsidR="00062BFA">
        <w:rPr>
          <w:noProof/>
        </w:rPr>
        <w:t> </w:t>
      </w:r>
      <w:r w:rsidR="00062BFA" w:rsidRPr="004F6DAA">
        <w:rPr>
          <w:noProof/>
        </w:rPr>
        <w:t>sta</w:t>
      </w:r>
      <w:r w:rsidR="008E648C" w:rsidRPr="004F6DAA">
        <w:rPr>
          <w:noProof/>
        </w:rPr>
        <w:t>nie spełnić obowiązki sprawozdawcze wynikające</w:t>
      </w:r>
      <w:r w:rsidR="00062BFA" w:rsidRPr="004F6DAA">
        <w:rPr>
          <w:noProof/>
        </w:rPr>
        <w:t xml:space="preserve"> z</w:t>
      </w:r>
      <w:r w:rsidR="00062BFA">
        <w:rPr>
          <w:noProof/>
        </w:rPr>
        <w:t> </w:t>
      </w:r>
      <w:r w:rsidR="00062BFA" w:rsidRPr="004F6DAA">
        <w:rPr>
          <w:noProof/>
        </w:rPr>
        <w:t>nin</w:t>
      </w:r>
      <w:r w:rsidR="008E648C" w:rsidRPr="004F6DAA">
        <w:rPr>
          <w:noProof/>
        </w:rPr>
        <w:t>iejszego rozporządzenia, podając wymagane informacje przy sporządzaniu sprawozdań na podstawie pozostałych instrumentów legislacyjnych UE.</w:t>
      </w:r>
    </w:p>
    <w:p w14:paraId="03E36C64" w14:textId="77777777" w:rsidR="008E648C" w:rsidRPr="004F6DAA" w:rsidRDefault="007B7EB7" w:rsidP="007B7EB7">
      <w:pPr>
        <w:pStyle w:val="ManualConsidrant"/>
        <w:rPr>
          <w:noProof/>
        </w:rPr>
      </w:pPr>
      <w:r w:rsidRPr="007B7EB7">
        <w:t>(40)</w:t>
      </w:r>
      <w:r w:rsidRPr="007B7EB7">
        <w:tab/>
      </w:r>
      <w:r w:rsidR="008E648C" w:rsidRPr="004F6DAA">
        <w:rPr>
          <w:noProof/>
        </w:rPr>
        <w:t>Odpowiedzialność za egzekwowanie przepisów niniejszego rozporządzenia powinna spoczywać na państwach członkowskich, a od ich właściwych organów należy wymagać zapewnienia pełnego przestrzegania przepisów niniejszego rozporządzenia. Jednolite egzekwowanie przepisów niniejszego rozporządzenia</w:t>
      </w:r>
      <w:r w:rsidR="00062BFA" w:rsidRPr="004F6DAA">
        <w:rPr>
          <w:noProof/>
        </w:rPr>
        <w:t xml:space="preserve"> w</w:t>
      </w:r>
      <w:r w:rsidR="00062BFA">
        <w:rPr>
          <w:noProof/>
        </w:rPr>
        <w:t> </w:t>
      </w:r>
      <w:r w:rsidR="00062BFA" w:rsidRPr="004F6DAA">
        <w:rPr>
          <w:noProof/>
        </w:rPr>
        <w:t>odn</w:t>
      </w:r>
      <w:r w:rsidR="008E648C" w:rsidRPr="004F6DAA">
        <w:rPr>
          <w:noProof/>
        </w:rPr>
        <w:t>iesieniu do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wprowadzanych na rynek unijny lub</w:t>
      </w:r>
      <w:r w:rsidR="00062BFA" w:rsidRPr="004F6DAA">
        <w:rPr>
          <w:noProof/>
        </w:rPr>
        <w:t xml:space="preserve"> z</w:t>
      </w:r>
      <w:r w:rsidR="00062BFA">
        <w:rPr>
          <w:noProof/>
        </w:rPr>
        <w:t> </w:t>
      </w:r>
      <w:r w:rsidR="00062BFA" w:rsidRPr="004F6DAA">
        <w:rPr>
          <w:noProof/>
        </w:rPr>
        <w:t>nie</w:t>
      </w:r>
      <w:r w:rsidR="008E648C" w:rsidRPr="004F6DAA">
        <w:rPr>
          <w:noProof/>
        </w:rPr>
        <w:t>go wyprowadzanych można osiągnąć wyłącznie dzięki systematycznej wymianie informacji</w:t>
      </w:r>
      <w:r w:rsidR="00062BFA" w:rsidRPr="004F6DAA">
        <w:rPr>
          <w:noProof/>
        </w:rPr>
        <w:t xml:space="preserve"> i</w:t>
      </w:r>
      <w:r w:rsidR="00062BFA">
        <w:rPr>
          <w:noProof/>
        </w:rPr>
        <w:t> </w:t>
      </w:r>
      <w:r w:rsidR="00062BFA" w:rsidRPr="004F6DAA">
        <w:rPr>
          <w:noProof/>
        </w:rPr>
        <w:t>wsp</w:t>
      </w:r>
      <w:r w:rsidR="008E648C" w:rsidRPr="004F6DAA">
        <w:rPr>
          <w:noProof/>
        </w:rPr>
        <w:t>ółpracy między właściwymi organami, organami celnymi</w:t>
      </w:r>
      <w:r w:rsidR="00062BFA" w:rsidRPr="004F6DAA">
        <w:rPr>
          <w:noProof/>
        </w:rPr>
        <w:t xml:space="preserve"> i</w:t>
      </w:r>
      <w:r w:rsidR="00062BFA">
        <w:rPr>
          <w:noProof/>
        </w:rPr>
        <w:t> </w:t>
      </w:r>
      <w:r w:rsidR="00062BFA" w:rsidRPr="004F6DAA">
        <w:rPr>
          <w:noProof/>
        </w:rPr>
        <w:t>Kom</w:t>
      </w:r>
      <w:r w:rsidR="008E648C" w:rsidRPr="004F6DAA">
        <w:rPr>
          <w:noProof/>
        </w:rPr>
        <w:t>isją.</w:t>
      </w:r>
    </w:p>
    <w:p w14:paraId="46C1EFC6" w14:textId="77777777" w:rsidR="008E648C" w:rsidRPr="004F6DAA" w:rsidRDefault="007B7EB7" w:rsidP="007B7EB7">
      <w:pPr>
        <w:pStyle w:val="ManualConsidrant"/>
        <w:rPr>
          <w:noProof/>
        </w:rPr>
      </w:pPr>
      <w:r w:rsidRPr="007B7EB7">
        <w:t>(41)</w:t>
      </w:r>
      <w:r w:rsidRPr="007B7EB7">
        <w:tab/>
      </w:r>
      <w:r w:rsidR="008E648C" w:rsidRPr="004F6DAA">
        <w:rPr>
          <w:noProof/>
        </w:rPr>
        <w:t>Skuteczne</w:t>
      </w:r>
      <w:r w:rsidR="00062BFA" w:rsidRPr="004F6DAA">
        <w:rPr>
          <w:noProof/>
        </w:rPr>
        <w:t xml:space="preserve"> i</w:t>
      </w:r>
      <w:r w:rsidR="00062BFA">
        <w:rPr>
          <w:noProof/>
        </w:rPr>
        <w:t> </w:t>
      </w:r>
      <w:r w:rsidR="00062BFA" w:rsidRPr="004F6DAA">
        <w:rPr>
          <w:noProof/>
        </w:rPr>
        <w:t>efe</w:t>
      </w:r>
      <w:r w:rsidR="008E648C" w:rsidRPr="004F6DAA">
        <w:rPr>
          <w:noProof/>
        </w:rPr>
        <w:t>ktywne wdrożenie</w:t>
      </w:r>
      <w:r w:rsidR="00062BFA" w:rsidRPr="004F6DAA">
        <w:rPr>
          <w:noProof/>
        </w:rPr>
        <w:t xml:space="preserve"> i</w:t>
      </w:r>
      <w:r w:rsidR="00062BFA">
        <w:rPr>
          <w:noProof/>
        </w:rPr>
        <w:t> </w:t>
      </w:r>
      <w:r w:rsidR="00062BFA" w:rsidRPr="004F6DAA">
        <w:rPr>
          <w:noProof/>
        </w:rPr>
        <w:t>egz</w:t>
      </w:r>
      <w:r w:rsidR="008E648C" w:rsidRPr="004F6DAA">
        <w:rPr>
          <w:noProof/>
        </w:rPr>
        <w:t>ekwowanie przepisów niniejszego rozporządzenia ma zasadnicze znaczenie dla osiągnięcia jego celów</w:t>
      </w:r>
      <w:r w:rsidR="00062BFA" w:rsidRPr="004F6DAA">
        <w:rPr>
          <w:noProof/>
        </w:rPr>
        <w:t>. Z</w:t>
      </w:r>
      <w:r w:rsidR="00062BFA">
        <w:rPr>
          <w:noProof/>
        </w:rPr>
        <w:t> </w:t>
      </w:r>
      <w:r w:rsidR="00062BFA" w:rsidRPr="004F6DAA">
        <w:rPr>
          <w:noProof/>
        </w:rPr>
        <w:t>teg</w:t>
      </w:r>
      <w:r w:rsidR="008E648C" w:rsidRPr="004F6DAA">
        <w:rPr>
          <w:noProof/>
        </w:rPr>
        <w:t>o względu Komisja powinna ustanowić system informacyjny służący wspieraniu podmiotów</w:t>
      </w:r>
      <w:r w:rsidR="00062BFA" w:rsidRPr="004F6DAA">
        <w:rPr>
          <w:noProof/>
        </w:rPr>
        <w:t xml:space="preserve"> i</w:t>
      </w:r>
      <w:r w:rsidR="00062BFA">
        <w:rPr>
          <w:noProof/>
        </w:rPr>
        <w:t> </w:t>
      </w:r>
      <w:r w:rsidR="00062BFA" w:rsidRPr="004F6DAA">
        <w:rPr>
          <w:noProof/>
        </w:rPr>
        <w:t>wła</w:t>
      </w:r>
      <w:r w:rsidR="008E648C" w:rsidRPr="004F6DAA">
        <w:rPr>
          <w:noProof/>
        </w:rPr>
        <w:t>ściwych organów</w:t>
      </w:r>
      <w:r w:rsidR="00062BFA" w:rsidRPr="004F6DAA">
        <w:rPr>
          <w:noProof/>
        </w:rPr>
        <w:t xml:space="preserve"> w</w:t>
      </w:r>
      <w:r w:rsidR="00062BFA">
        <w:rPr>
          <w:noProof/>
        </w:rPr>
        <w:t> </w:t>
      </w:r>
      <w:r w:rsidR="00062BFA" w:rsidRPr="004F6DAA">
        <w:rPr>
          <w:noProof/>
        </w:rPr>
        <w:t>prz</w:t>
      </w:r>
      <w:r w:rsidR="008E648C" w:rsidRPr="004F6DAA">
        <w:rPr>
          <w:noProof/>
        </w:rPr>
        <w:t>edstawianiu niezbędnych informacji dotyczących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wprowadzanych do obrotu</w:t>
      </w:r>
      <w:r w:rsidR="00062BFA" w:rsidRPr="004F6DAA">
        <w:rPr>
          <w:noProof/>
        </w:rPr>
        <w:t xml:space="preserve"> i</w:t>
      </w:r>
      <w:r w:rsidR="00062BFA">
        <w:rPr>
          <w:noProof/>
        </w:rPr>
        <w:t> </w:t>
      </w:r>
      <w:r w:rsidR="00062BFA" w:rsidRPr="004F6DAA">
        <w:rPr>
          <w:noProof/>
        </w:rPr>
        <w:t>w</w:t>
      </w:r>
      <w:r w:rsidR="00062BFA">
        <w:rPr>
          <w:noProof/>
        </w:rPr>
        <w:t> </w:t>
      </w:r>
      <w:r w:rsidR="00062BFA" w:rsidRPr="004F6DAA">
        <w:rPr>
          <w:noProof/>
        </w:rPr>
        <w:t>uzy</w:t>
      </w:r>
      <w:r w:rsidR="008E648C" w:rsidRPr="004F6DAA">
        <w:rPr>
          <w:noProof/>
        </w:rPr>
        <w:t>skiwaniu dostępu do takich informacji, oraz zarządzać takim systemem. Podmioty powinny przedkładać</w:t>
      </w:r>
      <w:r w:rsidR="00062BFA" w:rsidRPr="004F6DAA">
        <w:rPr>
          <w:noProof/>
        </w:rPr>
        <w:t xml:space="preserve"> w</w:t>
      </w:r>
      <w:r w:rsidR="00062BFA">
        <w:rPr>
          <w:noProof/>
        </w:rPr>
        <w:t> </w:t>
      </w:r>
      <w:r w:rsidR="00062BFA" w:rsidRPr="004F6DAA">
        <w:rPr>
          <w:noProof/>
        </w:rPr>
        <w:t>sys</w:t>
      </w:r>
      <w:r w:rsidR="008E648C" w:rsidRPr="004F6DAA">
        <w:rPr>
          <w:noProof/>
        </w:rPr>
        <w:t>temie informacyjnym oświadczenia</w:t>
      </w:r>
      <w:r w:rsidR="00062BFA" w:rsidRPr="004F6DAA">
        <w:rPr>
          <w:noProof/>
        </w:rPr>
        <w:t xml:space="preserve"> o</w:t>
      </w:r>
      <w:r w:rsidR="00062BFA">
        <w:rPr>
          <w:noProof/>
        </w:rPr>
        <w:t> </w:t>
      </w:r>
      <w:r w:rsidR="00062BFA" w:rsidRPr="004F6DAA">
        <w:rPr>
          <w:noProof/>
        </w:rPr>
        <w:t>zac</w:t>
      </w:r>
      <w:r w:rsidR="008E648C" w:rsidRPr="004F6DAA">
        <w:rPr>
          <w:noProof/>
        </w:rPr>
        <w:t>howaniu należytej staranności. System informacyjny powinien być dostępny dla właściwych organów</w:t>
      </w:r>
      <w:r w:rsidR="00062BFA" w:rsidRPr="004F6DAA">
        <w:rPr>
          <w:noProof/>
        </w:rPr>
        <w:t xml:space="preserve"> i</w:t>
      </w:r>
      <w:r w:rsidR="00062BFA">
        <w:rPr>
          <w:noProof/>
        </w:rPr>
        <w:t> </w:t>
      </w:r>
      <w:r w:rsidR="00062BFA" w:rsidRPr="004F6DAA">
        <w:rPr>
          <w:noProof/>
        </w:rPr>
        <w:t>org</w:t>
      </w:r>
      <w:r w:rsidR="008E648C" w:rsidRPr="004F6DAA">
        <w:rPr>
          <w:noProof/>
        </w:rPr>
        <w:t>anów celnych, aby ułatwić im wykonywanie ich obowiązków wynikających</w:t>
      </w:r>
      <w:r w:rsidR="00062BFA" w:rsidRPr="004F6DAA">
        <w:rPr>
          <w:noProof/>
        </w:rPr>
        <w:t xml:space="preserve"> z</w:t>
      </w:r>
      <w:r w:rsidR="00062BFA">
        <w:rPr>
          <w:noProof/>
        </w:rPr>
        <w:t> </w:t>
      </w:r>
      <w:r w:rsidR="00062BFA" w:rsidRPr="004F6DAA">
        <w:rPr>
          <w:noProof/>
        </w:rPr>
        <w:t>prz</w:t>
      </w:r>
      <w:r w:rsidR="008E648C" w:rsidRPr="004F6DAA">
        <w:rPr>
          <w:noProof/>
        </w:rPr>
        <w:t>episów niniejszego rozporządzenia. System informacyjny powinien być również dostępny dla szerszej opinii publicznej,</w:t>
      </w:r>
      <w:r w:rsidR="00062BFA" w:rsidRPr="004F6DAA">
        <w:rPr>
          <w:noProof/>
        </w:rPr>
        <w:t xml:space="preserve"> a</w:t>
      </w:r>
      <w:r w:rsidR="00062BFA">
        <w:rPr>
          <w:noProof/>
        </w:rPr>
        <w:t> </w:t>
      </w:r>
      <w:r w:rsidR="00062BFA" w:rsidRPr="004F6DAA">
        <w:rPr>
          <w:noProof/>
        </w:rPr>
        <w:t>dan</w:t>
      </w:r>
      <w:r w:rsidR="008E648C" w:rsidRPr="004F6DAA">
        <w:rPr>
          <w:noProof/>
        </w:rPr>
        <w:t>e powinny być poddane anonimizacji</w:t>
      </w:r>
      <w:r w:rsidR="00062BFA" w:rsidRPr="004F6DAA">
        <w:rPr>
          <w:noProof/>
        </w:rPr>
        <w:t xml:space="preserve"> i</w:t>
      </w:r>
      <w:r w:rsidR="00062BFA">
        <w:rPr>
          <w:noProof/>
        </w:rPr>
        <w:t> </w:t>
      </w:r>
      <w:r w:rsidR="00062BFA" w:rsidRPr="004F6DAA">
        <w:rPr>
          <w:noProof/>
        </w:rPr>
        <w:t>prz</w:t>
      </w:r>
      <w:r w:rsidR="008E648C" w:rsidRPr="004F6DAA">
        <w:rPr>
          <w:noProof/>
        </w:rPr>
        <w:t>edstawione</w:t>
      </w:r>
      <w:r w:rsidR="00062BFA" w:rsidRPr="004F6DAA">
        <w:rPr>
          <w:noProof/>
        </w:rPr>
        <w:t xml:space="preserve"> w</w:t>
      </w:r>
      <w:r w:rsidR="00062BFA">
        <w:rPr>
          <w:noProof/>
        </w:rPr>
        <w:t> </w:t>
      </w:r>
      <w:r w:rsidR="00062BFA" w:rsidRPr="004F6DAA">
        <w:rPr>
          <w:noProof/>
        </w:rPr>
        <w:t>otw</w:t>
      </w:r>
      <w:r w:rsidR="008E648C" w:rsidRPr="004F6DAA">
        <w:rPr>
          <w:noProof/>
        </w:rPr>
        <w:t>artym</w:t>
      </w:r>
      <w:r w:rsidR="00062BFA" w:rsidRPr="004F6DAA">
        <w:rPr>
          <w:noProof/>
        </w:rPr>
        <w:t xml:space="preserve"> i</w:t>
      </w:r>
      <w:r w:rsidR="00062BFA">
        <w:rPr>
          <w:noProof/>
        </w:rPr>
        <w:t> </w:t>
      </w:r>
      <w:r w:rsidR="00062BFA" w:rsidRPr="004F6DAA">
        <w:rPr>
          <w:noProof/>
        </w:rPr>
        <w:t>czy</w:t>
      </w:r>
      <w:r w:rsidR="008E648C" w:rsidRPr="004F6DAA">
        <w:rPr>
          <w:noProof/>
        </w:rPr>
        <w:t>telnym dla urządzeń formacie zgodnie</w:t>
      </w:r>
      <w:r w:rsidR="00062BFA" w:rsidRPr="004F6DAA">
        <w:rPr>
          <w:noProof/>
        </w:rPr>
        <w:t xml:space="preserve"> z</w:t>
      </w:r>
      <w:r w:rsidR="00062BFA">
        <w:rPr>
          <w:noProof/>
        </w:rPr>
        <w:t> </w:t>
      </w:r>
      <w:r w:rsidR="00062BFA" w:rsidRPr="004F6DAA">
        <w:rPr>
          <w:noProof/>
        </w:rPr>
        <w:t>uni</w:t>
      </w:r>
      <w:r w:rsidR="008E648C" w:rsidRPr="004F6DAA">
        <w:rPr>
          <w:noProof/>
        </w:rPr>
        <w:t>jną polityką otwartych danych.</w:t>
      </w:r>
    </w:p>
    <w:p w14:paraId="191868A8" w14:textId="77777777" w:rsidR="008E648C" w:rsidRPr="004F6DAA" w:rsidRDefault="007B7EB7" w:rsidP="007B7EB7">
      <w:pPr>
        <w:pStyle w:val="ManualConsidrant"/>
        <w:rPr>
          <w:noProof/>
        </w:rPr>
      </w:pPr>
      <w:r w:rsidRPr="007B7EB7">
        <w:t>(42)</w:t>
      </w:r>
      <w:r w:rsidRPr="007B7EB7">
        <w:tab/>
      </w:r>
      <w:r w:rsidR="008E648C" w:rsidRPr="004F6DAA">
        <w:rPr>
          <w:noProof/>
        </w:rPr>
        <w:t>Jeśli chodzi</w:t>
      </w:r>
      <w:r w:rsidR="00062BFA" w:rsidRPr="004F6DAA">
        <w:rPr>
          <w:noProof/>
        </w:rPr>
        <w:t xml:space="preserve"> o</w:t>
      </w:r>
      <w:r w:rsidR="00062BFA">
        <w:rPr>
          <w:noProof/>
        </w:rPr>
        <w:t> </w:t>
      </w:r>
      <w:r w:rsidR="00062BFA" w:rsidRPr="004F6DAA">
        <w:rPr>
          <w:noProof/>
        </w:rPr>
        <w:t>odn</w:t>
      </w:r>
      <w:r w:rsidR="008E648C" w:rsidRPr="004F6DAA">
        <w:rPr>
          <w:noProof/>
        </w:rPr>
        <w:t>ośne towary</w:t>
      </w:r>
      <w:r w:rsidR="00062BFA" w:rsidRPr="004F6DAA">
        <w:rPr>
          <w:noProof/>
        </w:rPr>
        <w:t xml:space="preserve"> i</w:t>
      </w:r>
      <w:r w:rsidR="00062BFA">
        <w:rPr>
          <w:noProof/>
        </w:rPr>
        <w:t> </w:t>
      </w:r>
      <w:r w:rsidR="00062BFA" w:rsidRPr="004F6DAA">
        <w:rPr>
          <w:noProof/>
        </w:rPr>
        <w:t>pro</w:t>
      </w:r>
      <w:r w:rsidR="008E648C" w:rsidRPr="004F6DAA">
        <w:rPr>
          <w:noProof/>
        </w:rPr>
        <w:t>dukty wprowadzane na rynek unijny lub</w:t>
      </w:r>
      <w:r w:rsidR="00062BFA" w:rsidRPr="004F6DAA">
        <w:rPr>
          <w:noProof/>
        </w:rPr>
        <w:t xml:space="preserve"> z</w:t>
      </w:r>
      <w:r w:rsidR="00062BFA">
        <w:rPr>
          <w:noProof/>
        </w:rPr>
        <w:t> </w:t>
      </w:r>
      <w:r w:rsidR="00062BFA" w:rsidRPr="004F6DAA">
        <w:rPr>
          <w:noProof/>
        </w:rPr>
        <w:t>nie</w:t>
      </w:r>
      <w:r w:rsidR="008E648C" w:rsidRPr="004F6DAA">
        <w:rPr>
          <w:noProof/>
        </w:rPr>
        <w:t>go wyprowadzane, na właściwych organach spoczywa zadanie weryfikacji zgodności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w:t>
      </w:r>
      <w:r w:rsidR="00062BFA" w:rsidRPr="004F6DAA">
        <w:rPr>
          <w:noProof/>
        </w:rPr>
        <w:t xml:space="preserve"> z</w:t>
      </w:r>
      <w:r w:rsidR="00062BFA">
        <w:rPr>
          <w:noProof/>
        </w:rPr>
        <w:t> </w:t>
      </w:r>
      <w:r w:rsidR="00062BFA" w:rsidRPr="004F6DAA">
        <w:rPr>
          <w:noProof/>
        </w:rPr>
        <w:t>obo</w:t>
      </w:r>
      <w:r w:rsidR="008E648C" w:rsidRPr="004F6DAA">
        <w:rPr>
          <w:noProof/>
        </w:rPr>
        <w:t>wiązkami wynikającymi</w:t>
      </w:r>
      <w:r w:rsidR="00062BFA" w:rsidRPr="004F6DAA">
        <w:rPr>
          <w:noProof/>
        </w:rPr>
        <w:t xml:space="preserve"> z</w:t>
      </w:r>
      <w:r w:rsidR="00062BFA">
        <w:rPr>
          <w:noProof/>
        </w:rPr>
        <w:t> </w:t>
      </w:r>
      <w:r w:rsidR="00062BFA" w:rsidRPr="004F6DAA">
        <w:rPr>
          <w:noProof/>
        </w:rPr>
        <w:t>nin</w:t>
      </w:r>
      <w:r w:rsidR="008E648C" w:rsidRPr="004F6DAA">
        <w:rPr>
          <w:noProof/>
        </w:rPr>
        <w:t>iejszego rozporządzenia; rolą organów celnych jest natomiast zapewnienie, aby</w:t>
      </w:r>
      <w:r w:rsidR="00062BFA" w:rsidRPr="004F6DAA">
        <w:rPr>
          <w:noProof/>
        </w:rPr>
        <w:t xml:space="preserve"> w</w:t>
      </w:r>
      <w:r w:rsidR="00062BFA">
        <w:rPr>
          <w:noProof/>
        </w:rPr>
        <w:t> </w:t>
      </w:r>
      <w:r w:rsidR="00062BFA" w:rsidRPr="004F6DAA">
        <w:rPr>
          <w:noProof/>
        </w:rPr>
        <w:t>sto</w:t>
      </w:r>
      <w:r w:rsidR="008E648C" w:rsidRPr="004F6DAA">
        <w:rPr>
          <w:noProof/>
        </w:rPr>
        <w:t>sownych przypadkach</w:t>
      </w:r>
      <w:r w:rsidR="00062BFA" w:rsidRPr="004F6DAA">
        <w:rPr>
          <w:noProof/>
        </w:rPr>
        <w:t xml:space="preserve"> w</w:t>
      </w:r>
      <w:r w:rsidR="00062BFA">
        <w:rPr>
          <w:noProof/>
        </w:rPr>
        <w:t> </w:t>
      </w:r>
      <w:r w:rsidR="00062BFA" w:rsidRPr="004F6DAA">
        <w:rPr>
          <w:noProof/>
        </w:rPr>
        <w:t>zgł</w:t>
      </w:r>
      <w:r w:rsidR="008E648C" w:rsidRPr="004F6DAA">
        <w:rPr>
          <w:noProof/>
        </w:rPr>
        <w:t>oszeniu celnym podano odniesienie do oświadczenia</w:t>
      </w:r>
      <w:r w:rsidR="00062BFA" w:rsidRPr="004F6DAA">
        <w:rPr>
          <w:noProof/>
        </w:rPr>
        <w:t xml:space="preserve"> o</w:t>
      </w:r>
      <w:r w:rsidR="00062BFA">
        <w:rPr>
          <w:noProof/>
        </w:rPr>
        <w:t> </w:t>
      </w:r>
      <w:r w:rsidR="00062BFA" w:rsidRPr="004F6DAA">
        <w:rPr>
          <w:noProof/>
        </w:rPr>
        <w:t>zac</w:t>
      </w:r>
      <w:r w:rsidR="008E648C" w:rsidRPr="004F6DAA">
        <w:rPr>
          <w:noProof/>
        </w:rPr>
        <w:t>howaniu należytej staranności, oraz dodatkowo, od chwili,</w:t>
      </w:r>
      <w:r w:rsidR="00062BFA" w:rsidRPr="004F6DAA">
        <w:rPr>
          <w:noProof/>
        </w:rPr>
        <w:t xml:space="preserve"> w</w:t>
      </w:r>
      <w:r w:rsidR="00062BFA">
        <w:rPr>
          <w:noProof/>
        </w:rPr>
        <w:t> </w:t>
      </w:r>
      <w:r w:rsidR="00062BFA" w:rsidRPr="004F6DAA">
        <w:rPr>
          <w:noProof/>
        </w:rPr>
        <w:t>któ</w:t>
      </w:r>
      <w:r w:rsidR="008E648C" w:rsidRPr="004F6DAA">
        <w:rPr>
          <w:noProof/>
        </w:rPr>
        <w:t>rej dostępny będzie elektroniczny interfejs służący wymianie informacji między organami celnymi</w:t>
      </w:r>
      <w:r w:rsidR="00062BFA" w:rsidRPr="004F6DAA">
        <w:rPr>
          <w:noProof/>
        </w:rPr>
        <w:t xml:space="preserve"> a</w:t>
      </w:r>
      <w:r w:rsidR="00062BFA">
        <w:rPr>
          <w:noProof/>
        </w:rPr>
        <w:t> </w:t>
      </w:r>
      <w:r w:rsidR="00062BFA" w:rsidRPr="004F6DAA">
        <w:rPr>
          <w:noProof/>
        </w:rPr>
        <w:t>wła</w:t>
      </w:r>
      <w:r w:rsidR="008E648C" w:rsidRPr="004F6DAA">
        <w:rPr>
          <w:noProof/>
        </w:rPr>
        <w:t>ściwymi organami, kontrola statusu oświadczenia</w:t>
      </w:r>
      <w:r w:rsidR="00062BFA" w:rsidRPr="004F6DAA">
        <w:rPr>
          <w:noProof/>
        </w:rPr>
        <w:t xml:space="preserve"> o</w:t>
      </w:r>
      <w:r w:rsidR="00062BFA">
        <w:rPr>
          <w:noProof/>
        </w:rPr>
        <w:t> </w:t>
      </w:r>
      <w:r w:rsidR="00062BFA" w:rsidRPr="004F6DAA">
        <w:rPr>
          <w:noProof/>
        </w:rPr>
        <w:t>zac</w:t>
      </w:r>
      <w:r w:rsidR="008E648C" w:rsidRPr="004F6DAA">
        <w:rPr>
          <w:noProof/>
        </w:rPr>
        <w:t>howaniu należytej staranności po przeprowadzeniu przez właściwe organy wstępnej analizy ryzyka</w:t>
      </w:r>
      <w:r w:rsidR="00062BFA" w:rsidRPr="004F6DAA">
        <w:rPr>
          <w:noProof/>
        </w:rPr>
        <w:t xml:space="preserve"> w</w:t>
      </w:r>
      <w:r w:rsidR="00062BFA">
        <w:rPr>
          <w:noProof/>
        </w:rPr>
        <w:t> </w:t>
      </w:r>
      <w:r w:rsidR="00062BFA" w:rsidRPr="004F6DAA">
        <w:rPr>
          <w:noProof/>
        </w:rPr>
        <w:t>sys</w:t>
      </w:r>
      <w:r w:rsidR="008E648C" w:rsidRPr="004F6DAA">
        <w:rPr>
          <w:noProof/>
        </w:rPr>
        <w:t>temie informacyjnym oraz podjęcie stosownego działania (tj. zawieszenie lub odmowa dotyczące towaru lub produktu, jeżeli</w:t>
      </w:r>
      <w:r w:rsidR="00062BFA" w:rsidRPr="004F6DAA">
        <w:rPr>
          <w:noProof/>
        </w:rPr>
        <w:t xml:space="preserve"> w</w:t>
      </w:r>
      <w:r w:rsidR="00062BFA">
        <w:rPr>
          <w:noProof/>
        </w:rPr>
        <w:t> </w:t>
      </w:r>
      <w:r w:rsidR="00062BFA" w:rsidRPr="004F6DAA">
        <w:rPr>
          <w:noProof/>
        </w:rPr>
        <w:t>sta</w:t>
      </w:r>
      <w:r w:rsidR="008E648C" w:rsidRPr="004F6DAA">
        <w:rPr>
          <w:noProof/>
        </w:rPr>
        <w:t>tusie</w:t>
      </w:r>
      <w:r w:rsidR="00062BFA" w:rsidRPr="004F6DAA">
        <w:rPr>
          <w:noProof/>
        </w:rPr>
        <w:t xml:space="preserve"> w</w:t>
      </w:r>
      <w:r w:rsidR="00062BFA">
        <w:rPr>
          <w:noProof/>
        </w:rPr>
        <w:t> </w:t>
      </w:r>
      <w:r w:rsidR="00062BFA" w:rsidRPr="004F6DAA">
        <w:rPr>
          <w:noProof/>
        </w:rPr>
        <w:t>sys</w:t>
      </w:r>
      <w:r w:rsidR="008E648C" w:rsidRPr="004F6DAA">
        <w:rPr>
          <w:noProof/>
        </w:rPr>
        <w:t>temie informacyjnym pojawi się taki wniosek). Ta szczególna organizacja kontroli sprawia, że rozdział VII rozporządzenia (UE) 2019/1020 nie ma zastosowania</w:t>
      </w:r>
      <w:r w:rsidR="00062BFA" w:rsidRPr="004F6DAA">
        <w:rPr>
          <w:noProof/>
        </w:rPr>
        <w:t xml:space="preserve"> w</w:t>
      </w:r>
      <w:r w:rsidR="00062BFA">
        <w:rPr>
          <w:noProof/>
        </w:rPr>
        <w:t> </w:t>
      </w:r>
      <w:r w:rsidR="00062BFA" w:rsidRPr="004F6DAA">
        <w:rPr>
          <w:noProof/>
        </w:rPr>
        <w:t>zak</w:t>
      </w:r>
      <w:r w:rsidR="008E648C" w:rsidRPr="004F6DAA">
        <w:rPr>
          <w:noProof/>
        </w:rPr>
        <w:t>resie dotyczącym stosowania</w:t>
      </w:r>
      <w:r w:rsidR="00062BFA" w:rsidRPr="004F6DAA">
        <w:rPr>
          <w:noProof/>
        </w:rPr>
        <w:t xml:space="preserve"> i</w:t>
      </w:r>
      <w:r w:rsidR="00062BFA">
        <w:rPr>
          <w:noProof/>
        </w:rPr>
        <w:t> </w:t>
      </w:r>
      <w:r w:rsidR="00062BFA" w:rsidRPr="004F6DAA">
        <w:rPr>
          <w:noProof/>
        </w:rPr>
        <w:t>egz</w:t>
      </w:r>
      <w:r w:rsidR="008E648C" w:rsidRPr="004F6DAA">
        <w:rPr>
          <w:noProof/>
        </w:rPr>
        <w:t>ekwowania niniejszego rozporządzenia.</w:t>
      </w:r>
    </w:p>
    <w:p w14:paraId="5873B3D2" w14:textId="77777777" w:rsidR="008E648C" w:rsidRPr="004F6DAA" w:rsidRDefault="007B7EB7" w:rsidP="007B7EB7">
      <w:pPr>
        <w:pStyle w:val="ManualConsidrant"/>
        <w:rPr>
          <w:noProof/>
        </w:rPr>
      </w:pPr>
      <w:r w:rsidRPr="007B7EB7">
        <w:t>(43)</w:t>
      </w:r>
      <w:r w:rsidRPr="007B7EB7">
        <w:tab/>
      </w:r>
      <w:r w:rsidR="008E648C" w:rsidRPr="004F6DAA">
        <w:rPr>
          <w:noProof/>
        </w:rPr>
        <w:t>Państwa członkowskie powinny zapewniać stałą dostępność odpowiednich zasobów finansowych, aby właściwe organy były odpowiednio obsadzone</w:t>
      </w:r>
      <w:r w:rsidR="00062BFA" w:rsidRPr="004F6DAA">
        <w:rPr>
          <w:noProof/>
        </w:rPr>
        <w:t xml:space="preserve"> i</w:t>
      </w:r>
      <w:r w:rsidR="00062BFA">
        <w:rPr>
          <w:noProof/>
        </w:rPr>
        <w:t> </w:t>
      </w:r>
      <w:r w:rsidR="00062BFA" w:rsidRPr="004F6DAA">
        <w:rPr>
          <w:noProof/>
        </w:rPr>
        <w:t>wyp</w:t>
      </w:r>
      <w:r w:rsidR="008E648C" w:rsidRPr="004F6DAA">
        <w:rPr>
          <w:noProof/>
        </w:rPr>
        <w:t>osażone. Efektywne kontrole są wymagające pod względem zasobów, dlatego</w:t>
      </w:r>
      <w:r w:rsidR="00062BFA" w:rsidRPr="004F6DAA">
        <w:rPr>
          <w:noProof/>
        </w:rPr>
        <w:t xml:space="preserve"> w</w:t>
      </w:r>
      <w:r w:rsidR="00062BFA">
        <w:rPr>
          <w:noProof/>
        </w:rPr>
        <w:t> </w:t>
      </w:r>
      <w:r w:rsidR="00062BFA" w:rsidRPr="004F6DAA">
        <w:rPr>
          <w:noProof/>
        </w:rPr>
        <w:t>każ</w:t>
      </w:r>
      <w:r w:rsidR="008E648C" w:rsidRPr="004F6DAA">
        <w:rPr>
          <w:noProof/>
        </w:rPr>
        <w:t>dej chwili powinny być dostępne stabilne zasoby na poziomie odpowiednim do potrzeb</w:t>
      </w:r>
      <w:r w:rsidR="00062BFA" w:rsidRPr="004F6DAA">
        <w:rPr>
          <w:noProof/>
        </w:rPr>
        <w:t xml:space="preserve"> w</w:t>
      </w:r>
      <w:r w:rsidR="00062BFA">
        <w:rPr>
          <w:noProof/>
        </w:rPr>
        <w:t> </w:t>
      </w:r>
      <w:r w:rsidR="00062BFA" w:rsidRPr="004F6DAA">
        <w:rPr>
          <w:noProof/>
        </w:rPr>
        <w:t>zak</w:t>
      </w:r>
      <w:r w:rsidR="008E648C" w:rsidRPr="004F6DAA">
        <w:rPr>
          <w:noProof/>
        </w:rPr>
        <w:t>resie egzekwowania przepisów. Państwa członkowskie powinny mieć możliwość uzupełnienia finansowania publicznego dzięki odzyskiwaniu od odpowiednich podmiotów gospodarczych kosztów poniesionych podczas prowadzenia kontroli dotyczących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uznanych za niezgodne</w:t>
      </w:r>
      <w:r w:rsidR="00062BFA" w:rsidRPr="004F6DAA">
        <w:rPr>
          <w:noProof/>
        </w:rPr>
        <w:t xml:space="preserve"> z</w:t>
      </w:r>
      <w:r w:rsidR="00062BFA">
        <w:rPr>
          <w:noProof/>
        </w:rPr>
        <w:t> </w:t>
      </w:r>
      <w:r w:rsidR="00062BFA" w:rsidRPr="004F6DAA">
        <w:rPr>
          <w:noProof/>
        </w:rPr>
        <w:t>wym</w:t>
      </w:r>
      <w:r w:rsidR="008E648C" w:rsidRPr="004F6DAA">
        <w:rPr>
          <w:noProof/>
        </w:rPr>
        <w:t xml:space="preserve">ogami. </w:t>
      </w:r>
    </w:p>
    <w:p w14:paraId="69C6615E" w14:textId="77777777" w:rsidR="008E648C" w:rsidRPr="004F6DAA" w:rsidRDefault="007B7EB7" w:rsidP="007B7EB7">
      <w:pPr>
        <w:pStyle w:val="ManualConsidrant"/>
        <w:rPr>
          <w:noProof/>
        </w:rPr>
      </w:pPr>
      <w:r w:rsidRPr="007B7EB7">
        <w:t>(44)</w:t>
      </w:r>
      <w:r w:rsidRPr="007B7EB7">
        <w:tab/>
      </w:r>
      <w:r w:rsidR="008E648C" w:rsidRPr="004F6DAA">
        <w:rPr>
          <w:noProof/>
        </w:rPr>
        <w:t>Niniejsze rozporządzenie nie narusza innych przepisów Unii dotyczących towarów</w:t>
      </w:r>
      <w:r w:rsidR="00062BFA" w:rsidRPr="004F6DAA">
        <w:rPr>
          <w:noProof/>
        </w:rPr>
        <w:t xml:space="preserve"> i</w:t>
      </w:r>
      <w:r w:rsidR="00062BFA">
        <w:rPr>
          <w:noProof/>
        </w:rPr>
        <w:t> </w:t>
      </w:r>
      <w:r w:rsidR="00062BFA" w:rsidRPr="004F6DAA">
        <w:rPr>
          <w:noProof/>
        </w:rPr>
        <w:t>pro</w:t>
      </w:r>
      <w:r w:rsidR="008E648C" w:rsidRPr="004F6DAA">
        <w:rPr>
          <w:noProof/>
        </w:rPr>
        <w:t>duktów wprowadzanych na rynek unijny lub</w:t>
      </w:r>
      <w:r w:rsidR="00062BFA" w:rsidRPr="004F6DAA">
        <w:rPr>
          <w:noProof/>
        </w:rPr>
        <w:t xml:space="preserve"> z</w:t>
      </w:r>
      <w:r w:rsidR="00062BFA">
        <w:rPr>
          <w:noProof/>
        </w:rPr>
        <w:t> </w:t>
      </w:r>
      <w:r w:rsidR="00062BFA" w:rsidRPr="004F6DAA">
        <w:rPr>
          <w:noProof/>
        </w:rPr>
        <w:t>nie</w:t>
      </w:r>
      <w:r w:rsidR="008E648C" w:rsidRPr="004F6DAA">
        <w:rPr>
          <w:noProof/>
        </w:rPr>
        <w:t>go wyprowadzanych,</w:t>
      </w:r>
      <w:r w:rsidR="00062BFA" w:rsidRPr="004F6DAA">
        <w:rPr>
          <w:noProof/>
        </w:rPr>
        <w:t xml:space="preserve"> w</w:t>
      </w:r>
      <w:r w:rsidR="00062BFA">
        <w:rPr>
          <w:noProof/>
        </w:rPr>
        <w:t> </w:t>
      </w:r>
      <w:r w:rsidR="00062BFA" w:rsidRPr="004F6DAA">
        <w:rPr>
          <w:noProof/>
        </w:rPr>
        <w:t>szc</w:t>
      </w:r>
      <w:r w:rsidR="008E648C" w:rsidRPr="004F6DAA">
        <w:rPr>
          <w:noProof/>
        </w:rPr>
        <w:t>zególności przepisów unijnego kodeksu celnego</w:t>
      </w:r>
      <w:r w:rsidR="00062BFA" w:rsidRPr="004F6DAA">
        <w:rPr>
          <w:noProof/>
        </w:rPr>
        <w:t xml:space="preserve"> w</w:t>
      </w:r>
      <w:r w:rsidR="00062BFA">
        <w:rPr>
          <w:noProof/>
        </w:rPr>
        <w:t> </w:t>
      </w:r>
      <w:r w:rsidR="00062BFA" w:rsidRPr="004F6DAA">
        <w:rPr>
          <w:noProof/>
        </w:rPr>
        <w:t>odn</w:t>
      </w:r>
      <w:r w:rsidR="008E648C" w:rsidRPr="004F6DAA">
        <w:rPr>
          <w:noProof/>
        </w:rPr>
        <w:t>iesieniu do uprawnień organów celnych i do kontroli celnej. Importerzy powinni pamiętać, że</w:t>
      </w:r>
      <w:r w:rsidR="00062BFA" w:rsidRPr="004F6DAA">
        <w:rPr>
          <w:noProof/>
        </w:rPr>
        <w:t xml:space="preserve"> w</w:t>
      </w:r>
      <w:r w:rsidR="00062BFA">
        <w:rPr>
          <w:noProof/>
        </w:rPr>
        <w:t> </w:t>
      </w:r>
      <w:r w:rsidR="00062BFA" w:rsidRPr="004F6DAA">
        <w:rPr>
          <w:noProof/>
        </w:rPr>
        <w:t>myś</w:t>
      </w:r>
      <w:r w:rsidR="008E648C" w:rsidRPr="004F6DAA">
        <w:rPr>
          <w:noProof/>
        </w:rPr>
        <w:t xml:space="preserve">l </w:t>
      </w:r>
      <w:r w:rsidR="008E648C" w:rsidRPr="00062BFA">
        <w:rPr>
          <w:noProof/>
        </w:rPr>
        <w:t>art.</w:t>
      </w:r>
      <w:r w:rsidR="00062BFA" w:rsidRPr="00062BFA">
        <w:rPr>
          <w:noProof/>
        </w:rPr>
        <w:t> </w:t>
      </w:r>
      <w:r w:rsidR="008E648C" w:rsidRPr="00062BFA">
        <w:rPr>
          <w:noProof/>
        </w:rPr>
        <w:t>2</w:t>
      </w:r>
      <w:r w:rsidR="008E648C" w:rsidRPr="004F6DAA">
        <w:rPr>
          <w:noProof/>
        </w:rPr>
        <w:t>20, 254, 256, 257</w:t>
      </w:r>
      <w:r w:rsidR="00062BFA" w:rsidRPr="004F6DAA">
        <w:rPr>
          <w:noProof/>
        </w:rPr>
        <w:t xml:space="preserve"> i</w:t>
      </w:r>
      <w:r w:rsidR="00062BFA">
        <w:rPr>
          <w:noProof/>
        </w:rPr>
        <w:t> </w:t>
      </w:r>
      <w:r w:rsidR="00062BFA" w:rsidRPr="004F6DAA">
        <w:rPr>
          <w:noProof/>
        </w:rPr>
        <w:t>2</w:t>
      </w:r>
      <w:r w:rsidR="008E648C" w:rsidRPr="004F6DAA">
        <w:rPr>
          <w:noProof/>
        </w:rPr>
        <w:t>58 rozporządzenia Parlamentu Europejskiego</w:t>
      </w:r>
      <w:r w:rsidR="00062BFA" w:rsidRPr="004F6DAA">
        <w:rPr>
          <w:noProof/>
        </w:rPr>
        <w:t xml:space="preserve"> i</w:t>
      </w:r>
      <w:r w:rsidR="00062BFA">
        <w:rPr>
          <w:noProof/>
        </w:rPr>
        <w:t> </w:t>
      </w:r>
      <w:r w:rsidR="00062BFA" w:rsidRPr="004F6DAA">
        <w:rPr>
          <w:noProof/>
        </w:rPr>
        <w:t>Rad</w:t>
      </w:r>
      <w:r w:rsidR="008E648C" w:rsidRPr="004F6DAA">
        <w:rPr>
          <w:noProof/>
        </w:rPr>
        <w:t xml:space="preserve">y (UE) </w:t>
      </w:r>
      <w:r w:rsidR="008E648C" w:rsidRPr="00062BFA">
        <w:rPr>
          <w:noProof/>
        </w:rPr>
        <w:t>nr</w:t>
      </w:r>
      <w:r w:rsidR="00062BFA" w:rsidRPr="00062BFA">
        <w:rPr>
          <w:noProof/>
        </w:rPr>
        <w:t> </w:t>
      </w:r>
      <w:r w:rsidR="008E648C" w:rsidRPr="00062BFA">
        <w:rPr>
          <w:noProof/>
        </w:rPr>
        <w:t>9</w:t>
      </w:r>
      <w:r w:rsidR="008E648C" w:rsidRPr="004F6DAA">
        <w:rPr>
          <w:noProof/>
        </w:rPr>
        <w:t>52/2013 produkty wprowadzane na rynek unijny, które wymagają dalszego przetworzenia, podlegają odpowiedniej procedurze celnej umożliwiającej takie przetworzenie. Co do zasady dopuszczenia do obrotu lub wywozu nie należy uznawać za dowód zgodności</w:t>
      </w:r>
      <w:r w:rsidR="00062BFA" w:rsidRPr="004F6DAA">
        <w:rPr>
          <w:noProof/>
        </w:rPr>
        <w:t xml:space="preserve"> z</w:t>
      </w:r>
      <w:r w:rsidR="00062BFA">
        <w:rPr>
          <w:noProof/>
        </w:rPr>
        <w:t> </w:t>
      </w:r>
      <w:r w:rsidR="00062BFA" w:rsidRPr="004F6DAA">
        <w:rPr>
          <w:noProof/>
        </w:rPr>
        <w:t>pra</w:t>
      </w:r>
      <w:r w:rsidR="008E648C" w:rsidRPr="004F6DAA">
        <w:rPr>
          <w:noProof/>
        </w:rPr>
        <w:t>wem Unii, gdyż niekoniecznie obejmuje ono pełną kontrolę zgodności.</w:t>
      </w:r>
    </w:p>
    <w:p w14:paraId="7A924A6E" w14:textId="77777777" w:rsidR="008E648C" w:rsidRPr="004F6DAA" w:rsidRDefault="007B7EB7" w:rsidP="007B7EB7">
      <w:pPr>
        <w:pStyle w:val="ManualConsidrant"/>
        <w:rPr>
          <w:noProof/>
        </w:rPr>
      </w:pPr>
      <w:r w:rsidRPr="007B7EB7">
        <w:t>(45)</w:t>
      </w:r>
      <w:r w:rsidRPr="007B7EB7">
        <w:tab/>
      </w:r>
      <w:r w:rsidR="008E648C" w:rsidRPr="004F6DAA">
        <w:rPr>
          <w:noProof/>
        </w:rPr>
        <w:t>Aby zoptymalizować</w:t>
      </w:r>
      <w:r w:rsidR="00062BFA" w:rsidRPr="004F6DAA">
        <w:rPr>
          <w:noProof/>
        </w:rPr>
        <w:t xml:space="preserve"> i</w:t>
      </w:r>
      <w:r w:rsidR="00062BFA">
        <w:rPr>
          <w:noProof/>
        </w:rPr>
        <w:t> </w:t>
      </w:r>
      <w:r w:rsidR="00062BFA" w:rsidRPr="004F6DAA">
        <w:rPr>
          <w:noProof/>
        </w:rPr>
        <w:t>odc</w:t>
      </w:r>
      <w:r w:rsidR="008E648C" w:rsidRPr="004F6DAA">
        <w:rPr>
          <w:noProof/>
        </w:rPr>
        <w:t>iążyć proces kontroli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wprowadzanych na rynek unijny lub</w:t>
      </w:r>
      <w:r w:rsidR="00062BFA" w:rsidRPr="004F6DAA">
        <w:rPr>
          <w:noProof/>
        </w:rPr>
        <w:t xml:space="preserve"> z</w:t>
      </w:r>
      <w:r w:rsidR="00062BFA">
        <w:rPr>
          <w:noProof/>
        </w:rPr>
        <w:t> </w:t>
      </w:r>
      <w:r w:rsidR="00062BFA" w:rsidRPr="004F6DAA">
        <w:rPr>
          <w:noProof/>
        </w:rPr>
        <w:t>nie</w:t>
      </w:r>
      <w:r w:rsidR="008E648C" w:rsidRPr="004F6DAA">
        <w:rPr>
          <w:noProof/>
        </w:rPr>
        <w:t>go wyprowadzanych, należy stworzyć elektroniczne interfejsy umożliwiające automatyczne przesyłanie danych między systemami celnymi</w:t>
      </w:r>
      <w:r w:rsidR="00062BFA" w:rsidRPr="004F6DAA">
        <w:rPr>
          <w:noProof/>
        </w:rPr>
        <w:t xml:space="preserve"> a</w:t>
      </w:r>
      <w:r w:rsidR="00062BFA">
        <w:rPr>
          <w:noProof/>
        </w:rPr>
        <w:t> </w:t>
      </w:r>
      <w:r w:rsidR="00062BFA" w:rsidRPr="004F6DAA">
        <w:rPr>
          <w:noProof/>
        </w:rPr>
        <w:t>sys</w:t>
      </w:r>
      <w:r w:rsidR="008E648C" w:rsidRPr="004F6DAA">
        <w:rPr>
          <w:noProof/>
        </w:rPr>
        <w:t>temem informacyjnym właściwych organów. Unijne środowisko jednego okienka</w:t>
      </w:r>
      <w:r w:rsidR="00062BFA" w:rsidRPr="004F6DAA">
        <w:rPr>
          <w:noProof/>
        </w:rPr>
        <w:t xml:space="preserve"> w</w:t>
      </w:r>
      <w:r w:rsidR="00062BFA">
        <w:rPr>
          <w:noProof/>
        </w:rPr>
        <w:t> </w:t>
      </w:r>
      <w:r w:rsidR="00062BFA" w:rsidRPr="004F6DAA">
        <w:rPr>
          <w:noProof/>
        </w:rPr>
        <w:t>dzi</w:t>
      </w:r>
      <w:r w:rsidR="008E648C" w:rsidRPr="004F6DAA">
        <w:rPr>
          <w:noProof/>
        </w:rPr>
        <w:t>edzinie ceł jest naturalnym kandydatem do obsługi takich transferów danych. Interfejsy powinny być wysoce zautomatyzowane</w:t>
      </w:r>
      <w:r w:rsidR="00062BFA" w:rsidRPr="004F6DAA">
        <w:rPr>
          <w:noProof/>
        </w:rPr>
        <w:t xml:space="preserve"> i</w:t>
      </w:r>
      <w:r w:rsidR="00062BFA">
        <w:rPr>
          <w:noProof/>
        </w:rPr>
        <w:t> </w:t>
      </w:r>
      <w:r w:rsidR="00062BFA" w:rsidRPr="004F6DAA">
        <w:rPr>
          <w:noProof/>
        </w:rPr>
        <w:t>łat</w:t>
      </w:r>
      <w:r w:rsidR="008E648C" w:rsidRPr="004F6DAA">
        <w:rPr>
          <w:noProof/>
        </w:rPr>
        <w:t>we</w:t>
      </w:r>
      <w:r w:rsidR="00062BFA" w:rsidRPr="004F6DAA">
        <w:rPr>
          <w:noProof/>
        </w:rPr>
        <w:t xml:space="preserve"> w</w:t>
      </w:r>
      <w:r w:rsidR="00062BFA">
        <w:rPr>
          <w:noProof/>
        </w:rPr>
        <w:t> </w:t>
      </w:r>
      <w:r w:rsidR="00062BFA" w:rsidRPr="004F6DAA">
        <w:rPr>
          <w:noProof/>
        </w:rPr>
        <w:t>obs</w:t>
      </w:r>
      <w:r w:rsidR="008E648C" w:rsidRPr="004F6DAA">
        <w:rPr>
          <w:noProof/>
        </w:rPr>
        <w:t>łudze,</w:t>
      </w:r>
      <w:r w:rsidR="00062BFA" w:rsidRPr="004F6DAA">
        <w:rPr>
          <w:noProof/>
        </w:rPr>
        <w:t xml:space="preserve"> a</w:t>
      </w:r>
      <w:r w:rsidR="00062BFA">
        <w:rPr>
          <w:noProof/>
        </w:rPr>
        <w:t> </w:t>
      </w:r>
      <w:r w:rsidR="00062BFA" w:rsidRPr="004F6DAA">
        <w:rPr>
          <w:noProof/>
        </w:rPr>
        <w:t>pon</w:t>
      </w:r>
      <w:r w:rsidR="008E648C" w:rsidRPr="004F6DAA">
        <w:rPr>
          <w:noProof/>
        </w:rPr>
        <w:t>adto należy ograniczyć dodatkowe obciążenie dla organów celnych. Ponadto, mając na uwadze niewielkie różnice między danymi, które należy zadeklarować odpowiednio</w:t>
      </w:r>
      <w:r w:rsidR="00062BFA" w:rsidRPr="004F6DAA">
        <w:rPr>
          <w:noProof/>
        </w:rPr>
        <w:t xml:space="preserve"> w</w:t>
      </w:r>
      <w:r w:rsidR="00062BFA">
        <w:rPr>
          <w:noProof/>
        </w:rPr>
        <w:t> </w:t>
      </w:r>
      <w:r w:rsidR="00062BFA" w:rsidRPr="004F6DAA">
        <w:rPr>
          <w:noProof/>
        </w:rPr>
        <w:t>zgł</w:t>
      </w:r>
      <w:r w:rsidR="008E648C" w:rsidRPr="004F6DAA">
        <w:rPr>
          <w:noProof/>
        </w:rPr>
        <w:t>oszeniu celnym</w:t>
      </w:r>
      <w:r w:rsidR="00062BFA" w:rsidRPr="004F6DAA">
        <w:rPr>
          <w:noProof/>
        </w:rPr>
        <w:t xml:space="preserve"> i</w:t>
      </w:r>
      <w:r w:rsidR="00062BFA">
        <w:rPr>
          <w:noProof/>
        </w:rPr>
        <w:t> </w:t>
      </w:r>
      <w:r w:rsidR="00062BFA" w:rsidRPr="004F6DAA">
        <w:rPr>
          <w:noProof/>
        </w:rPr>
        <w:t>w</w:t>
      </w:r>
      <w:r w:rsidR="00062BFA">
        <w:rPr>
          <w:noProof/>
        </w:rPr>
        <w:t> </w:t>
      </w:r>
      <w:r w:rsidR="00062BFA" w:rsidRPr="004F6DAA">
        <w:rPr>
          <w:noProof/>
        </w:rPr>
        <w:t>ośw</w:t>
      </w:r>
      <w:r w:rsidR="008E648C" w:rsidRPr="004F6DAA">
        <w:rPr>
          <w:noProof/>
        </w:rPr>
        <w:t>iadczeniu</w:t>
      </w:r>
      <w:r w:rsidR="00062BFA" w:rsidRPr="004F6DAA">
        <w:rPr>
          <w:noProof/>
        </w:rPr>
        <w:t xml:space="preserve"> o</w:t>
      </w:r>
      <w:r w:rsidR="00062BFA">
        <w:rPr>
          <w:noProof/>
        </w:rPr>
        <w:t> </w:t>
      </w:r>
      <w:r w:rsidR="00062BFA" w:rsidRPr="004F6DAA">
        <w:rPr>
          <w:noProof/>
        </w:rPr>
        <w:t>zac</w:t>
      </w:r>
      <w:r w:rsidR="008E648C" w:rsidRPr="004F6DAA">
        <w:rPr>
          <w:noProof/>
        </w:rPr>
        <w:t>howaniu należytej staranności, należy również zaproponować podejście</w:t>
      </w:r>
      <w:r w:rsidR="00062BFA" w:rsidRPr="004F6DAA">
        <w:rPr>
          <w:noProof/>
        </w:rPr>
        <w:t xml:space="preserve"> w</w:t>
      </w:r>
      <w:r w:rsidR="00062BFA">
        <w:rPr>
          <w:noProof/>
        </w:rPr>
        <w:t> </w:t>
      </w:r>
      <w:r w:rsidR="00062BFA" w:rsidRPr="004F6DAA">
        <w:rPr>
          <w:noProof/>
        </w:rPr>
        <w:t>zak</w:t>
      </w:r>
      <w:r w:rsidR="008E648C" w:rsidRPr="004F6DAA">
        <w:rPr>
          <w:noProof/>
        </w:rPr>
        <w:t>resie wymiany danych między przedsiębiorstwami</w:t>
      </w:r>
      <w:r w:rsidR="00062BFA" w:rsidRPr="004F6DAA">
        <w:rPr>
          <w:noProof/>
        </w:rPr>
        <w:t xml:space="preserve"> a</w:t>
      </w:r>
      <w:r w:rsidR="00062BFA">
        <w:rPr>
          <w:noProof/>
        </w:rPr>
        <w:t> </w:t>
      </w:r>
      <w:r w:rsidR="00062BFA" w:rsidRPr="004F6DAA">
        <w:rPr>
          <w:noProof/>
        </w:rPr>
        <w:t>adm</w:t>
      </w:r>
      <w:r w:rsidR="008E648C" w:rsidRPr="004F6DAA">
        <w:rPr>
          <w:noProof/>
        </w:rPr>
        <w:t>inistracją publiczną,</w:t>
      </w:r>
      <w:r w:rsidR="00062BFA" w:rsidRPr="004F6DAA">
        <w:rPr>
          <w:noProof/>
        </w:rPr>
        <w:t xml:space="preserve"> w</w:t>
      </w:r>
      <w:r w:rsidR="00062BFA">
        <w:rPr>
          <w:noProof/>
        </w:rPr>
        <w:t> </w:t>
      </w:r>
      <w:r w:rsidR="00062BFA" w:rsidRPr="004F6DAA">
        <w:rPr>
          <w:noProof/>
        </w:rPr>
        <w:t>ram</w:t>
      </w:r>
      <w:r w:rsidR="008E648C" w:rsidRPr="004F6DAA">
        <w:rPr>
          <w:noProof/>
        </w:rPr>
        <w:t>ach którego podmioty handlowe</w:t>
      </w:r>
      <w:r w:rsidR="00062BFA" w:rsidRPr="004F6DAA">
        <w:rPr>
          <w:noProof/>
        </w:rPr>
        <w:t xml:space="preserve"> i</w:t>
      </w:r>
      <w:r w:rsidR="00062BFA">
        <w:rPr>
          <w:noProof/>
        </w:rPr>
        <w:t> </w:t>
      </w:r>
      <w:r w:rsidR="00062BFA" w:rsidRPr="004F6DAA">
        <w:rPr>
          <w:noProof/>
        </w:rPr>
        <w:t>pod</w:t>
      </w:r>
      <w:r w:rsidR="008E648C" w:rsidRPr="004F6DAA">
        <w:rPr>
          <w:noProof/>
        </w:rPr>
        <w:t>mioty gospodarcze udostępniają oświadczenie</w:t>
      </w:r>
      <w:r w:rsidR="00062BFA" w:rsidRPr="004F6DAA">
        <w:rPr>
          <w:noProof/>
        </w:rPr>
        <w:t xml:space="preserve"> o</w:t>
      </w:r>
      <w:r w:rsidR="00062BFA">
        <w:rPr>
          <w:noProof/>
        </w:rPr>
        <w:t> </w:t>
      </w:r>
      <w:r w:rsidR="00062BFA" w:rsidRPr="004F6DAA">
        <w:rPr>
          <w:noProof/>
        </w:rPr>
        <w:t>zac</w:t>
      </w:r>
      <w:r w:rsidR="008E648C" w:rsidRPr="004F6DAA">
        <w:rPr>
          <w:noProof/>
        </w:rPr>
        <w:t>howaniu należytej staranności odnośnego towaru lub produktu za pośrednictwem krajowego środowiska jednego okienka</w:t>
      </w:r>
      <w:r w:rsidR="00062BFA" w:rsidRPr="004F6DAA">
        <w:rPr>
          <w:noProof/>
        </w:rPr>
        <w:t xml:space="preserve"> w</w:t>
      </w:r>
      <w:r w:rsidR="00062BFA">
        <w:rPr>
          <w:noProof/>
        </w:rPr>
        <w:t> </w:t>
      </w:r>
      <w:r w:rsidR="00062BFA" w:rsidRPr="004F6DAA">
        <w:rPr>
          <w:noProof/>
        </w:rPr>
        <w:t>dzi</w:t>
      </w:r>
      <w:r w:rsidR="008E648C" w:rsidRPr="004F6DAA">
        <w:rPr>
          <w:noProof/>
        </w:rPr>
        <w:t>edzinie ceł,</w:t>
      </w:r>
      <w:r w:rsidR="00062BFA" w:rsidRPr="004F6DAA">
        <w:rPr>
          <w:noProof/>
        </w:rPr>
        <w:t xml:space="preserve"> a</w:t>
      </w:r>
      <w:r w:rsidR="00062BFA">
        <w:rPr>
          <w:noProof/>
        </w:rPr>
        <w:t> </w:t>
      </w:r>
      <w:r w:rsidR="00062BFA" w:rsidRPr="004F6DAA">
        <w:rPr>
          <w:noProof/>
        </w:rPr>
        <w:t>ośw</w:t>
      </w:r>
      <w:r w:rsidR="008E648C" w:rsidRPr="004F6DAA">
        <w:rPr>
          <w:noProof/>
        </w:rPr>
        <w:t>iadczenie to jest automatycznie przekazywane do systemu informacyjnego stosowanego przez właściwe organy. Organy celne</w:t>
      </w:r>
      <w:r w:rsidR="00062BFA" w:rsidRPr="004F6DAA">
        <w:rPr>
          <w:noProof/>
        </w:rPr>
        <w:t xml:space="preserve"> i</w:t>
      </w:r>
      <w:r w:rsidR="00062BFA">
        <w:rPr>
          <w:noProof/>
        </w:rPr>
        <w:t> </w:t>
      </w:r>
      <w:r w:rsidR="00062BFA" w:rsidRPr="004F6DAA">
        <w:rPr>
          <w:noProof/>
        </w:rPr>
        <w:t>wła</w:t>
      </w:r>
      <w:r w:rsidR="008E648C" w:rsidRPr="004F6DAA">
        <w:rPr>
          <w:noProof/>
        </w:rPr>
        <w:t>ściwe organy powinny brać udział</w:t>
      </w:r>
      <w:r w:rsidR="00062BFA" w:rsidRPr="004F6DAA">
        <w:rPr>
          <w:noProof/>
        </w:rPr>
        <w:t xml:space="preserve"> w</w:t>
      </w:r>
      <w:r w:rsidR="00062BFA">
        <w:rPr>
          <w:noProof/>
        </w:rPr>
        <w:t> </w:t>
      </w:r>
      <w:r w:rsidR="00062BFA" w:rsidRPr="004F6DAA">
        <w:rPr>
          <w:noProof/>
        </w:rPr>
        <w:t>okr</w:t>
      </w:r>
      <w:r w:rsidR="008E648C" w:rsidRPr="004F6DAA">
        <w:rPr>
          <w:noProof/>
        </w:rPr>
        <w:t>eśleniu danych, jakie mają być przekazywane,</w:t>
      </w:r>
      <w:r w:rsidR="00062BFA" w:rsidRPr="004F6DAA">
        <w:rPr>
          <w:noProof/>
        </w:rPr>
        <w:t xml:space="preserve"> i</w:t>
      </w:r>
      <w:r w:rsidR="00062BFA">
        <w:rPr>
          <w:noProof/>
        </w:rPr>
        <w:t> </w:t>
      </w:r>
      <w:r w:rsidR="00062BFA" w:rsidRPr="004F6DAA">
        <w:rPr>
          <w:noProof/>
        </w:rPr>
        <w:t>wsz</w:t>
      </w:r>
      <w:r w:rsidR="008E648C" w:rsidRPr="004F6DAA">
        <w:rPr>
          <w:noProof/>
        </w:rPr>
        <w:t>elkich innych wymogów technicznych.</w:t>
      </w:r>
    </w:p>
    <w:p w14:paraId="593E64C1" w14:textId="77777777" w:rsidR="008E648C" w:rsidRPr="004F6DAA" w:rsidRDefault="007B7EB7" w:rsidP="007B7EB7">
      <w:pPr>
        <w:pStyle w:val="ManualConsidrant"/>
        <w:rPr>
          <w:noProof/>
        </w:rPr>
      </w:pPr>
      <w:r w:rsidRPr="007B7EB7">
        <w:t>(46)</w:t>
      </w:r>
      <w:r w:rsidRPr="007B7EB7">
        <w:tab/>
      </w:r>
      <w:r w:rsidR="008E648C" w:rsidRPr="004F6DAA">
        <w:rPr>
          <w:noProof/>
        </w:rPr>
        <w:t>Ryzyko wprowadzenia do obrotu</w:t>
      </w:r>
      <w:r w:rsidR="00062BFA" w:rsidRPr="004F6DAA">
        <w:rPr>
          <w:noProof/>
        </w:rPr>
        <w:t xml:space="preserve"> w</w:t>
      </w:r>
      <w:r w:rsidR="00062BFA">
        <w:rPr>
          <w:noProof/>
        </w:rPr>
        <w:t> </w:t>
      </w:r>
      <w:r w:rsidR="00062BFA" w:rsidRPr="004F6DAA">
        <w:rPr>
          <w:noProof/>
        </w:rPr>
        <w:t>Uni</w:t>
      </w:r>
      <w:r w:rsidR="008E648C" w:rsidRPr="004F6DAA">
        <w:rPr>
          <w:noProof/>
        </w:rPr>
        <w:t>i towarów</w:t>
      </w:r>
      <w:r w:rsidR="00062BFA" w:rsidRPr="004F6DAA">
        <w:rPr>
          <w:noProof/>
        </w:rPr>
        <w:t xml:space="preserve"> i</w:t>
      </w:r>
      <w:r w:rsidR="00062BFA">
        <w:rPr>
          <w:noProof/>
        </w:rPr>
        <w:t> </w:t>
      </w:r>
      <w:r w:rsidR="00062BFA" w:rsidRPr="004F6DAA">
        <w:rPr>
          <w:noProof/>
        </w:rPr>
        <w:t>pro</w:t>
      </w:r>
      <w:r w:rsidR="008E648C" w:rsidRPr="004F6DAA">
        <w:rPr>
          <w:noProof/>
        </w:rPr>
        <w:t>duktów niezgodnych</w:t>
      </w:r>
      <w:r w:rsidR="00062BFA" w:rsidRPr="004F6DAA">
        <w:rPr>
          <w:noProof/>
        </w:rPr>
        <w:t xml:space="preserve"> z</w:t>
      </w:r>
      <w:r w:rsidR="00062BFA">
        <w:rPr>
          <w:noProof/>
        </w:rPr>
        <w:t> </w:t>
      </w:r>
      <w:r w:rsidR="00062BFA" w:rsidRPr="004F6DAA">
        <w:rPr>
          <w:noProof/>
        </w:rPr>
        <w:t>wym</w:t>
      </w:r>
      <w:r w:rsidR="008E648C" w:rsidRPr="004F6DAA">
        <w:rPr>
          <w:noProof/>
        </w:rPr>
        <w:t>ogami różni się</w:t>
      </w:r>
      <w:r w:rsidR="00062BFA" w:rsidRPr="004F6DAA">
        <w:rPr>
          <w:noProof/>
        </w:rPr>
        <w:t xml:space="preserve"> w</w:t>
      </w:r>
      <w:r w:rsidR="00062BFA">
        <w:rPr>
          <w:noProof/>
        </w:rPr>
        <w:t> </w:t>
      </w:r>
      <w:r w:rsidR="00062BFA" w:rsidRPr="004F6DAA">
        <w:rPr>
          <w:noProof/>
        </w:rPr>
        <w:t>zal</w:t>
      </w:r>
      <w:r w:rsidR="008E648C" w:rsidRPr="004F6DAA">
        <w:rPr>
          <w:noProof/>
        </w:rPr>
        <w:t>eżności od towaru</w:t>
      </w:r>
      <w:r w:rsidR="00062BFA" w:rsidRPr="004F6DAA">
        <w:rPr>
          <w:noProof/>
        </w:rPr>
        <w:t xml:space="preserve"> i</w:t>
      </w:r>
      <w:r w:rsidR="00062BFA">
        <w:rPr>
          <w:noProof/>
        </w:rPr>
        <w:t> </w:t>
      </w:r>
      <w:r w:rsidR="00062BFA" w:rsidRPr="004F6DAA">
        <w:rPr>
          <w:noProof/>
        </w:rPr>
        <w:t>pro</w:t>
      </w:r>
      <w:r w:rsidR="008E648C" w:rsidRPr="004F6DAA">
        <w:rPr>
          <w:noProof/>
        </w:rPr>
        <w:t>duktu,</w:t>
      </w:r>
      <w:r w:rsidR="00062BFA" w:rsidRPr="004F6DAA">
        <w:rPr>
          <w:noProof/>
        </w:rPr>
        <w:t xml:space="preserve"> a</w:t>
      </w:r>
      <w:r w:rsidR="00062BFA">
        <w:rPr>
          <w:noProof/>
        </w:rPr>
        <w:t> </w:t>
      </w:r>
      <w:r w:rsidR="00062BFA" w:rsidRPr="004F6DAA">
        <w:rPr>
          <w:noProof/>
        </w:rPr>
        <w:t>tak</w:t>
      </w:r>
      <w:r w:rsidR="008E648C" w:rsidRPr="004F6DAA">
        <w:rPr>
          <w:noProof/>
        </w:rPr>
        <w:t>że od ich kraju pochodzenia</w:t>
      </w:r>
      <w:r w:rsidR="00062BFA" w:rsidRPr="004F6DAA">
        <w:rPr>
          <w:noProof/>
        </w:rPr>
        <w:t xml:space="preserve"> i</w:t>
      </w:r>
      <w:r w:rsidR="00062BFA">
        <w:rPr>
          <w:noProof/>
        </w:rPr>
        <w:t> </w:t>
      </w:r>
      <w:r w:rsidR="00062BFA" w:rsidRPr="004F6DAA">
        <w:rPr>
          <w:noProof/>
        </w:rPr>
        <w:t>pro</w:t>
      </w:r>
      <w:r w:rsidR="008E648C" w:rsidRPr="004F6DAA">
        <w:rPr>
          <w:noProof/>
        </w:rPr>
        <w:t>dukcji. Podmioty pozyskujące towary</w:t>
      </w:r>
      <w:r w:rsidR="00062BFA" w:rsidRPr="004F6DAA">
        <w:rPr>
          <w:noProof/>
        </w:rPr>
        <w:t xml:space="preserve"> i</w:t>
      </w:r>
      <w:r w:rsidR="00062BFA">
        <w:rPr>
          <w:noProof/>
        </w:rPr>
        <w:t> </w:t>
      </w:r>
      <w:r w:rsidR="00062BFA" w:rsidRPr="004F6DAA">
        <w:rPr>
          <w:noProof/>
        </w:rPr>
        <w:t>pro</w:t>
      </w:r>
      <w:r w:rsidR="008E648C" w:rsidRPr="004F6DAA">
        <w:rPr>
          <w:noProof/>
        </w:rPr>
        <w:t>dukty</w:t>
      </w:r>
      <w:r w:rsidR="00062BFA" w:rsidRPr="004F6DAA">
        <w:rPr>
          <w:noProof/>
        </w:rPr>
        <w:t xml:space="preserve"> z</w:t>
      </w:r>
      <w:r w:rsidR="00062BFA">
        <w:rPr>
          <w:noProof/>
        </w:rPr>
        <w:t> </w:t>
      </w:r>
      <w:r w:rsidR="00062BFA" w:rsidRPr="004F6DAA">
        <w:rPr>
          <w:noProof/>
        </w:rPr>
        <w:t>kra</w:t>
      </w:r>
      <w:r w:rsidR="008E648C" w:rsidRPr="004F6DAA">
        <w:rPr>
          <w:noProof/>
        </w:rPr>
        <w:t>jów lub ich części obarczonych niskim ryzykiem uprawy, pozyskiwania lub produkowania odnośnych towarów</w:t>
      </w:r>
      <w:r w:rsidR="00062BFA" w:rsidRPr="004F6DAA">
        <w:rPr>
          <w:noProof/>
        </w:rPr>
        <w:t xml:space="preserve"> z</w:t>
      </w:r>
      <w:r w:rsidR="00062BFA">
        <w:rPr>
          <w:noProof/>
        </w:rPr>
        <w:t> </w:t>
      </w:r>
      <w:r w:rsidR="00062BFA" w:rsidRPr="004F6DAA">
        <w:rPr>
          <w:noProof/>
        </w:rPr>
        <w:t>nar</w:t>
      </w:r>
      <w:r w:rsidR="008E648C" w:rsidRPr="004F6DAA">
        <w:rPr>
          <w:noProof/>
        </w:rPr>
        <w:t>uszeniem przepisów niniejszego rozporządzenia powinny mieć mniej obowiązków, co ograniczy koszty przestrzegania przepisów</w:t>
      </w:r>
      <w:r w:rsidR="00062BFA" w:rsidRPr="004F6DAA">
        <w:rPr>
          <w:noProof/>
        </w:rPr>
        <w:t xml:space="preserve"> i</w:t>
      </w:r>
      <w:r w:rsidR="00062BFA">
        <w:rPr>
          <w:noProof/>
        </w:rPr>
        <w:t> </w:t>
      </w:r>
      <w:r w:rsidR="00062BFA" w:rsidRPr="004F6DAA">
        <w:rPr>
          <w:noProof/>
        </w:rPr>
        <w:t>obc</w:t>
      </w:r>
      <w:r w:rsidR="008E648C" w:rsidRPr="004F6DAA">
        <w:rPr>
          <w:noProof/>
        </w:rPr>
        <w:t>iążenie administracyjne. Towary</w:t>
      </w:r>
      <w:r w:rsidR="00062BFA" w:rsidRPr="004F6DAA">
        <w:rPr>
          <w:noProof/>
        </w:rPr>
        <w:t xml:space="preserve"> i</w:t>
      </w:r>
      <w:r w:rsidR="00062BFA">
        <w:rPr>
          <w:noProof/>
        </w:rPr>
        <w:t> </w:t>
      </w:r>
      <w:r w:rsidR="00062BFA" w:rsidRPr="004F6DAA">
        <w:rPr>
          <w:noProof/>
        </w:rPr>
        <w:t>pro</w:t>
      </w:r>
      <w:r w:rsidR="008E648C" w:rsidRPr="004F6DAA">
        <w:rPr>
          <w:noProof/>
        </w:rPr>
        <w:t>dukty pochodzące</w:t>
      </w:r>
      <w:r w:rsidR="00062BFA" w:rsidRPr="004F6DAA">
        <w:rPr>
          <w:noProof/>
        </w:rPr>
        <w:t xml:space="preserve"> z</w:t>
      </w:r>
      <w:r w:rsidR="00062BFA">
        <w:rPr>
          <w:noProof/>
        </w:rPr>
        <w:t> </w:t>
      </w:r>
      <w:r w:rsidR="00062BFA" w:rsidRPr="004F6DAA">
        <w:rPr>
          <w:noProof/>
        </w:rPr>
        <w:t>kra</w:t>
      </w:r>
      <w:r w:rsidR="008E648C" w:rsidRPr="004F6DAA">
        <w:rPr>
          <w:noProof/>
        </w:rPr>
        <w:t>jów lub ich części obarczonych wysokim ryzykiem powinny podlegać zaostrzonej kontroli ze strony właściwych organów.</w:t>
      </w:r>
    </w:p>
    <w:p w14:paraId="49AC37A0" w14:textId="77777777" w:rsidR="008E648C" w:rsidRPr="004F6DAA" w:rsidRDefault="007B7EB7" w:rsidP="007B7EB7">
      <w:pPr>
        <w:pStyle w:val="ManualConsidrant"/>
        <w:rPr>
          <w:noProof/>
        </w:rPr>
      </w:pPr>
      <w:r w:rsidRPr="007B7EB7">
        <w:t>(47)</w:t>
      </w:r>
      <w:r w:rsidRPr="007B7EB7">
        <w:tab/>
      </w:r>
      <w:r w:rsidR="008E648C" w:rsidRPr="004F6DAA">
        <w:rPr>
          <w:noProof/>
        </w:rPr>
        <w:t>Z tego względu Komisja powinna oceniać stopień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na poziomie kraju lub jego części, na podstawie szeregu kryteriów odzwierciedlających zarówno ilościowe, obiektywne</w:t>
      </w:r>
      <w:r w:rsidR="00062BFA" w:rsidRPr="004F6DAA">
        <w:rPr>
          <w:noProof/>
        </w:rPr>
        <w:t xml:space="preserve"> i</w:t>
      </w:r>
      <w:r w:rsidR="00062BFA">
        <w:rPr>
          <w:noProof/>
        </w:rPr>
        <w:t> </w:t>
      </w:r>
      <w:r w:rsidR="00062BFA" w:rsidRPr="004F6DAA">
        <w:rPr>
          <w:noProof/>
        </w:rPr>
        <w:t>uzn</w:t>
      </w:r>
      <w:r w:rsidR="008E648C" w:rsidRPr="004F6DAA">
        <w:rPr>
          <w:noProof/>
        </w:rPr>
        <w:t>ane międzynarodowo dane, jak</w:t>
      </w:r>
      <w:r w:rsidR="00062BFA" w:rsidRPr="004F6DAA">
        <w:rPr>
          <w:noProof/>
        </w:rPr>
        <w:t xml:space="preserve"> i</w:t>
      </w:r>
      <w:r w:rsidR="00062BFA">
        <w:rPr>
          <w:noProof/>
        </w:rPr>
        <w:t> </w:t>
      </w:r>
      <w:r w:rsidR="00062BFA" w:rsidRPr="004F6DAA">
        <w:rPr>
          <w:noProof/>
        </w:rPr>
        <w:t>wsk</w:t>
      </w:r>
      <w:r w:rsidR="008E648C" w:rsidRPr="004F6DAA">
        <w:rPr>
          <w:noProof/>
        </w:rPr>
        <w:t>azania, że kraje te angażują się aktywnie</w:t>
      </w:r>
      <w:r w:rsidR="00062BFA" w:rsidRPr="004F6DAA">
        <w:rPr>
          <w:noProof/>
        </w:rPr>
        <w:t xml:space="preserve"> w</w:t>
      </w:r>
      <w:r w:rsidR="00062BFA">
        <w:rPr>
          <w:noProof/>
        </w:rPr>
        <w:t> </w:t>
      </w:r>
      <w:r w:rsidR="00062BFA" w:rsidRPr="004F6DAA">
        <w:rPr>
          <w:noProof/>
        </w:rPr>
        <w:t>zwa</w:t>
      </w:r>
      <w:r w:rsidR="008E648C" w:rsidRPr="004F6DAA">
        <w:rPr>
          <w:noProof/>
        </w:rPr>
        <w:t>lczanie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Takie informacje oparte na systemie wskaźników powinny ułatwić podmiotom</w:t>
      </w:r>
      <w:r w:rsidR="00062BFA" w:rsidRPr="004F6DAA">
        <w:rPr>
          <w:noProof/>
        </w:rPr>
        <w:t xml:space="preserve"> w</w:t>
      </w:r>
      <w:r w:rsidR="00062BFA">
        <w:rPr>
          <w:noProof/>
        </w:rPr>
        <w:t> </w:t>
      </w:r>
      <w:r w:rsidR="00062BFA" w:rsidRPr="004F6DAA">
        <w:rPr>
          <w:noProof/>
        </w:rPr>
        <w:t>Uni</w:t>
      </w:r>
      <w:r w:rsidR="008E648C" w:rsidRPr="004F6DAA">
        <w:rPr>
          <w:noProof/>
        </w:rPr>
        <w:t>i stosowanie należytej staranności oraz właściwym organom monitorowanie</w:t>
      </w:r>
      <w:r w:rsidR="00062BFA" w:rsidRPr="004F6DAA">
        <w:rPr>
          <w:noProof/>
        </w:rPr>
        <w:t xml:space="preserve"> i</w:t>
      </w:r>
      <w:r w:rsidR="00062BFA">
        <w:rPr>
          <w:noProof/>
        </w:rPr>
        <w:t> </w:t>
      </w:r>
      <w:r w:rsidR="00062BFA" w:rsidRPr="004F6DAA">
        <w:rPr>
          <w:noProof/>
        </w:rPr>
        <w:t>egz</w:t>
      </w:r>
      <w:r w:rsidR="008E648C" w:rsidRPr="004F6DAA">
        <w:rPr>
          <w:noProof/>
        </w:rPr>
        <w:t>ekwowanie zgodności</w:t>
      </w:r>
      <w:r w:rsidR="00062BFA" w:rsidRPr="004F6DAA">
        <w:rPr>
          <w:noProof/>
        </w:rPr>
        <w:t xml:space="preserve"> z</w:t>
      </w:r>
      <w:r w:rsidR="00062BFA">
        <w:rPr>
          <w:noProof/>
        </w:rPr>
        <w:t> </w:t>
      </w:r>
      <w:r w:rsidR="00062BFA" w:rsidRPr="004F6DAA">
        <w:rPr>
          <w:noProof/>
        </w:rPr>
        <w:t>wym</w:t>
      </w:r>
      <w:r w:rsidR="008E648C" w:rsidRPr="004F6DAA">
        <w:rPr>
          <w:noProof/>
        </w:rPr>
        <w:t>ogami, dając jednocześnie zachętę dla krajów będących producentami do zwiększania zrównoważonego charakteru ich systemów produkcji rolnej</w:t>
      </w:r>
      <w:r w:rsidR="00062BFA" w:rsidRPr="004F6DAA">
        <w:rPr>
          <w:noProof/>
        </w:rPr>
        <w:t xml:space="preserve"> i</w:t>
      </w:r>
      <w:r w:rsidR="00062BFA">
        <w:rPr>
          <w:noProof/>
        </w:rPr>
        <w:t> </w:t>
      </w:r>
      <w:r w:rsidR="00062BFA" w:rsidRPr="004F6DAA">
        <w:rPr>
          <w:noProof/>
        </w:rPr>
        <w:t>ogr</w:t>
      </w:r>
      <w:r w:rsidR="008E648C" w:rsidRPr="004F6DAA">
        <w:rPr>
          <w:noProof/>
        </w:rPr>
        <w:t>aniczania ich wpływu na wylesianie. Powinno to pomóc</w:t>
      </w:r>
      <w:r w:rsidR="00062BFA" w:rsidRPr="004F6DAA">
        <w:rPr>
          <w:noProof/>
        </w:rPr>
        <w:t xml:space="preserve"> w</w:t>
      </w:r>
      <w:r w:rsidR="00062BFA">
        <w:rPr>
          <w:noProof/>
        </w:rPr>
        <w:t> </w:t>
      </w:r>
      <w:r w:rsidR="00062BFA" w:rsidRPr="004F6DAA">
        <w:rPr>
          <w:noProof/>
        </w:rPr>
        <w:t>zwi</w:t>
      </w:r>
      <w:r w:rsidR="008E648C" w:rsidRPr="004F6DAA">
        <w:rPr>
          <w:noProof/>
        </w:rPr>
        <w:t>ększeniu przejrzystości</w:t>
      </w:r>
      <w:r w:rsidR="00062BFA" w:rsidRPr="004F6DAA">
        <w:rPr>
          <w:noProof/>
        </w:rPr>
        <w:t xml:space="preserve"> i</w:t>
      </w:r>
      <w:r w:rsidR="00062BFA">
        <w:rPr>
          <w:noProof/>
        </w:rPr>
        <w:t> </w:t>
      </w:r>
      <w:r w:rsidR="00062BFA" w:rsidRPr="004F6DAA">
        <w:rPr>
          <w:noProof/>
        </w:rPr>
        <w:t>zró</w:t>
      </w:r>
      <w:r w:rsidR="008E648C" w:rsidRPr="004F6DAA">
        <w:rPr>
          <w:noProof/>
        </w:rPr>
        <w:t>wnoważonego charakteru łańcuchów dostaw. Taki system wskaźników powinien opierać się na trzystopniowej klasyfikacji krajów,</w:t>
      </w:r>
      <w:r w:rsidR="00062BFA" w:rsidRPr="004F6DAA">
        <w:rPr>
          <w:noProof/>
        </w:rPr>
        <w:t xml:space="preserve"> w</w:t>
      </w:r>
      <w:r w:rsidR="00062BFA">
        <w:rPr>
          <w:noProof/>
        </w:rPr>
        <w:t> </w:t>
      </w:r>
      <w:r w:rsidR="00062BFA" w:rsidRPr="004F6DAA">
        <w:rPr>
          <w:noProof/>
        </w:rPr>
        <w:t>któ</w:t>
      </w:r>
      <w:r w:rsidR="008E648C" w:rsidRPr="004F6DAA">
        <w:rPr>
          <w:noProof/>
        </w:rPr>
        <w:t>rej uznaje się je za kraje obarczone niskim, standardowym lub wysokim ryzykiem. Aby zapewnić odpowiedni stopień przejrzystości</w:t>
      </w:r>
      <w:r w:rsidR="00062BFA" w:rsidRPr="004F6DAA">
        <w:rPr>
          <w:noProof/>
        </w:rPr>
        <w:t xml:space="preserve"> i</w:t>
      </w:r>
      <w:r w:rsidR="00062BFA">
        <w:rPr>
          <w:noProof/>
        </w:rPr>
        <w:t> </w:t>
      </w:r>
      <w:r w:rsidR="00062BFA" w:rsidRPr="004F6DAA">
        <w:rPr>
          <w:noProof/>
        </w:rPr>
        <w:t>jas</w:t>
      </w:r>
      <w:r w:rsidR="008E648C" w:rsidRPr="004F6DAA">
        <w:rPr>
          <w:noProof/>
        </w:rPr>
        <w:t>ności, Komisja powinna</w:t>
      </w:r>
      <w:r w:rsidR="00062BFA" w:rsidRPr="004F6DAA">
        <w:rPr>
          <w:noProof/>
        </w:rPr>
        <w:t xml:space="preserve"> w</w:t>
      </w:r>
      <w:r w:rsidR="00062BFA">
        <w:rPr>
          <w:noProof/>
        </w:rPr>
        <w:t> </w:t>
      </w:r>
      <w:r w:rsidR="00062BFA" w:rsidRPr="004F6DAA">
        <w:rPr>
          <w:noProof/>
        </w:rPr>
        <w:t>szc</w:t>
      </w:r>
      <w:r w:rsidR="008E648C" w:rsidRPr="004F6DAA">
        <w:rPr>
          <w:noProof/>
        </w:rPr>
        <w:t>zególności udostępniać publicznie dane wykorzystywane do celów systemu wskaźników, przyczyny proponowanej zmiany klasyfikacji</w:t>
      </w:r>
      <w:r w:rsidR="00062BFA" w:rsidRPr="004F6DAA">
        <w:rPr>
          <w:noProof/>
        </w:rPr>
        <w:t xml:space="preserve"> i</w:t>
      </w:r>
      <w:r w:rsidR="00062BFA">
        <w:rPr>
          <w:noProof/>
        </w:rPr>
        <w:t> </w:t>
      </w:r>
      <w:r w:rsidR="00062BFA" w:rsidRPr="004F6DAA">
        <w:rPr>
          <w:noProof/>
        </w:rPr>
        <w:t>odp</w:t>
      </w:r>
      <w:r w:rsidR="008E648C" w:rsidRPr="004F6DAA">
        <w:rPr>
          <w:noProof/>
        </w:rPr>
        <w:t>owiedź kraju, którego dotyczy analiza</w:t>
      </w:r>
      <w:r w:rsidR="00062BFA" w:rsidRPr="004F6DAA">
        <w:rPr>
          <w:noProof/>
        </w:rPr>
        <w:t>. W</w:t>
      </w:r>
      <w:r w:rsidR="00062BFA">
        <w:rPr>
          <w:noProof/>
        </w:rPr>
        <w:t> </w:t>
      </w:r>
      <w:r w:rsidR="00062BFA" w:rsidRPr="004F6DAA">
        <w:rPr>
          <w:noProof/>
        </w:rPr>
        <w:t>odn</w:t>
      </w:r>
      <w:r w:rsidR="008E648C" w:rsidRPr="004F6DAA">
        <w:rPr>
          <w:noProof/>
        </w:rPr>
        <w:t>iesieniu do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pochodzących</w:t>
      </w:r>
      <w:r w:rsidR="00062BFA" w:rsidRPr="004F6DAA">
        <w:rPr>
          <w:noProof/>
        </w:rPr>
        <w:t xml:space="preserve"> z</w:t>
      </w:r>
      <w:r w:rsidR="00062BFA">
        <w:rPr>
          <w:noProof/>
        </w:rPr>
        <w:t> </w:t>
      </w:r>
      <w:r w:rsidR="00062BFA" w:rsidRPr="004F6DAA">
        <w:rPr>
          <w:noProof/>
        </w:rPr>
        <w:t>kra</w:t>
      </w:r>
      <w:r w:rsidR="008E648C" w:rsidRPr="004F6DAA">
        <w:rPr>
          <w:noProof/>
        </w:rPr>
        <w:t>jów obarczonych niskim ryzykiem lub części danego kraju określonych jako obarczone niskim ryzykiem należy umożliwić podmiotom stosowanie uproszczonej należytej staranności, przy czym od właściwych organów należy wymagać stosowania wzmocnionej kontroli dotyczącej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pochodzących</w:t>
      </w:r>
      <w:r w:rsidR="00062BFA" w:rsidRPr="004F6DAA">
        <w:rPr>
          <w:noProof/>
        </w:rPr>
        <w:t xml:space="preserve"> z</w:t>
      </w:r>
      <w:r w:rsidR="00062BFA">
        <w:rPr>
          <w:noProof/>
        </w:rPr>
        <w:t> </w:t>
      </w:r>
      <w:r w:rsidR="00062BFA" w:rsidRPr="004F6DAA">
        <w:rPr>
          <w:noProof/>
        </w:rPr>
        <w:t>kra</w:t>
      </w:r>
      <w:r w:rsidR="008E648C" w:rsidRPr="004F6DAA">
        <w:rPr>
          <w:noProof/>
        </w:rPr>
        <w:t>jów obarczonych wysokim ryzykiem lub części danego kraju określonych jako obarczone wysokim ryzykiem Komisja powinna być uprawniona do przyjmowania środków wykonawczych służących określaniu krajów lub ich części,</w:t>
      </w:r>
      <w:r w:rsidR="00062BFA" w:rsidRPr="004F6DAA">
        <w:rPr>
          <w:noProof/>
        </w:rPr>
        <w:t xml:space="preserve"> w</w:t>
      </w:r>
      <w:r w:rsidR="00062BFA">
        <w:rPr>
          <w:noProof/>
        </w:rPr>
        <w:t> </w:t>
      </w:r>
      <w:r w:rsidR="00062BFA" w:rsidRPr="004F6DAA">
        <w:rPr>
          <w:noProof/>
        </w:rPr>
        <w:t>któ</w:t>
      </w:r>
      <w:r w:rsidR="008E648C" w:rsidRPr="004F6DAA">
        <w:rPr>
          <w:noProof/>
        </w:rPr>
        <w:t>rych występuje niskie lub wysokie ryzyko produkcji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niezgodnych</w:t>
      </w:r>
      <w:r w:rsidR="00062BFA" w:rsidRPr="004F6DAA">
        <w:rPr>
          <w:noProof/>
        </w:rPr>
        <w:t xml:space="preserve"> z</w:t>
      </w:r>
      <w:r w:rsidR="00062BFA">
        <w:rPr>
          <w:noProof/>
        </w:rPr>
        <w:t> </w:t>
      </w:r>
      <w:r w:rsidR="00062BFA" w:rsidRPr="004F6DAA">
        <w:rPr>
          <w:noProof/>
        </w:rPr>
        <w:t>prz</w:t>
      </w:r>
      <w:r w:rsidR="008E648C" w:rsidRPr="004F6DAA">
        <w:rPr>
          <w:noProof/>
        </w:rPr>
        <w:t>episami niniejszego rozporządzenia.</w:t>
      </w:r>
    </w:p>
    <w:p w14:paraId="6EDEC419" w14:textId="77777777" w:rsidR="008E648C" w:rsidRPr="00062BFA" w:rsidRDefault="007B7EB7" w:rsidP="007B7EB7">
      <w:pPr>
        <w:pStyle w:val="ManualConsidrant"/>
        <w:rPr>
          <w:noProof/>
        </w:rPr>
      </w:pPr>
      <w:r w:rsidRPr="007B7EB7">
        <w:t>(48)</w:t>
      </w:r>
      <w:r w:rsidRPr="007B7EB7">
        <w:tab/>
      </w:r>
      <w:r w:rsidR="008E648C" w:rsidRPr="004F6DAA">
        <w:rPr>
          <w:noProof/>
        </w:rPr>
        <w:t>Właściwe organy powinny przeprowadzać kontrole podmiotów</w:t>
      </w:r>
      <w:r w:rsidR="00062BFA" w:rsidRPr="004F6DAA">
        <w:rPr>
          <w:noProof/>
        </w:rPr>
        <w:t xml:space="preserve"> i</w:t>
      </w:r>
      <w:r w:rsidR="00062BFA">
        <w:rPr>
          <w:noProof/>
        </w:rPr>
        <w:t> </w:t>
      </w:r>
      <w:r w:rsidR="00062BFA" w:rsidRPr="004F6DAA">
        <w:rPr>
          <w:noProof/>
        </w:rPr>
        <w:t>pod</w:t>
      </w:r>
      <w:r w:rsidR="008E648C" w:rsidRPr="004F6DAA">
        <w:rPr>
          <w:noProof/>
        </w:rPr>
        <w:t>miotów handlowych</w:t>
      </w:r>
      <w:r w:rsidR="00062BFA" w:rsidRPr="004F6DAA">
        <w:rPr>
          <w:noProof/>
        </w:rPr>
        <w:t xml:space="preserve"> w</w:t>
      </w:r>
      <w:r w:rsidR="00062BFA">
        <w:rPr>
          <w:noProof/>
        </w:rPr>
        <w:t> </w:t>
      </w:r>
      <w:r w:rsidR="00062BFA" w:rsidRPr="004F6DAA">
        <w:rPr>
          <w:noProof/>
        </w:rPr>
        <w:t>reg</w:t>
      </w:r>
      <w:r w:rsidR="008E648C" w:rsidRPr="004F6DAA">
        <w:rPr>
          <w:noProof/>
        </w:rPr>
        <w:t>ularnych odstępach czasu celem sprawdzenia, czy skutecznie wypełniają one obowiązki ustanowione</w:t>
      </w:r>
      <w:r w:rsidR="00062BFA" w:rsidRPr="004F6DAA">
        <w:rPr>
          <w:noProof/>
        </w:rPr>
        <w:t xml:space="preserve"> w</w:t>
      </w:r>
      <w:r w:rsidR="00062BFA">
        <w:rPr>
          <w:noProof/>
        </w:rPr>
        <w:t> </w:t>
      </w:r>
      <w:r w:rsidR="00062BFA" w:rsidRPr="004F6DAA">
        <w:rPr>
          <w:noProof/>
        </w:rPr>
        <w:t>nin</w:t>
      </w:r>
      <w:r w:rsidR="008E648C" w:rsidRPr="004F6DAA">
        <w:rPr>
          <w:noProof/>
        </w:rPr>
        <w:t>iejszym rozporządzeniu. Ponadto właściwe organy powinny przeprowadzać kontrole</w:t>
      </w:r>
      <w:r w:rsidR="00062BFA" w:rsidRPr="004F6DAA">
        <w:rPr>
          <w:noProof/>
        </w:rPr>
        <w:t xml:space="preserve"> w</w:t>
      </w:r>
      <w:r w:rsidR="00062BFA">
        <w:rPr>
          <w:noProof/>
        </w:rPr>
        <w:t> </w:t>
      </w:r>
      <w:r w:rsidR="00062BFA" w:rsidRPr="004F6DAA">
        <w:rPr>
          <w:noProof/>
        </w:rPr>
        <w:t>prz</w:t>
      </w:r>
      <w:r w:rsidR="008E648C" w:rsidRPr="004F6DAA">
        <w:rPr>
          <w:noProof/>
        </w:rPr>
        <w:t>ypadku posiadania stosownych informacji,</w:t>
      </w:r>
      <w:r w:rsidR="00062BFA" w:rsidRPr="004F6DAA">
        <w:rPr>
          <w:noProof/>
        </w:rPr>
        <w:t xml:space="preserve"> w</w:t>
      </w:r>
      <w:r w:rsidR="00062BFA">
        <w:rPr>
          <w:noProof/>
        </w:rPr>
        <w:t> </w:t>
      </w:r>
      <w:r w:rsidR="00062BFA" w:rsidRPr="004F6DAA">
        <w:rPr>
          <w:noProof/>
        </w:rPr>
        <w:t>tym</w:t>
      </w:r>
      <w:r w:rsidR="008E648C" w:rsidRPr="004F6DAA">
        <w:rPr>
          <w:noProof/>
        </w:rPr>
        <w:t xml:space="preserve"> przekazania uzasadnionych zastrzeżeń przez osoby trzecie, i na podstawie takich informacji. Aby</w:t>
      </w:r>
      <w:r w:rsidR="00062BFA" w:rsidRPr="004F6DAA">
        <w:rPr>
          <w:noProof/>
        </w:rPr>
        <w:t xml:space="preserve"> w</w:t>
      </w:r>
      <w:r w:rsidR="00062BFA">
        <w:rPr>
          <w:noProof/>
        </w:rPr>
        <w:t> </w:t>
      </w:r>
      <w:r w:rsidR="00062BFA" w:rsidRPr="004F6DAA">
        <w:rPr>
          <w:noProof/>
        </w:rPr>
        <w:t>kom</w:t>
      </w:r>
      <w:r w:rsidR="008E648C" w:rsidRPr="004F6DAA">
        <w:rPr>
          <w:noProof/>
        </w:rPr>
        <w:t>pleksowy sposób uwzględnić odnośne towary</w:t>
      </w:r>
      <w:r w:rsidR="00062BFA" w:rsidRPr="004F6DAA">
        <w:rPr>
          <w:noProof/>
        </w:rPr>
        <w:t xml:space="preserve"> i</w:t>
      </w:r>
      <w:r w:rsidR="00062BFA">
        <w:rPr>
          <w:noProof/>
        </w:rPr>
        <w:t> </w:t>
      </w:r>
      <w:r w:rsidR="00062BFA" w:rsidRPr="004F6DAA">
        <w:rPr>
          <w:noProof/>
        </w:rPr>
        <w:t>pro</w:t>
      </w:r>
      <w:r w:rsidR="008E648C" w:rsidRPr="004F6DAA">
        <w:rPr>
          <w:noProof/>
        </w:rPr>
        <w:t>dukty, odpowiednie podmioty</w:t>
      </w:r>
      <w:r w:rsidR="00062BFA" w:rsidRPr="004F6DAA">
        <w:rPr>
          <w:noProof/>
        </w:rPr>
        <w:t xml:space="preserve"> i</w:t>
      </w:r>
      <w:r w:rsidR="00062BFA">
        <w:rPr>
          <w:noProof/>
        </w:rPr>
        <w:t> </w:t>
      </w:r>
      <w:r w:rsidR="00062BFA" w:rsidRPr="004F6DAA">
        <w:rPr>
          <w:noProof/>
        </w:rPr>
        <w:t>pod</w:t>
      </w:r>
      <w:r w:rsidR="008E648C" w:rsidRPr="004F6DAA">
        <w:rPr>
          <w:noProof/>
        </w:rPr>
        <w:t>mioty handlowe oraz wielkość ich udziału</w:t>
      </w:r>
      <w:r w:rsidR="00062BFA" w:rsidRPr="004F6DAA">
        <w:rPr>
          <w:noProof/>
        </w:rPr>
        <w:t xml:space="preserve"> w</w:t>
      </w:r>
      <w:r w:rsidR="00062BFA">
        <w:rPr>
          <w:noProof/>
        </w:rPr>
        <w:t> </w:t>
      </w:r>
      <w:r w:rsidR="00062BFA" w:rsidRPr="004F6DAA">
        <w:rPr>
          <w:noProof/>
        </w:rPr>
        <w:t>tow</w:t>
      </w:r>
      <w:r w:rsidR="008E648C" w:rsidRPr="004F6DAA">
        <w:rPr>
          <w:noProof/>
        </w:rPr>
        <w:t>arach</w:t>
      </w:r>
      <w:r w:rsidR="00062BFA" w:rsidRPr="004F6DAA">
        <w:rPr>
          <w:noProof/>
        </w:rPr>
        <w:t xml:space="preserve"> i</w:t>
      </w:r>
      <w:r w:rsidR="00062BFA">
        <w:rPr>
          <w:noProof/>
        </w:rPr>
        <w:t> </w:t>
      </w:r>
      <w:r w:rsidR="00062BFA" w:rsidRPr="004F6DAA">
        <w:rPr>
          <w:noProof/>
        </w:rPr>
        <w:t>pro</w:t>
      </w:r>
      <w:r w:rsidR="008E648C" w:rsidRPr="004F6DAA">
        <w:rPr>
          <w:noProof/>
        </w:rPr>
        <w:t>duktach, należy zastosować dwojakie podejście. Właściwe organy powinny być zatem zobowiązane do prowadzenia kontroli określonego odsetka podmiotów</w:t>
      </w:r>
      <w:r w:rsidR="00062BFA" w:rsidRPr="004F6DAA">
        <w:rPr>
          <w:noProof/>
        </w:rPr>
        <w:t xml:space="preserve"> i</w:t>
      </w:r>
      <w:r w:rsidR="00062BFA">
        <w:rPr>
          <w:noProof/>
        </w:rPr>
        <w:t> </w:t>
      </w:r>
      <w:r w:rsidR="00062BFA" w:rsidRPr="004F6DAA">
        <w:rPr>
          <w:noProof/>
        </w:rPr>
        <w:t>pod</w:t>
      </w:r>
      <w:r w:rsidR="008E648C" w:rsidRPr="004F6DAA">
        <w:rPr>
          <w:noProof/>
        </w:rPr>
        <w:t>miotów handlowych, uwzględniając przy tym również konkretny odsetek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Odsetek ten powinien być wyższy</w:t>
      </w:r>
      <w:r w:rsidR="00062BFA" w:rsidRPr="004F6DAA">
        <w:rPr>
          <w:noProof/>
        </w:rPr>
        <w:t xml:space="preserve"> w</w:t>
      </w:r>
      <w:r w:rsidR="00062BFA">
        <w:rPr>
          <w:noProof/>
        </w:rPr>
        <w:t> </w:t>
      </w:r>
      <w:r w:rsidR="00062BFA" w:rsidRPr="004F6DAA">
        <w:rPr>
          <w:noProof/>
        </w:rPr>
        <w:t>prz</w:t>
      </w:r>
      <w:r w:rsidR="008E648C" w:rsidRPr="004F6DAA">
        <w:rPr>
          <w:noProof/>
        </w:rPr>
        <w:t>ypadku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pochodzących</w:t>
      </w:r>
      <w:r w:rsidR="00062BFA" w:rsidRPr="004F6DAA">
        <w:rPr>
          <w:noProof/>
        </w:rPr>
        <w:t xml:space="preserve"> z</w:t>
      </w:r>
      <w:r w:rsidR="00062BFA">
        <w:rPr>
          <w:noProof/>
        </w:rPr>
        <w:t> </w:t>
      </w:r>
      <w:r w:rsidR="00062BFA" w:rsidRPr="004F6DAA">
        <w:rPr>
          <w:noProof/>
        </w:rPr>
        <w:t>kra</w:t>
      </w:r>
      <w:r w:rsidR="008E648C" w:rsidRPr="004F6DAA">
        <w:rPr>
          <w:noProof/>
        </w:rPr>
        <w:t>jów lub ich części obarczonych wysokim ryzykiem</w:t>
      </w:r>
      <w:r w:rsidR="008E648C" w:rsidRPr="00062BFA">
        <w:rPr>
          <w:noProof/>
        </w:rPr>
        <w:t>.</w:t>
      </w:r>
      <w:r w:rsidR="00062BFA" w:rsidRPr="00062BFA">
        <w:rPr>
          <w:noProof/>
        </w:rPr>
        <w:t xml:space="preserve"> </w:t>
      </w:r>
    </w:p>
    <w:p w14:paraId="7315DE27" w14:textId="77777777" w:rsidR="008E648C" w:rsidRPr="004F6DAA" w:rsidRDefault="007B7EB7" w:rsidP="007B7EB7">
      <w:pPr>
        <w:pStyle w:val="ManualConsidrant"/>
        <w:rPr>
          <w:noProof/>
        </w:rPr>
      </w:pPr>
      <w:r w:rsidRPr="007B7EB7">
        <w:t>(49)</w:t>
      </w:r>
      <w:r w:rsidRPr="007B7EB7">
        <w:tab/>
      </w:r>
      <w:r w:rsidR="008E648C" w:rsidRPr="004F6DAA">
        <w:rPr>
          <w:noProof/>
        </w:rPr>
        <w:t>Kontrole podmiotów</w:t>
      </w:r>
      <w:r w:rsidR="00062BFA" w:rsidRPr="004F6DAA">
        <w:rPr>
          <w:noProof/>
        </w:rPr>
        <w:t xml:space="preserve"> i</w:t>
      </w:r>
      <w:r w:rsidR="00062BFA">
        <w:rPr>
          <w:noProof/>
        </w:rPr>
        <w:t> </w:t>
      </w:r>
      <w:r w:rsidR="00062BFA" w:rsidRPr="004F6DAA">
        <w:rPr>
          <w:noProof/>
        </w:rPr>
        <w:t>pod</w:t>
      </w:r>
      <w:r w:rsidR="008E648C" w:rsidRPr="004F6DAA">
        <w:rPr>
          <w:noProof/>
        </w:rPr>
        <w:t>miotów handlowych prowadzone przez właściwe organy powinny obejmować systemy zasad należytej staranności</w:t>
      </w:r>
      <w:r w:rsidR="00062BFA" w:rsidRPr="004F6DAA">
        <w:rPr>
          <w:noProof/>
        </w:rPr>
        <w:t xml:space="preserve"> i</w:t>
      </w:r>
      <w:r w:rsidR="00062BFA">
        <w:rPr>
          <w:noProof/>
        </w:rPr>
        <w:t> </w:t>
      </w:r>
      <w:r w:rsidR="00062BFA" w:rsidRPr="004F6DAA">
        <w:rPr>
          <w:noProof/>
        </w:rPr>
        <w:t>zgo</w:t>
      </w:r>
      <w:r w:rsidR="008E648C" w:rsidRPr="004F6DAA">
        <w:rPr>
          <w:noProof/>
        </w:rPr>
        <w:t>dność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w:t>
      </w:r>
      <w:r w:rsidR="00062BFA" w:rsidRPr="004F6DAA">
        <w:rPr>
          <w:noProof/>
        </w:rPr>
        <w:t xml:space="preserve"> z</w:t>
      </w:r>
      <w:r w:rsidR="00062BFA">
        <w:rPr>
          <w:noProof/>
        </w:rPr>
        <w:t> </w:t>
      </w:r>
      <w:r w:rsidR="00062BFA" w:rsidRPr="004F6DAA">
        <w:rPr>
          <w:noProof/>
        </w:rPr>
        <w:t>prz</w:t>
      </w:r>
      <w:r w:rsidR="008E648C" w:rsidRPr="004F6DAA">
        <w:rPr>
          <w:noProof/>
        </w:rPr>
        <w:t>episami niniejszego rozporządzenia. Podstawą kontroli powinien być plan kontroli oparty na analizie ryzyka. Plany takie powinny zawierać kryteria ryzyka umożliwiające właściwym organom przeprowadzenie analizy ryzyka</w:t>
      </w:r>
      <w:r w:rsidR="00062BFA" w:rsidRPr="004F6DAA">
        <w:rPr>
          <w:noProof/>
        </w:rPr>
        <w:t xml:space="preserve"> w</w:t>
      </w:r>
      <w:r w:rsidR="00062BFA">
        <w:rPr>
          <w:noProof/>
        </w:rPr>
        <w:t> </w:t>
      </w:r>
      <w:r w:rsidR="00062BFA" w:rsidRPr="004F6DAA">
        <w:rPr>
          <w:noProof/>
        </w:rPr>
        <w:t>odn</w:t>
      </w:r>
      <w:r w:rsidR="008E648C" w:rsidRPr="004F6DAA">
        <w:rPr>
          <w:noProof/>
        </w:rPr>
        <w:t>iesieniu do oświadczeń</w:t>
      </w:r>
      <w:r w:rsidR="00062BFA" w:rsidRPr="004F6DAA">
        <w:rPr>
          <w:noProof/>
        </w:rPr>
        <w:t xml:space="preserve"> o</w:t>
      </w:r>
      <w:r w:rsidR="00062BFA">
        <w:rPr>
          <w:noProof/>
        </w:rPr>
        <w:t> </w:t>
      </w:r>
      <w:r w:rsidR="00062BFA" w:rsidRPr="004F6DAA">
        <w:rPr>
          <w:noProof/>
        </w:rPr>
        <w:t>zac</w:t>
      </w:r>
      <w:r w:rsidR="008E648C" w:rsidRPr="004F6DAA">
        <w:rPr>
          <w:noProof/>
        </w:rPr>
        <w:t>howaniu należytej staranności przedłożonych przez podmioty</w:t>
      </w:r>
      <w:r w:rsidR="00062BFA" w:rsidRPr="004F6DAA">
        <w:rPr>
          <w:noProof/>
        </w:rPr>
        <w:t xml:space="preserve"> i</w:t>
      </w:r>
      <w:r w:rsidR="00062BFA">
        <w:rPr>
          <w:noProof/>
        </w:rPr>
        <w:t> </w:t>
      </w:r>
      <w:r w:rsidR="00062BFA" w:rsidRPr="004F6DAA">
        <w:rPr>
          <w:noProof/>
        </w:rPr>
        <w:t>pod</w:t>
      </w:r>
      <w:r w:rsidR="008E648C" w:rsidRPr="004F6DAA">
        <w:rPr>
          <w:noProof/>
        </w:rPr>
        <w:t>mioty handlowe</w:t>
      </w:r>
      <w:r w:rsidR="00062BFA" w:rsidRPr="004F6DAA">
        <w:rPr>
          <w:noProof/>
        </w:rPr>
        <w:t>. W</w:t>
      </w:r>
      <w:r w:rsidR="00062BFA">
        <w:rPr>
          <w:noProof/>
        </w:rPr>
        <w:t> </w:t>
      </w:r>
      <w:r w:rsidR="00062BFA" w:rsidRPr="004F6DAA">
        <w:rPr>
          <w:noProof/>
        </w:rPr>
        <w:t>kry</w:t>
      </w:r>
      <w:r w:rsidR="008E648C" w:rsidRPr="004F6DAA">
        <w:rPr>
          <w:noProof/>
        </w:rPr>
        <w:t>teriach ryzyka należy uwzględnić ryzyko wylesianie związane</w:t>
      </w:r>
      <w:r w:rsidR="00062BFA" w:rsidRPr="004F6DAA">
        <w:rPr>
          <w:noProof/>
        </w:rPr>
        <w:t xml:space="preserve"> z</w:t>
      </w:r>
      <w:r w:rsidR="00062BFA">
        <w:rPr>
          <w:noProof/>
        </w:rPr>
        <w:t> </w:t>
      </w:r>
      <w:r w:rsidR="00062BFA" w:rsidRPr="004F6DAA">
        <w:rPr>
          <w:noProof/>
        </w:rPr>
        <w:t>odn</w:t>
      </w:r>
      <w:r w:rsidR="008E648C" w:rsidRPr="004F6DAA">
        <w:rPr>
          <w:noProof/>
        </w:rPr>
        <w:t>ośnymi towarami</w:t>
      </w:r>
      <w:r w:rsidR="00062BFA" w:rsidRPr="004F6DAA">
        <w:rPr>
          <w:noProof/>
        </w:rPr>
        <w:t xml:space="preserve"> i</w:t>
      </w:r>
      <w:r w:rsidR="00062BFA">
        <w:rPr>
          <w:noProof/>
        </w:rPr>
        <w:t> </w:t>
      </w:r>
      <w:r w:rsidR="00062BFA" w:rsidRPr="004F6DAA">
        <w:rPr>
          <w:noProof/>
        </w:rPr>
        <w:t>pro</w:t>
      </w:r>
      <w:r w:rsidR="008E648C" w:rsidRPr="004F6DAA">
        <w:rPr>
          <w:noProof/>
        </w:rPr>
        <w:t>duktami</w:t>
      </w:r>
      <w:r w:rsidR="00062BFA" w:rsidRPr="004F6DAA">
        <w:rPr>
          <w:noProof/>
        </w:rPr>
        <w:t xml:space="preserve"> w</w:t>
      </w:r>
      <w:r w:rsidR="00062BFA">
        <w:rPr>
          <w:noProof/>
        </w:rPr>
        <w:t> </w:t>
      </w:r>
      <w:r w:rsidR="00062BFA" w:rsidRPr="004F6DAA">
        <w:rPr>
          <w:noProof/>
        </w:rPr>
        <w:t>kra</w:t>
      </w:r>
      <w:r w:rsidR="008E648C" w:rsidRPr="004F6DAA">
        <w:rPr>
          <w:noProof/>
        </w:rPr>
        <w:t>ju produkcji, historię wypełniania przez podmioty</w:t>
      </w:r>
      <w:r w:rsidR="00062BFA" w:rsidRPr="004F6DAA">
        <w:rPr>
          <w:noProof/>
        </w:rPr>
        <w:t xml:space="preserve"> i</w:t>
      </w:r>
      <w:r w:rsidR="00062BFA">
        <w:rPr>
          <w:noProof/>
        </w:rPr>
        <w:t> </w:t>
      </w:r>
      <w:r w:rsidR="00062BFA" w:rsidRPr="004F6DAA">
        <w:rPr>
          <w:noProof/>
        </w:rPr>
        <w:t>pod</w:t>
      </w:r>
      <w:r w:rsidR="008E648C" w:rsidRPr="004F6DAA">
        <w:rPr>
          <w:noProof/>
        </w:rPr>
        <w:t>mioty handlowe obowiązków wynikających</w:t>
      </w:r>
      <w:r w:rsidR="00062BFA" w:rsidRPr="004F6DAA">
        <w:rPr>
          <w:noProof/>
        </w:rPr>
        <w:t xml:space="preserve"> z</w:t>
      </w:r>
      <w:r w:rsidR="00062BFA">
        <w:rPr>
          <w:noProof/>
        </w:rPr>
        <w:t> </w:t>
      </w:r>
      <w:r w:rsidR="00062BFA" w:rsidRPr="004F6DAA">
        <w:rPr>
          <w:noProof/>
        </w:rPr>
        <w:t>nin</w:t>
      </w:r>
      <w:r w:rsidR="008E648C" w:rsidRPr="004F6DAA">
        <w:rPr>
          <w:noProof/>
        </w:rPr>
        <w:t>iejszego rozporządzenia</w:t>
      </w:r>
      <w:r w:rsidR="00062BFA" w:rsidRPr="004F6DAA">
        <w:rPr>
          <w:noProof/>
        </w:rPr>
        <w:t xml:space="preserve"> i</w:t>
      </w:r>
      <w:r w:rsidR="00062BFA">
        <w:rPr>
          <w:noProof/>
        </w:rPr>
        <w:t> </w:t>
      </w:r>
      <w:r w:rsidR="00062BFA" w:rsidRPr="004F6DAA">
        <w:rPr>
          <w:noProof/>
        </w:rPr>
        <w:t>wsz</w:t>
      </w:r>
      <w:r w:rsidR="008E648C" w:rsidRPr="004F6DAA">
        <w:rPr>
          <w:noProof/>
        </w:rPr>
        <w:t>elkie inne istotne informacje dostępne właściwym organom. Analiza ryzyka dotycząca oświadczeń</w:t>
      </w:r>
      <w:r w:rsidR="00062BFA" w:rsidRPr="004F6DAA">
        <w:rPr>
          <w:noProof/>
        </w:rPr>
        <w:t xml:space="preserve"> o</w:t>
      </w:r>
      <w:r w:rsidR="00062BFA">
        <w:rPr>
          <w:noProof/>
        </w:rPr>
        <w:t> </w:t>
      </w:r>
      <w:r w:rsidR="00062BFA" w:rsidRPr="004F6DAA">
        <w:rPr>
          <w:noProof/>
        </w:rPr>
        <w:t>zac</w:t>
      </w:r>
      <w:r w:rsidR="008E648C" w:rsidRPr="004F6DAA">
        <w:rPr>
          <w:noProof/>
        </w:rPr>
        <w:t>howaniu należytej staranności powinna umożliwić właściwym organom zidentyfikowanie podmiotów, podmiotów handlowych</w:t>
      </w:r>
      <w:r w:rsidR="00062BFA" w:rsidRPr="004F6DAA">
        <w:rPr>
          <w:noProof/>
        </w:rPr>
        <w:t xml:space="preserve"> i</w:t>
      </w:r>
      <w:r w:rsidR="00062BFA">
        <w:rPr>
          <w:noProof/>
        </w:rPr>
        <w:t> </w:t>
      </w:r>
      <w:r w:rsidR="00062BFA" w:rsidRPr="004F6DAA">
        <w:rPr>
          <w:noProof/>
        </w:rPr>
        <w:t>odn</w:t>
      </w:r>
      <w:r w:rsidR="008E648C" w:rsidRPr="004F6DAA">
        <w:rPr>
          <w:noProof/>
        </w:rPr>
        <w:t>ośnych towarów</w:t>
      </w:r>
      <w:r w:rsidR="00062BFA" w:rsidRPr="004F6DAA">
        <w:rPr>
          <w:noProof/>
        </w:rPr>
        <w:t xml:space="preserve"> i</w:t>
      </w:r>
      <w:r w:rsidR="00062BFA">
        <w:rPr>
          <w:noProof/>
        </w:rPr>
        <w:t> </w:t>
      </w:r>
      <w:r w:rsidR="00062BFA" w:rsidRPr="004F6DAA">
        <w:rPr>
          <w:noProof/>
        </w:rPr>
        <w:t>pro</w:t>
      </w:r>
      <w:r w:rsidR="008E648C" w:rsidRPr="004F6DAA">
        <w:rPr>
          <w:noProof/>
        </w:rPr>
        <w:t>duktów, które należy poddać kontroli,</w:t>
      </w:r>
      <w:r w:rsidR="00062BFA" w:rsidRPr="004F6DAA">
        <w:rPr>
          <w:noProof/>
        </w:rPr>
        <w:t xml:space="preserve"> i</w:t>
      </w:r>
      <w:r w:rsidR="00062BFA">
        <w:rPr>
          <w:noProof/>
        </w:rPr>
        <w:t> </w:t>
      </w:r>
      <w:r w:rsidR="00062BFA" w:rsidRPr="004F6DAA">
        <w:rPr>
          <w:noProof/>
        </w:rPr>
        <w:t>nal</w:t>
      </w:r>
      <w:r w:rsidR="008E648C" w:rsidRPr="004F6DAA">
        <w:rPr>
          <w:noProof/>
        </w:rPr>
        <w:t>eży ją przeprowadzać, stosując techniki elektronicznego przetwarzania danych</w:t>
      </w:r>
      <w:r w:rsidR="00062BFA" w:rsidRPr="004F6DAA">
        <w:rPr>
          <w:noProof/>
        </w:rPr>
        <w:t xml:space="preserve"> w</w:t>
      </w:r>
      <w:r w:rsidR="00062BFA">
        <w:rPr>
          <w:noProof/>
        </w:rPr>
        <w:t> </w:t>
      </w:r>
      <w:r w:rsidR="00062BFA" w:rsidRPr="004F6DAA">
        <w:rPr>
          <w:noProof/>
        </w:rPr>
        <w:t>sys</w:t>
      </w:r>
      <w:r w:rsidR="008E648C" w:rsidRPr="004F6DAA">
        <w:rPr>
          <w:noProof/>
        </w:rPr>
        <w:t>temie informacyjnym,</w:t>
      </w:r>
      <w:r w:rsidR="00062BFA" w:rsidRPr="004F6DAA">
        <w:rPr>
          <w:noProof/>
        </w:rPr>
        <w:t xml:space="preserve"> w</w:t>
      </w:r>
      <w:r w:rsidR="00062BFA">
        <w:rPr>
          <w:noProof/>
        </w:rPr>
        <w:t> </w:t>
      </w:r>
      <w:r w:rsidR="00062BFA" w:rsidRPr="004F6DAA">
        <w:rPr>
          <w:noProof/>
        </w:rPr>
        <w:t>któ</w:t>
      </w:r>
      <w:r w:rsidR="008E648C" w:rsidRPr="004F6DAA">
        <w:rPr>
          <w:noProof/>
        </w:rPr>
        <w:t>rym gromadzi się oświadczenia</w:t>
      </w:r>
      <w:r w:rsidR="00062BFA" w:rsidRPr="004F6DAA">
        <w:rPr>
          <w:noProof/>
        </w:rPr>
        <w:t xml:space="preserve"> o</w:t>
      </w:r>
      <w:r w:rsidR="00062BFA">
        <w:rPr>
          <w:noProof/>
        </w:rPr>
        <w:t> </w:t>
      </w:r>
      <w:r w:rsidR="00062BFA" w:rsidRPr="004F6DAA">
        <w:rPr>
          <w:noProof/>
        </w:rPr>
        <w:t>zac</w:t>
      </w:r>
      <w:r w:rsidR="008E648C" w:rsidRPr="004F6DAA">
        <w:rPr>
          <w:noProof/>
        </w:rPr>
        <w:t xml:space="preserve">howaniu należytej staranności. </w:t>
      </w:r>
    </w:p>
    <w:p w14:paraId="28F86DBD" w14:textId="77777777" w:rsidR="008E648C" w:rsidRPr="004F6DAA" w:rsidRDefault="007B7EB7" w:rsidP="007B7EB7">
      <w:pPr>
        <w:pStyle w:val="ManualConsidrant"/>
        <w:rPr>
          <w:noProof/>
        </w:rPr>
      </w:pPr>
      <w:r w:rsidRPr="007B7EB7">
        <w:t>(50)</w:t>
      </w:r>
      <w:r w:rsidRPr="007B7EB7">
        <w:tab/>
      </w:r>
      <w:r w:rsidR="008E648C" w:rsidRPr="004F6DAA">
        <w:rPr>
          <w:noProof/>
        </w:rPr>
        <w:t>Jeżeli analiza ryzyka dotycząca oświadczeń</w:t>
      </w:r>
      <w:r w:rsidR="00062BFA" w:rsidRPr="004F6DAA">
        <w:rPr>
          <w:noProof/>
        </w:rPr>
        <w:t xml:space="preserve"> o</w:t>
      </w:r>
      <w:r w:rsidR="00062BFA">
        <w:rPr>
          <w:noProof/>
        </w:rPr>
        <w:t> </w:t>
      </w:r>
      <w:r w:rsidR="00062BFA" w:rsidRPr="004F6DAA">
        <w:rPr>
          <w:noProof/>
        </w:rPr>
        <w:t>zac</w:t>
      </w:r>
      <w:r w:rsidR="008E648C" w:rsidRPr="004F6DAA">
        <w:rPr>
          <w:noProof/>
        </w:rPr>
        <w:t>howaniu należytej staranności wykaże wysokie ryzyko niezgodności konkretnych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właściwe organy powinny być</w:t>
      </w:r>
      <w:r w:rsidR="00062BFA" w:rsidRPr="004F6DAA">
        <w:rPr>
          <w:noProof/>
        </w:rPr>
        <w:t xml:space="preserve"> w</w:t>
      </w:r>
      <w:r w:rsidR="00062BFA">
        <w:rPr>
          <w:noProof/>
        </w:rPr>
        <w:t> </w:t>
      </w:r>
      <w:r w:rsidR="00062BFA" w:rsidRPr="004F6DAA">
        <w:rPr>
          <w:noProof/>
        </w:rPr>
        <w:t>sta</w:t>
      </w:r>
      <w:r w:rsidR="008E648C" w:rsidRPr="004F6DAA">
        <w:rPr>
          <w:noProof/>
        </w:rPr>
        <w:t>nie wprowadzić niezwłoczne środki tymczasowe</w:t>
      </w:r>
      <w:r w:rsidR="00062BFA" w:rsidRPr="004F6DAA">
        <w:rPr>
          <w:noProof/>
        </w:rPr>
        <w:t xml:space="preserve"> w</w:t>
      </w:r>
      <w:r w:rsidR="00062BFA">
        <w:rPr>
          <w:noProof/>
        </w:rPr>
        <w:t> </w:t>
      </w:r>
      <w:r w:rsidR="00062BFA" w:rsidRPr="004F6DAA">
        <w:rPr>
          <w:noProof/>
        </w:rPr>
        <w:t>cel</w:t>
      </w:r>
      <w:r w:rsidR="008E648C" w:rsidRPr="004F6DAA">
        <w:rPr>
          <w:noProof/>
        </w:rPr>
        <w:t>u zapobieżenia wprowadzenia tych towarów</w:t>
      </w:r>
      <w:r w:rsidR="00062BFA" w:rsidRPr="004F6DAA">
        <w:rPr>
          <w:noProof/>
        </w:rPr>
        <w:t xml:space="preserve"> i</w:t>
      </w:r>
      <w:r w:rsidR="00062BFA">
        <w:rPr>
          <w:noProof/>
        </w:rPr>
        <w:t> </w:t>
      </w:r>
      <w:r w:rsidR="00062BFA" w:rsidRPr="004F6DAA">
        <w:rPr>
          <w:noProof/>
        </w:rPr>
        <w:t>pro</w:t>
      </w:r>
      <w:r w:rsidR="008E648C" w:rsidRPr="004F6DAA">
        <w:rPr>
          <w:noProof/>
        </w:rPr>
        <w:t>duktów do obrotu</w:t>
      </w:r>
      <w:r w:rsidR="00062BFA" w:rsidRPr="004F6DAA">
        <w:rPr>
          <w:noProof/>
        </w:rPr>
        <w:t xml:space="preserve"> w</w:t>
      </w:r>
      <w:r w:rsidR="00062BFA">
        <w:rPr>
          <w:noProof/>
        </w:rPr>
        <w:t> </w:t>
      </w:r>
      <w:r w:rsidR="00062BFA" w:rsidRPr="004F6DAA">
        <w:rPr>
          <w:noProof/>
        </w:rPr>
        <w:t>Uni</w:t>
      </w:r>
      <w:r w:rsidR="008E648C" w:rsidRPr="004F6DAA">
        <w:rPr>
          <w:noProof/>
        </w:rPr>
        <w:t>i lub udostępnienia ich na rynku unijnym. Jeżeli takie odnośne towary</w:t>
      </w:r>
      <w:r w:rsidR="00062BFA" w:rsidRPr="004F6DAA">
        <w:rPr>
          <w:noProof/>
        </w:rPr>
        <w:t xml:space="preserve"> i</w:t>
      </w:r>
      <w:r w:rsidR="00062BFA">
        <w:rPr>
          <w:noProof/>
        </w:rPr>
        <w:t> </w:t>
      </w:r>
      <w:r w:rsidR="00062BFA" w:rsidRPr="004F6DAA">
        <w:rPr>
          <w:noProof/>
        </w:rPr>
        <w:t>pro</w:t>
      </w:r>
      <w:r w:rsidR="008E648C" w:rsidRPr="004F6DAA">
        <w:rPr>
          <w:noProof/>
        </w:rPr>
        <w:t>dukty wprowadzano na rynek unijny lub</w:t>
      </w:r>
      <w:r w:rsidR="00062BFA" w:rsidRPr="004F6DAA">
        <w:rPr>
          <w:noProof/>
        </w:rPr>
        <w:t xml:space="preserve"> z</w:t>
      </w:r>
      <w:r w:rsidR="00062BFA">
        <w:rPr>
          <w:noProof/>
        </w:rPr>
        <w:t> </w:t>
      </w:r>
      <w:r w:rsidR="00062BFA" w:rsidRPr="004F6DAA">
        <w:rPr>
          <w:noProof/>
        </w:rPr>
        <w:t>nie</w:t>
      </w:r>
      <w:r w:rsidR="008E648C" w:rsidRPr="004F6DAA">
        <w:rPr>
          <w:noProof/>
        </w:rPr>
        <w:t>go wyprowadzano, właściwe organy powinny zwrócić się</w:t>
      </w:r>
      <w:r w:rsidR="00062BFA" w:rsidRPr="004F6DAA">
        <w:rPr>
          <w:noProof/>
        </w:rPr>
        <w:t xml:space="preserve"> z</w:t>
      </w:r>
      <w:r w:rsidR="00062BFA">
        <w:rPr>
          <w:noProof/>
        </w:rPr>
        <w:t> </w:t>
      </w:r>
      <w:r w:rsidR="00062BFA" w:rsidRPr="004F6DAA">
        <w:rPr>
          <w:noProof/>
        </w:rPr>
        <w:t>wni</w:t>
      </w:r>
      <w:r w:rsidR="008E648C" w:rsidRPr="004F6DAA">
        <w:rPr>
          <w:noProof/>
        </w:rPr>
        <w:t>oskiem do organów celnych</w:t>
      </w:r>
      <w:r w:rsidR="00062BFA" w:rsidRPr="004F6DAA">
        <w:rPr>
          <w:noProof/>
        </w:rPr>
        <w:t xml:space="preserve"> o</w:t>
      </w:r>
      <w:r w:rsidR="00062BFA">
        <w:rPr>
          <w:noProof/>
        </w:rPr>
        <w:t> </w:t>
      </w:r>
      <w:r w:rsidR="00062BFA" w:rsidRPr="004F6DAA">
        <w:rPr>
          <w:noProof/>
        </w:rPr>
        <w:t>zaw</w:t>
      </w:r>
      <w:r w:rsidR="008E648C" w:rsidRPr="004F6DAA">
        <w:rPr>
          <w:noProof/>
        </w:rPr>
        <w:t>ieszenie dopuszczenia do obrotu lub wywozu, aby umożliwić właściwym organom przeprowadzenie niezbędnych kontroli. Wniosek taki należy przekazać przy pomocy systemu interfejsu między organami celnymi</w:t>
      </w:r>
      <w:r w:rsidR="00062BFA" w:rsidRPr="004F6DAA">
        <w:rPr>
          <w:noProof/>
        </w:rPr>
        <w:t xml:space="preserve"> i</w:t>
      </w:r>
      <w:r w:rsidR="00062BFA">
        <w:rPr>
          <w:noProof/>
        </w:rPr>
        <w:t> </w:t>
      </w:r>
      <w:r w:rsidR="00062BFA" w:rsidRPr="004F6DAA">
        <w:rPr>
          <w:noProof/>
        </w:rPr>
        <w:t>wła</w:t>
      </w:r>
      <w:r w:rsidR="008E648C" w:rsidRPr="004F6DAA">
        <w:rPr>
          <w:noProof/>
        </w:rPr>
        <w:t>ściwymi organami. Zawieszenie wprowadzania do obrotu</w:t>
      </w:r>
      <w:r w:rsidR="00062BFA" w:rsidRPr="004F6DAA">
        <w:rPr>
          <w:noProof/>
        </w:rPr>
        <w:t xml:space="preserve"> w</w:t>
      </w:r>
      <w:r w:rsidR="00062BFA">
        <w:rPr>
          <w:noProof/>
        </w:rPr>
        <w:t> </w:t>
      </w:r>
      <w:r w:rsidR="00062BFA" w:rsidRPr="004F6DAA">
        <w:rPr>
          <w:noProof/>
        </w:rPr>
        <w:t>Uni</w:t>
      </w:r>
      <w:r w:rsidR="008E648C" w:rsidRPr="004F6DAA">
        <w:rPr>
          <w:noProof/>
        </w:rPr>
        <w:t>i lub udostępniania na rynku unijnym, dopuszczenia do obrotu lub wywozu powinno ograniczać się do trzech dni roboczych, poza sytuacjami,</w:t>
      </w:r>
      <w:r w:rsidR="00062BFA" w:rsidRPr="004F6DAA">
        <w:rPr>
          <w:noProof/>
        </w:rPr>
        <w:t xml:space="preserve"> w</w:t>
      </w:r>
      <w:r w:rsidR="00062BFA">
        <w:rPr>
          <w:noProof/>
        </w:rPr>
        <w:t> </w:t>
      </w:r>
      <w:r w:rsidR="00062BFA" w:rsidRPr="004F6DAA">
        <w:rPr>
          <w:noProof/>
        </w:rPr>
        <w:t>któ</w:t>
      </w:r>
      <w:r w:rsidR="008E648C" w:rsidRPr="004F6DAA">
        <w:rPr>
          <w:noProof/>
        </w:rPr>
        <w:t>rych właściwe organy potrzebują dodatkowego czasu na dokonanie oceny zgodności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w:t>
      </w:r>
      <w:r w:rsidR="00062BFA" w:rsidRPr="004F6DAA">
        <w:rPr>
          <w:noProof/>
        </w:rPr>
        <w:t xml:space="preserve"> z</w:t>
      </w:r>
      <w:r w:rsidR="00062BFA">
        <w:rPr>
          <w:noProof/>
        </w:rPr>
        <w:t> </w:t>
      </w:r>
      <w:r w:rsidR="00062BFA" w:rsidRPr="004F6DAA">
        <w:rPr>
          <w:noProof/>
        </w:rPr>
        <w:t>prz</w:t>
      </w:r>
      <w:r w:rsidR="008E648C" w:rsidRPr="004F6DAA">
        <w:rPr>
          <w:noProof/>
        </w:rPr>
        <w:t>episami niniejszego rozporządzenia</w:t>
      </w:r>
      <w:r w:rsidR="00062BFA" w:rsidRPr="004F6DAA">
        <w:rPr>
          <w:noProof/>
        </w:rPr>
        <w:t>. W</w:t>
      </w:r>
      <w:r w:rsidR="00062BFA">
        <w:rPr>
          <w:noProof/>
        </w:rPr>
        <w:t> </w:t>
      </w:r>
      <w:r w:rsidR="00062BFA" w:rsidRPr="004F6DAA">
        <w:rPr>
          <w:noProof/>
        </w:rPr>
        <w:t>tak</w:t>
      </w:r>
      <w:r w:rsidR="008E648C" w:rsidRPr="004F6DAA">
        <w:rPr>
          <w:noProof/>
        </w:rPr>
        <w:t>im przypadku właściwe organy powinny wprowadzić dodatkowe środki tymczasowe, aby wydłużyć ten okres zawieszenia, lub</w:t>
      </w:r>
      <w:r w:rsidR="00062BFA" w:rsidRPr="004F6DAA">
        <w:rPr>
          <w:noProof/>
        </w:rPr>
        <w:t xml:space="preserve"> w</w:t>
      </w:r>
      <w:r w:rsidR="00062BFA">
        <w:rPr>
          <w:noProof/>
        </w:rPr>
        <w:t> </w:t>
      </w:r>
      <w:r w:rsidR="00062BFA" w:rsidRPr="004F6DAA">
        <w:rPr>
          <w:noProof/>
        </w:rPr>
        <w:t>prz</w:t>
      </w:r>
      <w:r w:rsidR="008E648C" w:rsidRPr="004F6DAA">
        <w:rPr>
          <w:noProof/>
        </w:rPr>
        <w:t>ypadku wprowadzania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na rynek unijny lub wyprowadzania ich</w:t>
      </w:r>
      <w:r w:rsidR="00062BFA" w:rsidRPr="004F6DAA">
        <w:rPr>
          <w:noProof/>
        </w:rPr>
        <w:t xml:space="preserve"> z</w:t>
      </w:r>
      <w:r w:rsidR="00062BFA">
        <w:rPr>
          <w:noProof/>
        </w:rPr>
        <w:t> </w:t>
      </w:r>
      <w:r w:rsidR="00062BFA" w:rsidRPr="004F6DAA">
        <w:rPr>
          <w:noProof/>
        </w:rPr>
        <w:t>nie</w:t>
      </w:r>
      <w:r w:rsidR="008E648C" w:rsidRPr="004F6DAA">
        <w:rPr>
          <w:noProof/>
        </w:rPr>
        <w:t>go zwrócić się</w:t>
      </w:r>
      <w:r w:rsidR="00062BFA" w:rsidRPr="004F6DAA">
        <w:rPr>
          <w:noProof/>
        </w:rPr>
        <w:t xml:space="preserve"> z</w:t>
      </w:r>
      <w:r w:rsidR="00062BFA">
        <w:rPr>
          <w:noProof/>
        </w:rPr>
        <w:t> </w:t>
      </w:r>
      <w:r w:rsidR="00062BFA" w:rsidRPr="004F6DAA">
        <w:rPr>
          <w:noProof/>
        </w:rPr>
        <w:t>wni</w:t>
      </w:r>
      <w:r w:rsidR="008E648C" w:rsidRPr="004F6DAA">
        <w:rPr>
          <w:noProof/>
        </w:rPr>
        <w:t>oskiem</w:t>
      </w:r>
      <w:r w:rsidR="00062BFA" w:rsidRPr="004F6DAA">
        <w:rPr>
          <w:noProof/>
        </w:rPr>
        <w:t xml:space="preserve"> o</w:t>
      </w:r>
      <w:r w:rsidR="00062BFA">
        <w:rPr>
          <w:noProof/>
        </w:rPr>
        <w:t> </w:t>
      </w:r>
      <w:r w:rsidR="00062BFA" w:rsidRPr="004F6DAA">
        <w:rPr>
          <w:noProof/>
        </w:rPr>
        <w:t>tak</w:t>
      </w:r>
      <w:r w:rsidR="008E648C" w:rsidRPr="004F6DAA">
        <w:rPr>
          <w:noProof/>
        </w:rPr>
        <w:t xml:space="preserve">ie wydłużenie do organów celnych. </w:t>
      </w:r>
    </w:p>
    <w:p w14:paraId="5D96B0F8" w14:textId="77777777" w:rsidR="008E648C" w:rsidRPr="00062BFA" w:rsidRDefault="007B7EB7" w:rsidP="007B7EB7">
      <w:pPr>
        <w:pStyle w:val="ManualConsidrant"/>
        <w:rPr>
          <w:noProof/>
        </w:rPr>
      </w:pPr>
      <w:r w:rsidRPr="007B7EB7">
        <w:t>(51)</w:t>
      </w:r>
      <w:r w:rsidRPr="007B7EB7">
        <w:tab/>
      </w:r>
      <w:r w:rsidR="008E648C" w:rsidRPr="004F6DAA">
        <w:rPr>
          <w:noProof/>
        </w:rPr>
        <w:t>Plany kontroli należy poddawać regularnej aktualizacji, opierając się na wynikach dotyczących ich realizacji. Podmioty wykazujące się stałą zgodnością</w:t>
      </w:r>
      <w:r w:rsidR="00062BFA" w:rsidRPr="004F6DAA">
        <w:rPr>
          <w:noProof/>
        </w:rPr>
        <w:t xml:space="preserve"> z</w:t>
      </w:r>
      <w:r w:rsidR="00062BFA">
        <w:rPr>
          <w:noProof/>
        </w:rPr>
        <w:t> </w:t>
      </w:r>
      <w:r w:rsidR="00062BFA" w:rsidRPr="004F6DAA">
        <w:rPr>
          <w:noProof/>
        </w:rPr>
        <w:t>prz</w:t>
      </w:r>
      <w:r w:rsidR="008E648C" w:rsidRPr="004F6DAA">
        <w:rPr>
          <w:noProof/>
        </w:rPr>
        <w:t>episami należy rzadziej poddawać kontrolom</w:t>
      </w:r>
      <w:r w:rsidR="008E648C" w:rsidRPr="00062BFA">
        <w:rPr>
          <w:noProof/>
        </w:rPr>
        <w:t>.</w:t>
      </w:r>
      <w:r w:rsidR="00062BFA" w:rsidRPr="00062BFA">
        <w:rPr>
          <w:noProof/>
        </w:rPr>
        <w:t xml:space="preserve"> </w:t>
      </w:r>
    </w:p>
    <w:p w14:paraId="790FF49B" w14:textId="77777777" w:rsidR="008E648C" w:rsidRPr="004F6DAA" w:rsidRDefault="007B7EB7" w:rsidP="007B7EB7">
      <w:pPr>
        <w:pStyle w:val="ManualConsidrant"/>
        <w:rPr>
          <w:noProof/>
        </w:rPr>
      </w:pPr>
      <w:r w:rsidRPr="007B7EB7">
        <w:t>(52)</w:t>
      </w:r>
      <w:r w:rsidRPr="007B7EB7">
        <w:tab/>
      </w:r>
      <w:r w:rsidR="008E648C" w:rsidRPr="004F6DAA">
        <w:rPr>
          <w:noProof/>
        </w:rPr>
        <w:t>Aby zapewnić wdrożenie</w:t>
      </w:r>
      <w:r w:rsidR="00062BFA" w:rsidRPr="004F6DAA">
        <w:rPr>
          <w:noProof/>
        </w:rPr>
        <w:t xml:space="preserve"> i</w:t>
      </w:r>
      <w:r w:rsidR="00062BFA">
        <w:rPr>
          <w:noProof/>
        </w:rPr>
        <w:t> </w:t>
      </w:r>
      <w:r w:rsidR="00062BFA" w:rsidRPr="004F6DAA">
        <w:rPr>
          <w:noProof/>
        </w:rPr>
        <w:t>sku</w:t>
      </w:r>
      <w:r w:rsidR="008E648C" w:rsidRPr="004F6DAA">
        <w:rPr>
          <w:noProof/>
        </w:rPr>
        <w:t>teczne egzekwowanie przepisów niniejszego rozporządzenia, państwa członkowskie powinny być uprawnione do wycofania</w:t>
      </w:r>
      <w:r w:rsidR="00062BFA" w:rsidRPr="004F6DAA">
        <w:rPr>
          <w:noProof/>
        </w:rPr>
        <w:t xml:space="preserve"> i</w:t>
      </w:r>
      <w:r w:rsidR="00062BFA">
        <w:rPr>
          <w:noProof/>
        </w:rPr>
        <w:t> </w:t>
      </w:r>
      <w:r w:rsidR="00062BFA" w:rsidRPr="004F6DAA">
        <w:rPr>
          <w:noProof/>
        </w:rPr>
        <w:t>odz</w:t>
      </w:r>
      <w:r w:rsidR="008E648C" w:rsidRPr="004F6DAA">
        <w:rPr>
          <w:noProof/>
        </w:rPr>
        <w:t>yskania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 niezgodnych</w:t>
      </w:r>
      <w:r w:rsidR="00062BFA" w:rsidRPr="004F6DAA">
        <w:rPr>
          <w:noProof/>
        </w:rPr>
        <w:t xml:space="preserve"> z</w:t>
      </w:r>
      <w:r w:rsidR="00062BFA">
        <w:rPr>
          <w:noProof/>
        </w:rPr>
        <w:t> </w:t>
      </w:r>
      <w:r w:rsidR="00062BFA" w:rsidRPr="004F6DAA">
        <w:rPr>
          <w:noProof/>
        </w:rPr>
        <w:t>wym</w:t>
      </w:r>
      <w:r w:rsidR="008E648C" w:rsidRPr="004F6DAA">
        <w:rPr>
          <w:noProof/>
        </w:rPr>
        <w:t>ogami oraz podjęcia odpowiednich działań naprawczych. Powinny one również zapewnić, aby stosowano skuteczne, proporcjonalne</w:t>
      </w:r>
      <w:r w:rsidR="00062BFA" w:rsidRPr="004F6DAA">
        <w:rPr>
          <w:noProof/>
        </w:rPr>
        <w:t xml:space="preserve"> i</w:t>
      </w:r>
      <w:r w:rsidR="00062BFA">
        <w:rPr>
          <w:noProof/>
        </w:rPr>
        <w:t> </w:t>
      </w:r>
      <w:r w:rsidR="00062BFA" w:rsidRPr="004F6DAA">
        <w:rPr>
          <w:noProof/>
        </w:rPr>
        <w:t>ods</w:t>
      </w:r>
      <w:r w:rsidR="008E648C" w:rsidRPr="004F6DAA">
        <w:rPr>
          <w:noProof/>
        </w:rPr>
        <w:t>traszające sankcje za naruszenia przepisów niniejszego rozporządzenia przez podmioty</w:t>
      </w:r>
      <w:r w:rsidR="00062BFA" w:rsidRPr="004F6DAA">
        <w:rPr>
          <w:noProof/>
        </w:rPr>
        <w:t xml:space="preserve"> i</w:t>
      </w:r>
      <w:r w:rsidR="00062BFA">
        <w:rPr>
          <w:noProof/>
        </w:rPr>
        <w:t> </w:t>
      </w:r>
      <w:r w:rsidR="00062BFA" w:rsidRPr="004F6DAA">
        <w:rPr>
          <w:noProof/>
        </w:rPr>
        <w:t>pod</w:t>
      </w:r>
      <w:r w:rsidR="008E648C" w:rsidRPr="004F6DAA">
        <w:rPr>
          <w:noProof/>
        </w:rPr>
        <w:t xml:space="preserve">mioty handlowe. </w:t>
      </w:r>
    </w:p>
    <w:p w14:paraId="7427C854" w14:textId="77777777" w:rsidR="008E648C" w:rsidRPr="004F6DAA" w:rsidRDefault="007B7EB7" w:rsidP="007B7EB7">
      <w:pPr>
        <w:pStyle w:val="ManualConsidrant"/>
        <w:rPr>
          <w:noProof/>
        </w:rPr>
      </w:pPr>
      <w:r w:rsidRPr="007B7EB7">
        <w:t>(53)</w:t>
      </w:r>
      <w:r w:rsidRPr="007B7EB7">
        <w:tab/>
      </w:r>
      <w:r w:rsidR="008E648C" w:rsidRPr="004F6DAA">
        <w:rPr>
          <w:noProof/>
        </w:rPr>
        <w:t>Ze względu na międzynarodowy charakter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oraz związanego</w:t>
      </w:r>
      <w:r w:rsidR="00062BFA" w:rsidRPr="004F6DAA">
        <w:rPr>
          <w:noProof/>
        </w:rPr>
        <w:t xml:space="preserve"> z</w:t>
      </w:r>
      <w:r w:rsidR="00062BFA">
        <w:rPr>
          <w:noProof/>
        </w:rPr>
        <w:t> </w:t>
      </w:r>
      <w:r w:rsidR="00062BFA" w:rsidRPr="004F6DAA">
        <w:rPr>
          <w:noProof/>
        </w:rPr>
        <w:t>nim</w:t>
      </w:r>
      <w:r w:rsidR="008E648C" w:rsidRPr="004F6DAA">
        <w:rPr>
          <w:noProof/>
        </w:rPr>
        <w:t>i handlu właściwe organy powinny współpracować ze sobą oraz</w:t>
      </w:r>
      <w:r w:rsidR="00062BFA" w:rsidRPr="004F6DAA">
        <w:rPr>
          <w:noProof/>
        </w:rPr>
        <w:t xml:space="preserve"> z</w:t>
      </w:r>
      <w:r w:rsidR="00062BFA">
        <w:rPr>
          <w:noProof/>
        </w:rPr>
        <w:t> </w:t>
      </w:r>
      <w:r w:rsidR="00062BFA" w:rsidRPr="004F6DAA">
        <w:rPr>
          <w:noProof/>
        </w:rPr>
        <w:t>org</w:t>
      </w:r>
      <w:r w:rsidR="008E648C" w:rsidRPr="004F6DAA">
        <w:rPr>
          <w:noProof/>
        </w:rPr>
        <w:t>anami celnymi państw członkowskich, Komisją,</w:t>
      </w:r>
      <w:r w:rsidR="00062BFA" w:rsidRPr="004F6DAA">
        <w:rPr>
          <w:noProof/>
        </w:rPr>
        <w:t xml:space="preserve"> a</w:t>
      </w:r>
      <w:r w:rsidR="00062BFA">
        <w:rPr>
          <w:noProof/>
        </w:rPr>
        <w:t> </w:t>
      </w:r>
      <w:r w:rsidR="00062BFA" w:rsidRPr="004F6DAA">
        <w:rPr>
          <w:noProof/>
        </w:rPr>
        <w:t>tak</w:t>
      </w:r>
      <w:r w:rsidR="008E648C" w:rsidRPr="004F6DAA">
        <w:rPr>
          <w:noProof/>
        </w:rPr>
        <w:t>że</w:t>
      </w:r>
      <w:r w:rsidR="00062BFA" w:rsidRPr="004F6DAA">
        <w:rPr>
          <w:noProof/>
        </w:rPr>
        <w:t xml:space="preserve"> z</w:t>
      </w:r>
      <w:r w:rsidR="00062BFA">
        <w:rPr>
          <w:noProof/>
        </w:rPr>
        <w:t> </w:t>
      </w:r>
      <w:r w:rsidR="00062BFA" w:rsidRPr="004F6DAA">
        <w:rPr>
          <w:noProof/>
        </w:rPr>
        <w:t>org</w:t>
      </w:r>
      <w:r w:rsidR="008E648C" w:rsidRPr="004F6DAA">
        <w:rPr>
          <w:noProof/>
        </w:rPr>
        <w:t>anami administracyjnymi państw trzecich. Właściwe organy powinny również współpracować</w:t>
      </w:r>
      <w:r w:rsidR="00062BFA" w:rsidRPr="004F6DAA">
        <w:rPr>
          <w:noProof/>
        </w:rPr>
        <w:t xml:space="preserve"> z</w:t>
      </w:r>
      <w:r w:rsidR="00062BFA">
        <w:rPr>
          <w:noProof/>
        </w:rPr>
        <w:t> </w:t>
      </w:r>
      <w:r w:rsidR="00062BFA" w:rsidRPr="004F6DAA">
        <w:rPr>
          <w:noProof/>
        </w:rPr>
        <w:t>wła</w:t>
      </w:r>
      <w:r w:rsidR="008E648C" w:rsidRPr="004F6DAA">
        <w:rPr>
          <w:noProof/>
        </w:rPr>
        <w:t>ściwymi organami odpowiedzialnymi za nadzór</w:t>
      </w:r>
      <w:r w:rsidR="00062BFA" w:rsidRPr="004F6DAA">
        <w:rPr>
          <w:noProof/>
        </w:rPr>
        <w:t xml:space="preserve"> i</w:t>
      </w:r>
      <w:r w:rsidR="00062BFA">
        <w:rPr>
          <w:noProof/>
        </w:rPr>
        <w:t> </w:t>
      </w:r>
      <w:r w:rsidR="00062BFA" w:rsidRPr="004F6DAA">
        <w:rPr>
          <w:noProof/>
        </w:rPr>
        <w:t>egz</w:t>
      </w:r>
      <w:r w:rsidR="008E648C" w:rsidRPr="004F6DAA">
        <w:rPr>
          <w:noProof/>
        </w:rPr>
        <w:t>ekwowanie innych instrumentów legislacyjnych UE określających wymogi</w:t>
      </w:r>
      <w:r w:rsidR="00062BFA" w:rsidRPr="004F6DAA">
        <w:rPr>
          <w:noProof/>
        </w:rPr>
        <w:t xml:space="preserve"> w</w:t>
      </w:r>
      <w:r w:rsidR="00062BFA">
        <w:rPr>
          <w:noProof/>
        </w:rPr>
        <w:t> </w:t>
      </w:r>
      <w:r w:rsidR="00062BFA" w:rsidRPr="004F6DAA">
        <w:rPr>
          <w:noProof/>
        </w:rPr>
        <w:t>zak</w:t>
      </w:r>
      <w:r w:rsidR="008E648C" w:rsidRPr="004F6DAA">
        <w:rPr>
          <w:noProof/>
        </w:rPr>
        <w:t>resie należytej staranności</w:t>
      </w:r>
      <w:r w:rsidR="00062BFA" w:rsidRPr="004F6DAA">
        <w:rPr>
          <w:noProof/>
        </w:rPr>
        <w:t xml:space="preserve"> w</w:t>
      </w:r>
      <w:r w:rsidR="00062BFA">
        <w:rPr>
          <w:noProof/>
        </w:rPr>
        <w:t> </w:t>
      </w:r>
      <w:r w:rsidR="00062BFA" w:rsidRPr="004F6DAA">
        <w:rPr>
          <w:noProof/>
        </w:rPr>
        <w:t>łań</w:t>
      </w:r>
      <w:r w:rsidR="008E648C" w:rsidRPr="004F6DAA">
        <w:rPr>
          <w:noProof/>
        </w:rPr>
        <w:t>cuchu wartości</w:t>
      </w:r>
      <w:r w:rsidR="00062BFA" w:rsidRPr="004F6DAA">
        <w:rPr>
          <w:noProof/>
        </w:rPr>
        <w:t xml:space="preserve"> w</w:t>
      </w:r>
      <w:r w:rsidR="00062BFA">
        <w:rPr>
          <w:noProof/>
        </w:rPr>
        <w:t> </w:t>
      </w:r>
      <w:r w:rsidR="00062BFA" w:rsidRPr="004F6DAA">
        <w:rPr>
          <w:noProof/>
        </w:rPr>
        <w:t>odn</w:t>
      </w:r>
      <w:r w:rsidR="008E648C" w:rsidRPr="004F6DAA">
        <w:rPr>
          <w:noProof/>
        </w:rPr>
        <w:t>iesieniu do niekorzystnego wpływu na prawa człowieka lub środowisko.</w:t>
      </w:r>
    </w:p>
    <w:p w14:paraId="353D3F9E" w14:textId="77777777" w:rsidR="008E648C" w:rsidRPr="004F6DAA" w:rsidRDefault="007B7EB7" w:rsidP="007B7EB7">
      <w:pPr>
        <w:pStyle w:val="ManualConsidrant"/>
        <w:rPr>
          <w:noProof/>
        </w:rPr>
      </w:pPr>
      <w:r w:rsidRPr="007B7EB7">
        <w:t>(54)</w:t>
      </w:r>
      <w:r w:rsidRPr="007B7EB7">
        <w:tab/>
      </w:r>
      <w:r w:rsidR="008E648C" w:rsidRPr="004F6DAA">
        <w:rPr>
          <w:noProof/>
        </w:rPr>
        <w:t>Chociaż niniejsze rozporządzenie odnosi się do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jak przewidziano</w:t>
      </w:r>
      <w:r w:rsidR="00062BFA" w:rsidRPr="004F6DAA">
        <w:rPr>
          <w:noProof/>
        </w:rPr>
        <w:t xml:space="preserve"> w</w:t>
      </w:r>
      <w:r w:rsidR="00062BFA">
        <w:rPr>
          <w:noProof/>
        </w:rPr>
        <w:t> </w:t>
      </w:r>
      <w:r w:rsidR="00062BFA" w:rsidRPr="004F6DAA">
        <w:rPr>
          <w:noProof/>
        </w:rPr>
        <w:t>kom</w:t>
      </w:r>
      <w:r w:rsidR="008E648C" w:rsidRPr="004F6DAA">
        <w:rPr>
          <w:noProof/>
        </w:rPr>
        <w:t>unikacie</w:t>
      </w:r>
      <w:r w:rsidR="00062BFA" w:rsidRPr="004F6DAA">
        <w:rPr>
          <w:noProof/>
        </w:rPr>
        <w:t xml:space="preserve"> z</w:t>
      </w:r>
      <w:r w:rsidR="00062BFA">
        <w:rPr>
          <w:noProof/>
        </w:rPr>
        <w:t> </w:t>
      </w:r>
      <w:r w:rsidR="00062BFA" w:rsidRPr="004F6DAA">
        <w:rPr>
          <w:noProof/>
        </w:rPr>
        <w:t>2</w:t>
      </w:r>
      <w:r w:rsidR="008E648C" w:rsidRPr="004F6DAA">
        <w:rPr>
          <w:noProof/>
        </w:rPr>
        <w:t>0</w:t>
      </w:r>
      <w:r w:rsidR="008E648C" w:rsidRPr="00062BFA">
        <w:rPr>
          <w:noProof/>
        </w:rPr>
        <w:t>19</w:t>
      </w:r>
      <w:r w:rsidR="00062BFA" w:rsidRPr="00062BFA">
        <w:rPr>
          <w:noProof/>
        </w:rPr>
        <w:t> </w:t>
      </w:r>
      <w:r w:rsidR="008E648C" w:rsidRPr="00062BFA">
        <w:rPr>
          <w:noProof/>
        </w:rPr>
        <w:t>r.</w:t>
      </w:r>
      <w:r w:rsidR="008E648C" w:rsidRPr="004F6DAA">
        <w:rPr>
          <w:noProof/>
        </w:rPr>
        <w:t xml:space="preserve"> „Zintensyfikowanie działań UE na rzecz ochrony</w:t>
      </w:r>
      <w:r w:rsidR="00062BFA" w:rsidRPr="004F6DAA">
        <w:rPr>
          <w:noProof/>
        </w:rPr>
        <w:t xml:space="preserve"> i</w:t>
      </w:r>
      <w:r w:rsidR="00062BFA">
        <w:rPr>
          <w:noProof/>
        </w:rPr>
        <w:t> </w:t>
      </w:r>
      <w:r w:rsidR="00062BFA" w:rsidRPr="004F6DAA">
        <w:rPr>
          <w:noProof/>
        </w:rPr>
        <w:t>odt</w:t>
      </w:r>
      <w:r w:rsidR="008E648C" w:rsidRPr="004F6DAA">
        <w:rPr>
          <w:noProof/>
        </w:rPr>
        <w:t>warzania światowych lasów”, ochrona lasów nie powinna prowadzić do przekształcania ani degradacji innych ekosystemów naturalnych. Ekosystemy takie jak tereny podmokłe, sawanny</w:t>
      </w:r>
      <w:r w:rsidR="00062BFA" w:rsidRPr="004F6DAA">
        <w:rPr>
          <w:noProof/>
        </w:rPr>
        <w:t xml:space="preserve"> i</w:t>
      </w:r>
      <w:r w:rsidR="00062BFA">
        <w:rPr>
          <w:noProof/>
        </w:rPr>
        <w:t> </w:t>
      </w:r>
      <w:r w:rsidR="00062BFA" w:rsidRPr="004F6DAA">
        <w:rPr>
          <w:noProof/>
        </w:rPr>
        <w:t>tor</w:t>
      </w:r>
      <w:r w:rsidR="008E648C" w:rsidRPr="004F6DAA">
        <w:rPr>
          <w:noProof/>
        </w:rPr>
        <w:t>fowiska mają s</w:t>
      </w:r>
      <w:r w:rsidR="008E648C" w:rsidRPr="004F6DAA">
        <w:rPr>
          <w:noProof/>
          <w:shd w:val="clear" w:color="auto" w:fill="FFFFFF"/>
        </w:rPr>
        <w:t>szczególne znaczenie dla globalnych starań na rzecz zwalczania zmiany klimatu, jak również dla realizacji innych celów zrównoważonego rozwoju,</w:t>
      </w:r>
      <w:r w:rsidR="00062BFA" w:rsidRPr="004F6DAA">
        <w:rPr>
          <w:noProof/>
          <w:shd w:val="clear" w:color="auto" w:fill="FFFFFF"/>
        </w:rPr>
        <w:t xml:space="preserve"> a</w:t>
      </w:r>
      <w:r w:rsidR="00062BFA">
        <w:rPr>
          <w:noProof/>
          <w:shd w:val="clear" w:color="auto" w:fill="FFFFFF"/>
        </w:rPr>
        <w:t> </w:t>
      </w:r>
      <w:r w:rsidR="00062BFA" w:rsidRPr="004F6DAA">
        <w:rPr>
          <w:noProof/>
          <w:shd w:val="clear" w:color="auto" w:fill="FFFFFF"/>
        </w:rPr>
        <w:t>ich</w:t>
      </w:r>
      <w:r w:rsidR="008E648C" w:rsidRPr="004F6DAA">
        <w:rPr>
          <w:noProof/>
        </w:rPr>
        <w:t xml:space="preserve"> </w:t>
      </w:r>
      <w:r w:rsidR="008E648C" w:rsidRPr="004F6DAA">
        <w:rPr>
          <w:noProof/>
          <w:shd w:val="clear" w:color="auto" w:fill="FFFFFF"/>
        </w:rPr>
        <w:t xml:space="preserve">przekształcanie lub degradacja wymagają szczególnie pilnej uwagi. </w:t>
      </w:r>
      <w:r w:rsidR="008E648C" w:rsidRPr="004F6DAA">
        <w:rPr>
          <w:noProof/>
        </w:rPr>
        <w:t>Aby zająć się tą kwestią, Komisja powinna dwa lata po wejściu</w:t>
      </w:r>
      <w:r w:rsidR="00062BFA" w:rsidRPr="004F6DAA">
        <w:rPr>
          <w:noProof/>
        </w:rPr>
        <w:t xml:space="preserve"> w</w:t>
      </w:r>
      <w:r w:rsidR="00062BFA">
        <w:rPr>
          <w:noProof/>
        </w:rPr>
        <w:t> </w:t>
      </w:r>
      <w:r w:rsidR="00062BFA" w:rsidRPr="004F6DAA">
        <w:rPr>
          <w:noProof/>
        </w:rPr>
        <w:t>życ</w:t>
      </w:r>
      <w:r w:rsidR="008E648C" w:rsidRPr="004F6DAA">
        <w:rPr>
          <w:noProof/>
        </w:rPr>
        <w:t>ie ocenić potrzebę</w:t>
      </w:r>
      <w:r w:rsidR="00062BFA" w:rsidRPr="004F6DAA">
        <w:rPr>
          <w:noProof/>
        </w:rPr>
        <w:t xml:space="preserve"> i</w:t>
      </w:r>
      <w:r w:rsidR="00062BFA">
        <w:rPr>
          <w:noProof/>
        </w:rPr>
        <w:t> </w:t>
      </w:r>
      <w:r w:rsidR="00062BFA" w:rsidRPr="004F6DAA">
        <w:rPr>
          <w:noProof/>
        </w:rPr>
        <w:t>wyk</w:t>
      </w:r>
      <w:r w:rsidR="008E648C" w:rsidRPr="004F6DAA">
        <w:rPr>
          <w:noProof/>
        </w:rPr>
        <w:t>onalność rozszerzenia zakresu stosowania na inne ekosystemy i na dodatkowe towary. Jednocześnie Komisja powinna również dokonać przeglądu,</w:t>
      </w:r>
      <w:r w:rsidR="00062BFA" w:rsidRPr="004F6DAA">
        <w:rPr>
          <w:noProof/>
        </w:rPr>
        <w:t xml:space="preserve"> w</w:t>
      </w:r>
      <w:r w:rsidR="00062BFA">
        <w:rPr>
          <w:noProof/>
        </w:rPr>
        <w:t> </w:t>
      </w:r>
      <w:r w:rsidR="00062BFA" w:rsidRPr="004F6DAA">
        <w:rPr>
          <w:noProof/>
        </w:rPr>
        <w:t>dro</w:t>
      </w:r>
      <w:r w:rsidR="008E648C" w:rsidRPr="004F6DAA">
        <w:rPr>
          <w:noProof/>
        </w:rPr>
        <w:t>dze aktu delegowanego, odnośnych produktów określonych</w:t>
      </w:r>
      <w:r w:rsidR="00062BFA" w:rsidRPr="004F6DAA">
        <w:rPr>
          <w:noProof/>
        </w:rPr>
        <w:t xml:space="preserve"> w</w:t>
      </w:r>
      <w:r w:rsidR="00062BFA">
        <w:rPr>
          <w:noProof/>
        </w:rPr>
        <w:t> </w:t>
      </w:r>
      <w:r w:rsidR="00062BFA" w:rsidRPr="004F6DAA">
        <w:rPr>
          <w:noProof/>
        </w:rPr>
        <w:t>wyk</w:t>
      </w:r>
      <w:r w:rsidR="008E648C" w:rsidRPr="004F6DAA">
        <w:rPr>
          <w:noProof/>
        </w:rPr>
        <w:t>azie</w:t>
      </w:r>
      <w:r w:rsidR="00062BFA" w:rsidRPr="004F6DAA">
        <w:rPr>
          <w:noProof/>
        </w:rPr>
        <w:t xml:space="preserve"> w</w:t>
      </w:r>
      <w:r w:rsidR="00062BFA">
        <w:rPr>
          <w:noProof/>
        </w:rPr>
        <w:t> </w:t>
      </w:r>
      <w:r w:rsidR="00062BFA" w:rsidRPr="004F6DAA">
        <w:rPr>
          <w:noProof/>
        </w:rPr>
        <w:t>zał</w:t>
      </w:r>
      <w:r w:rsidR="008E648C" w:rsidRPr="004F6DAA">
        <w:rPr>
          <w:noProof/>
        </w:rPr>
        <w:t>ączniku I do niniejszego rozporządzenia.</w:t>
      </w:r>
    </w:p>
    <w:p w14:paraId="09BE690B" w14:textId="77777777" w:rsidR="008E648C" w:rsidRPr="004F6DAA" w:rsidRDefault="007B7EB7" w:rsidP="007B7EB7">
      <w:pPr>
        <w:pStyle w:val="ManualConsidrant"/>
        <w:rPr>
          <w:noProof/>
        </w:rPr>
      </w:pPr>
      <w:r w:rsidRPr="007B7EB7">
        <w:t>(55)</w:t>
      </w:r>
      <w:r w:rsidRPr="007B7EB7">
        <w:tab/>
      </w:r>
      <w:r w:rsidR="008E648C" w:rsidRPr="004F6DAA">
        <w:rPr>
          <w:noProof/>
        </w:rPr>
        <w:t>W celu zapewnienia, aby wymogi informacyjne, których muszą przestrzegać podmioty</w:t>
      </w:r>
      <w:r w:rsidR="00062BFA" w:rsidRPr="004F6DAA">
        <w:rPr>
          <w:noProof/>
        </w:rPr>
        <w:t xml:space="preserve"> i</w:t>
      </w:r>
      <w:r w:rsidR="00062BFA">
        <w:rPr>
          <w:noProof/>
        </w:rPr>
        <w:t> </w:t>
      </w:r>
      <w:r w:rsidR="00062BFA" w:rsidRPr="004F6DAA">
        <w:rPr>
          <w:noProof/>
        </w:rPr>
        <w:t>któ</w:t>
      </w:r>
      <w:r w:rsidR="008E648C" w:rsidRPr="004F6DAA">
        <w:rPr>
          <w:noProof/>
        </w:rPr>
        <w:t>re określono</w:t>
      </w:r>
      <w:r w:rsidR="00062BFA" w:rsidRPr="004F6DAA">
        <w:rPr>
          <w:noProof/>
        </w:rPr>
        <w:t xml:space="preserve"> w</w:t>
      </w:r>
      <w:r w:rsidR="00062BFA">
        <w:rPr>
          <w:noProof/>
        </w:rPr>
        <w:t> </w:t>
      </w:r>
      <w:r w:rsidR="00062BFA" w:rsidRPr="004F6DAA">
        <w:rPr>
          <w:noProof/>
        </w:rPr>
        <w:t>nin</w:t>
      </w:r>
      <w:r w:rsidR="008E648C" w:rsidRPr="004F6DAA">
        <w:rPr>
          <w:noProof/>
        </w:rPr>
        <w:t>iejszym rozporządzeniu, były nadal istotne</w:t>
      </w:r>
      <w:r w:rsidR="00062BFA" w:rsidRPr="004F6DAA">
        <w:rPr>
          <w:noProof/>
        </w:rPr>
        <w:t xml:space="preserve"> i</w:t>
      </w:r>
      <w:r w:rsidR="00062BFA">
        <w:rPr>
          <w:noProof/>
        </w:rPr>
        <w:t> </w:t>
      </w:r>
      <w:r w:rsidR="00062BFA" w:rsidRPr="004F6DAA">
        <w:rPr>
          <w:noProof/>
        </w:rPr>
        <w:t>zgo</w:t>
      </w:r>
      <w:r w:rsidR="008E648C" w:rsidRPr="004F6DAA">
        <w:rPr>
          <w:noProof/>
        </w:rPr>
        <w:t>dne</w:t>
      </w:r>
      <w:r w:rsidR="00062BFA" w:rsidRPr="004F6DAA">
        <w:rPr>
          <w:noProof/>
        </w:rPr>
        <w:t xml:space="preserve"> z</w:t>
      </w:r>
      <w:r w:rsidR="00062BFA">
        <w:rPr>
          <w:noProof/>
        </w:rPr>
        <w:t> </w:t>
      </w:r>
      <w:r w:rsidR="00062BFA" w:rsidRPr="004F6DAA">
        <w:rPr>
          <w:noProof/>
        </w:rPr>
        <w:t>roz</w:t>
      </w:r>
      <w:r w:rsidR="008E648C" w:rsidRPr="004F6DAA">
        <w:rPr>
          <w:noProof/>
        </w:rPr>
        <w:t>wojem naukowym</w:t>
      </w:r>
      <w:r w:rsidR="00062BFA" w:rsidRPr="004F6DAA">
        <w:rPr>
          <w:noProof/>
        </w:rPr>
        <w:t xml:space="preserve"> i</w:t>
      </w:r>
      <w:r w:rsidR="00062BFA">
        <w:rPr>
          <w:noProof/>
        </w:rPr>
        <w:t> </w:t>
      </w:r>
      <w:r w:rsidR="00062BFA" w:rsidRPr="004F6DAA">
        <w:rPr>
          <w:noProof/>
        </w:rPr>
        <w:t>tec</w:t>
      </w:r>
      <w:r w:rsidR="008E648C" w:rsidRPr="004F6DAA">
        <w:rPr>
          <w:noProof/>
        </w:rPr>
        <w:t>hnologicznym, należy przekazać Komisji uprawnienia do przyjęcia aktów zgodnie</w:t>
      </w:r>
      <w:r w:rsidR="00062BFA" w:rsidRPr="004F6DAA">
        <w:rPr>
          <w:noProof/>
        </w:rPr>
        <w:t xml:space="preserve"> z</w:t>
      </w:r>
      <w:r w:rsidR="00062BFA">
        <w:rPr>
          <w:noProof/>
        </w:rPr>
        <w:t> </w:t>
      </w:r>
      <w:r w:rsidR="00062BFA" w:rsidRPr="00062BFA">
        <w:rPr>
          <w:noProof/>
        </w:rPr>
        <w:t>art</w:t>
      </w:r>
      <w:r w:rsidR="008E648C" w:rsidRPr="00062BFA">
        <w:rPr>
          <w:noProof/>
        </w:rPr>
        <w:t>.</w:t>
      </w:r>
      <w:r w:rsidR="00062BFA" w:rsidRPr="00062BFA">
        <w:rPr>
          <w:noProof/>
        </w:rPr>
        <w:t> </w:t>
      </w:r>
      <w:r w:rsidR="008E648C" w:rsidRPr="00062BFA">
        <w:rPr>
          <w:noProof/>
        </w:rPr>
        <w:t>2</w:t>
      </w:r>
      <w:r w:rsidR="008E648C" w:rsidRPr="004F6DAA">
        <w:rPr>
          <w:noProof/>
        </w:rPr>
        <w:t>90 Traktatu</w:t>
      </w:r>
      <w:r w:rsidR="00062BFA" w:rsidRPr="004F6DAA">
        <w:rPr>
          <w:noProof/>
        </w:rPr>
        <w:t xml:space="preserve"> o</w:t>
      </w:r>
      <w:r w:rsidR="00062BFA">
        <w:rPr>
          <w:noProof/>
        </w:rPr>
        <w:t> </w:t>
      </w:r>
      <w:r w:rsidR="00062BFA" w:rsidRPr="004F6DAA">
        <w:rPr>
          <w:noProof/>
        </w:rPr>
        <w:t>fun</w:t>
      </w:r>
      <w:r w:rsidR="008E648C" w:rsidRPr="004F6DAA">
        <w:rPr>
          <w:noProof/>
        </w:rPr>
        <w:t>kcjonowaniu Unii Europejskiej jeśli chodzi</w:t>
      </w:r>
      <w:r w:rsidR="00062BFA" w:rsidRPr="004F6DAA">
        <w:rPr>
          <w:noProof/>
        </w:rPr>
        <w:t xml:space="preserve"> o</w:t>
      </w:r>
      <w:r w:rsidR="00062BFA">
        <w:rPr>
          <w:noProof/>
        </w:rPr>
        <w:t> </w:t>
      </w:r>
      <w:r w:rsidR="00062BFA" w:rsidRPr="004F6DAA">
        <w:rPr>
          <w:noProof/>
        </w:rPr>
        <w:t>uzu</w:t>
      </w:r>
      <w:r w:rsidR="008E648C" w:rsidRPr="004F6DAA">
        <w:rPr>
          <w:noProof/>
        </w:rPr>
        <w:t>pełnienie wymogów informacyjnych niezbędnych do przeprowadzenia procedury należytej staranności, informacji</w:t>
      </w:r>
      <w:r w:rsidR="00062BFA" w:rsidRPr="004F6DAA">
        <w:rPr>
          <w:noProof/>
        </w:rPr>
        <w:t xml:space="preserve"> i</w:t>
      </w:r>
      <w:r w:rsidR="00062BFA">
        <w:rPr>
          <w:noProof/>
        </w:rPr>
        <w:t> </w:t>
      </w:r>
      <w:r w:rsidR="00062BFA" w:rsidRPr="004F6DAA">
        <w:rPr>
          <w:noProof/>
        </w:rPr>
        <w:t>kry</w:t>
      </w:r>
      <w:r w:rsidR="008E648C" w:rsidRPr="004F6DAA">
        <w:rPr>
          <w:noProof/>
        </w:rPr>
        <w:t>teriów dotyczących oceny ryzyka</w:t>
      </w:r>
      <w:r w:rsidR="00062BFA" w:rsidRPr="004F6DAA">
        <w:rPr>
          <w:noProof/>
        </w:rPr>
        <w:t xml:space="preserve"> i</w:t>
      </w:r>
      <w:r w:rsidR="00062BFA">
        <w:rPr>
          <w:noProof/>
        </w:rPr>
        <w:t> </w:t>
      </w:r>
      <w:r w:rsidR="00062BFA" w:rsidRPr="004F6DAA">
        <w:rPr>
          <w:noProof/>
        </w:rPr>
        <w:t>łag</w:t>
      </w:r>
      <w:r w:rsidR="008E648C" w:rsidRPr="004F6DAA">
        <w:rPr>
          <w:noProof/>
        </w:rPr>
        <w:t>odzenia ryzyka, których muszą przestrzegać podmioty</w:t>
      </w:r>
      <w:r w:rsidR="00062BFA" w:rsidRPr="004F6DAA">
        <w:rPr>
          <w:noProof/>
        </w:rPr>
        <w:t xml:space="preserve"> i</w:t>
      </w:r>
      <w:r w:rsidR="00062BFA">
        <w:rPr>
          <w:noProof/>
        </w:rPr>
        <w:t> </w:t>
      </w:r>
      <w:r w:rsidR="00062BFA" w:rsidRPr="004F6DAA">
        <w:rPr>
          <w:noProof/>
        </w:rPr>
        <w:t>któ</w:t>
      </w:r>
      <w:r w:rsidR="008E648C" w:rsidRPr="004F6DAA">
        <w:rPr>
          <w:noProof/>
        </w:rPr>
        <w:t>re określono</w:t>
      </w:r>
      <w:r w:rsidR="00062BFA" w:rsidRPr="004F6DAA">
        <w:rPr>
          <w:noProof/>
        </w:rPr>
        <w:t xml:space="preserve"> w</w:t>
      </w:r>
      <w:r w:rsidR="00062BFA">
        <w:rPr>
          <w:noProof/>
        </w:rPr>
        <w:t> </w:t>
      </w:r>
      <w:r w:rsidR="00062BFA" w:rsidRPr="004F6DAA">
        <w:rPr>
          <w:noProof/>
        </w:rPr>
        <w:t>nin</w:t>
      </w:r>
      <w:r w:rsidR="008E648C" w:rsidRPr="004F6DAA">
        <w:rPr>
          <w:noProof/>
        </w:rPr>
        <w:t>iejszym rozporządzeniu, oraz wykazu towarów określonego</w:t>
      </w:r>
      <w:r w:rsidR="00062BFA" w:rsidRPr="004F6DAA">
        <w:rPr>
          <w:noProof/>
        </w:rPr>
        <w:t xml:space="preserve"> w</w:t>
      </w:r>
      <w:r w:rsidR="00062BFA">
        <w:rPr>
          <w:noProof/>
        </w:rPr>
        <w:t> </w:t>
      </w:r>
      <w:r w:rsidR="00062BFA" w:rsidRPr="004F6DAA">
        <w:rPr>
          <w:noProof/>
        </w:rPr>
        <w:t>zał</w:t>
      </w:r>
      <w:r w:rsidR="008E648C" w:rsidRPr="004F6DAA">
        <w:rPr>
          <w:noProof/>
        </w:rPr>
        <w:t>ączniku I do niniejszego rozporządzenia. Szczególnie ważne jest, aby</w:t>
      </w:r>
      <w:r w:rsidR="00062BFA" w:rsidRPr="004F6DAA">
        <w:rPr>
          <w:noProof/>
        </w:rPr>
        <w:t xml:space="preserve"> w</w:t>
      </w:r>
      <w:r w:rsidR="00062BFA">
        <w:rPr>
          <w:noProof/>
        </w:rPr>
        <w:t> </w:t>
      </w:r>
      <w:r w:rsidR="00062BFA" w:rsidRPr="004F6DAA">
        <w:rPr>
          <w:noProof/>
        </w:rPr>
        <w:t>cza</w:t>
      </w:r>
      <w:r w:rsidR="008E648C" w:rsidRPr="004F6DAA">
        <w:rPr>
          <w:noProof/>
        </w:rPr>
        <w:t>sie prac przygotowawczych Komisja prowadziła stosowne konsultacje,</w:t>
      </w:r>
      <w:r w:rsidR="00062BFA" w:rsidRPr="004F6DAA">
        <w:rPr>
          <w:noProof/>
        </w:rPr>
        <w:t xml:space="preserve"> w</w:t>
      </w:r>
      <w:r w:rsidR="00062BFA">
        <w:rPr>
          <w:noProof/>
        </w:rPr>
        <w:t> </w:t>
      </w:r>
      <w:r w:rsidR="00062BFA" w:rsidRPr="004F6DAA">
        <w:rPr>
          <w:noProof/>
        </w:rPr>
        <w:t>tym</w:t>
      </w:r>
      <w:r w:rsidR="008E648C" w:rsidRPr="004F6DAA">
        <w:rPr>
          <w:noProof/>
        </w:rPr>
        <w:t xml:space="preserve"> na poziomie ekspertów, oraz aby konsultacje te prowadzone były zgodnie</w:t>
      </w:r>
      <w:r w:rsidR="00062BFA" w:rsidRPr="004F6DAA">
        <w:rPr>
          <w:noProof/>
        </w:rPr>
        <w:t xml:space="preserve"> z</w:t>
      </w:r>
      <w:r w:rsidR="00062BFA">
        <w:rPr>
          <w:noProof/>
        </w:rPr>
        <w:t> </w:t>
      </w:r>
      <w:r w:rsidR="00062BFA" w:rsidRPr="004F6DAA">
        <w:rPr>
          <w:noProof/>
        </w:rPr>
        <w:t>zas</w:t>
      </w:r>
      <w:r w:rsidR="008E648C" w:rsidRPr="004F6DAA">
        <w:rPr>
          <w:noProof/>
        </w:rPr>
        <w:t>adami określonymi</w:t>
      </w:r>
      <w:r w:rsidR="00062BFA" w:rsidRPr="004F6DAA">
        <w:rPr>
          <w:noProof/>
        </w:rPr>
        <w:t xml:space="preserve"> w</w:t>
      </w:r>
      <w:r w:rsidR="00062BFA">
        <w:rPr>
          <w:noProof/>
        </w:rPr>
        <w:t> </w:t>
      </w:r>
      <w:r w:rsidR="00062BFA" w:rsidRPr="004F6DAA">
        <w:rPr>
          <w:noProof/>
        </w:rPr>
        <w:t>Por</w:t>
      </w:r>
      <w:r w:rsidR="008E648C" w:rsidRPr="004F6DAA">
        <w:rPr>
          <w:noProof/>
        </w:rPr>
        <w:t>ozumieniu międzyinstytucjonalnym</w:t>
      </w:r>
      <w:r w:rsidR="00062BFA" w:rsidRPr="004F6DAA">
        <w:rPr>
          <w:noProof/>
        </w:rPr>
        <w:t xml:space="preserve"> z</w:t>
      </w:r>
      <w:r w:rsidR="00062BFA">
        <w:rPr>
          <w:noProof/>
        </w:rPr>
        <w:t> </w:t>
      </w:r>
      <w:r w:rsidR="00062BFA" w:rsidRPr="004F6DAA">
        <w:rPr>
          <w:noProof/>
        </w:rPr>
        <w:t>dni</w:t>
      </w:r>
      <w:r w:rsidR="008E648C" w:rsidRPr="004F6DAA">
        <w:rPr>
          <w:noProof/>
        </w:rPr>
        <w:t>a 13 kwietnia 20</w:t>
      </w:r>
      <w:r w:rsidR="008E648C" w:rsidRPr="00062BFA">
        <w:rPr>
          <w:noProof/>
        </w:rPr>
        <w:t>16</w:t>
      </w:r>
      <w:r w:rsidR="00062BFA" w:rsidRPr="00062BFA">
        <w:rPr>
          <w:noProof/>
        </w:rPr>
        <w:t> </w:t>
      </w:r>
      <w:r w:rsidR="008E648C" w:rsidRPr="00062BFA">
        <w:rPr>
          <w:noProof/>
        </w:rPr>
        <w:t>r.</w:t>
      </w:r>
      <w:r w:rsidR="00062BFA" w:rsidRPr="004F6DAA">
        <w:rPr>
          <w:noProof/>
        </w:rPr>
        <w:t xml:space="preserve"> w</w:t>
      </w:r>
      <w:r w:rsidR="00062BFA">
        <w:rPr>
          <w:noProof/>
        </w:rPr>
        <w:t> </w:t>
      </w:r>
      <w:r w:rsidR="00062BFA" w:rsidRPr="004F6DAA">
        <w:rPr>
          <w:noProof/>
        </w:rPr>
        <w:t>spr</w:t>
      </w:r>
      <w:r w:rsidR="008E648C" w:rsidRPr="004F6DAA">
        <w:rPr>
          <w:noProof/>
        </w:rPr>
        <w:t>awie lepszego stanowienia prawa</w:t>
      </w:r>
      <w:r w:rsidR="00062BFA" w:rsidRPr="004F6DAA">
        <w:rPr>
          <w:noProof/>
        </w:rPr>
        <w:t>. W</w:t>
      </w:r>
      <w:r w:rsidR="00062BFA">
        <w:rPr>
          <w:noProof/>
        </w:rPr>
        <w:t> </w:t>
      </w:r>
      <w:r w:rsidR="00062BFA" w:rsidRPr="004F6DAA">
        <w:rPr>
          <w:noProof/>
        </w:rPr>
        <w:t>szc</w:t>
      </w:r>
      <w:r w:rsidR="008E648C" w:rsidRPr="004F6DAA">
        <w:rPr>
          <w:noProof/>
        </w:rPr>
        <w:t>zególności, aby zapewnić Parlamentowi Europejskiemu</w:t>
      </w:r>
      <w:r w:rsidR="00062BFA" w:rsidRPr="004F6DAA">
        <w:rPr>
          <w:noProof/>
        </w:rPr>
        <w:t xml:space="preserve"> i</w:t>
      </w:r>
      <w:r w:rsidR="00062BFA">
        <w:rPr>
          <w:noProof/>
        </w:rPr>
        <w:t> </w:t>
      </w:r>
      <w:r w:rsidR="00062BFA" w:rsidRPr="004F6DAA">
        <w:rPr>
          <w:noProof/>
        </w:rPr>
        <w:t>Rad</w:t>
      </w:r>
      <w:r w:rsidR="008E648C" w:rsidRPr="004F6DAA">
        <w:rPr>
          <w:noProof/>
        </w:rPr>
        <w:t>zie udział na równych zasadach</w:t>
      </w:r>
      <w:r w:rsidR="00062BFA" w:rsidRPr="004F6DAA">
        <w:rPr>
          <w:noProof/>
        </w:rPr>
        <w:t xml:space="preserve"> w</w:t>
      </w:r>
      <w:r w:rsidR="00062BFA">
        <w:rPr>
          <w:noProof/>
        </w:rPr>
        <w:t> </w:t>
      </w:r>
      <w:r w:rsidR="00062BFA" w:rsidRPr="004F6DAA">
        <w:rPr>
          <w:noProof/>
        </w:rPr>
        <w:t>prz</w:t>
      </w:r>
      <w:r w:rsidR="008E648C" w:rsidRPr="004F6DAA">
        <w:rPr>
          <w:noProof/>
        </w:rPr>
        <w:t>ygotowaniu aktów delegowanych, instytucje te powinny otrzymać wszelkie dokumenty</w:t>
      </w:r>
      <w:r w:rsidR="00062BFA" w:rsidRPr="004F6DAA">
        <w:rPr>
          <w:noProof/>
        </w:rPr>
        <w:t xml:space="preserve"> w</w:t>
      </w:r>
      <w:r w:rsidR="00062BFA">
        <w:rPr>
          <w:noProof/>
        </w:rPr>
        <w:t> </w:t>
      </w:r>
      <w:r w:rsidR="00062BFA" w:rsidRPr="004F6DAA">
        <w:rPr>
          <w:noProof/>
        </w:rPr>
        <w:t>tym</w:t>
      </w:r>
      <w:r w:rsidR="008E648C" w:rsidRPr="004F6DAA">
        <w:rPr>
          <w:noProof/>
        </w:rPr>
        <w:t xml:space="preserve"> samym czasie co eksperci państw członkowskich,</w:t>
      </w:r>
      <w:r w:rsidR="00062BFA" w:rsidRPr="004F6DAA">
        <w:rPr>
          <w:noProof/>
        </w:rPr>
        <w:t xml:space="preserve"> a</w:t>
      </w:r>
      <w:r w:rsidR="00062BFA">
        <w:rPr>
          <w:noProof/>
        </w:rPr>
        <w:t> </w:t>
      </w:r>
      <w:r w:rsidR="00062BFA" w:rsidRPr="004F6DAA">
        <w:rPr>
          <w:noProof/>
        </w:rPr>
        <w:t>eks</w:t>
      </w:r>
      <w:r w:rsidR="008E648C" w:rsidRPr="004F6DAA">
        <w:rPr>
          <w:noProof/>
        </w:rPr>
        <w:t>perci tych instytucji powinni systematycznie brać udział</w:t>
      </w:r>
      <w:r w:rsidR="00062BFA" w:rsidRPr="004F6DAA">
        <w:rPr>
          <w:noProof/>
        </w:rPr>
        <w:t xml:space="preserve"> w</w:t>
      </w:r>
      <w:r w:rsidR="00062BFA">
        <w:rPr>
          <w:noProof/>
        </w:rPr>
        <w:t> </w:t>
      </w:r>
      <w:r w:rsidR="00062BFA" w:rsidRPr="004F6DAA">
        <w:rPr>
          <w:noProof/>
        </w:rPr>
        <w:t>pos</w:t>
      </w:r>
      <w:r w:rsidR="008E648C" w:rsidRPr="004F6DAA">
        <w:rPr>
          <w:noProof/>
        </w:rPr>
        <w:t>iedzeniach grup ekspertów Komisji zajmujących się przygotowaniem aktów delegowanych.</w:t>
      </w:r>
    </w:p>
    <w:p w14:paraId="68D079E6" w14:textId="77777777" w:rsidR="008E648C" w:rsidRPr="004F6DAA" w:rsidRDefault="007B7EB7" w:rsidP="007B7EB7">
      <w:pPr>
        <w:pStyle w:val="ManualConsidrant"/>
        <w:rPr>
          <w:noProof/>
        </w:rPr>
      </w:pPr>
      <w:r w:rsidRPr="007B7EB7">
        <w:t>(56)</w:t>
      </w:r>
      <w:r w:rsidRPr="007B7EB7">
        <w:tab/>
      </w:r>
      <w:r w:rsidR="008E648C" w:rsidRPr="004F6DAA">
        <w:rPr>
          <w:noProof/>
        </w:rPr>
        <w:t xml:space="preserve">W rozporządzeniu (UE) </w:t>
      </w:r>
      <w:r w:rsidR="008E648C" w:rsidRPr="00062BFA">
        <w:rPr>
          <w:noProof/>
        </w:rPr>
        <w:t>nr</w:t>
      </w:r>
      <w:r w:rsidR="00062BFA" w:rsidRPr="00062BFA">
        <w:rPr>
          <w:noProof/>
        </w:rPr>
        <w:t> </w:t>
      </w:r>
      <w:r w:rsidR="008E648C" w:rsidRPr="00062BFA">
        <w:rPr>
          <w:noProof/>
        </w:rPr>
        <w:t>9</w:t>
      </w:r>
      <w:r w:rsidR="008E648C" w:rsidRPr="004F6DAA">
        <w:rPr>
          <w:noProof/>
        </w:rPr>
        <w:t>95/2010 zakazuje się wprowadzania do obrotu</w:t>
      </w:r>
      <w:r w:rsidR="00062BFA" w:rsidRPr="004F6DAA">
        <w:rPr>
          <w:noProof/>
        </w:rPr>
        <w:t xml:space="preserve"> w</w:t>
      </w:r>
      <w:r w:rsidR="00062BFA">
        <w:rPr>
          <w:noProof/>
        </w:rPr>
        <w:t> </w:t>
      </w:r>
      <w:r w:rsidR="00062BFA" w:rsidRPr="004F6DAA">
        <w:rPr>
          <w:noProof/>
        </w:rPr>
        <w:t>Uni</w:t>
      </w:r>
      <w:r w:rsidR="008E648C" w:rsidRPr="004F6DAA">
        <w:rPr>
          <w:noProof/>
        </w:rPr>
        <w:t>i nielegalnie pozyskanego drewna oraz produktów pochodzących</w:t>
      </w:r>
      <w:r w:rsidR="00062BFA" w:rsidRPr="004F6DAA">
        <w:rPr>
          <w:noProof/>
        </w:rPr>
        <w:t xml:space="preserve"> z</w:t>
      </w:r>
      <w:r w:rsidR="00062BFA">
        <w:rPr>
          <w:noProof/>
        </w:rPr>
        <w:t> </w:t>
      </w:r>
      <w:r w:rsidR="00062BFA" w:rsidRPr="004F6DAA">
        <w:rPr>
          <w:noProof/>
        </w:rPr>
        <w:t>tak</w:t>
      </w:r>
      <w:r w:rsidR="008E648C" w:rsidRPr="004F6DAA">
        <w:rPr>
          <w:noProof/>
        </w:rPr>
        <w:t>iego drewna. Ustanowiono</w:t>
      </w:r>
      <w:r w:rsidR="00062BFA" w:rsidRPr="004F6DAA">
        <w:rPr>
          <w:noProof/>
        </w:rPr>
        <w:t xml:space="preserve"> w</w:t>
      </w:r>
      <w:r w:rsidR="00062BFA">
        <w:rPr>
          <w:noProof/>
        </w:rPr>
        <w:t> </w:t>
      </w:r>
      <w:r w:rsidR="00062BFA" w:rsidRPr="004F6DAA">
        <w:rPr>
          <w:noProof/>
        </w:rPr>
        <w:t>nim</w:t>
      </w:r>
      <w:r w:rsidR="008E648C" w:rsidRPr="004F6DAA">
        <w:rPr>
          <w:noProof/>
        </w:rPr>
        <w:t xml:space="preserve"> obowiązki podmiotów wprowadzających drewno po raz pierwszy do obrotu, aby postępowały</w:t>
      </w:r>
      <w:r w:rsidR="00062BFA" w:rsidRPr="004F6DAA">
        <w:rPr>
          <w:noProof/>
        </w:rPr>
        <w:t xml:space="preserve"> z</w:t>
      </w:r>
      <w:r w:rsidR="00062BFA">
        <w:rPr>
          <w:noProof/>
        </w:rPr>
        <w:t> </w:t>
      </w:r>
      <w:r w:rsidR="00062BFA" w:rsidRPr="004F6DAA">
        <w:rPr>
          <w:noProof/>
        </w:rPr>
        <w:t>nal</w:t>
      </w:r>
      <w:r w:rsidR="008E648C" w:rsidRPr="004F6DAA">
        <w:rPr>
          <w:noProof/>
        </w:rPr>
        <w:t>eżytą starannością, oraz obowiązki podmiotów handlowych, aby prowadzić rejestr umożliwiający zidentyfikowanie ich dostawców</w:t>
      </w:r>
      <w:r w:rsidR="00062BFA" w:rsidRPr="004F6DAA">
        <w:rPr>
          <w:noProof/>
        </w:rPr>
        <w:t xml:space="preserve"> i</w:t>
      </w:r>
      <w:r w:rsidR="00062BFA">
        <w:rPr>
          <w:noProof/>
        </w:rPr>
        <w:t> </w:t>
      </w:r>
      <w:r w:rsidR="00062BFA" w:rsidRPr="004F6DAA">
        <w:rPr>
          <w:noProof/>
        </w:rPr>
        <w:t>kli</w:t>
      </w:r>
      <w:r w:rsidR="008E648C" w:rsidRPr="004F6DAA">
        <w:rPr>
          <w:noProof/>
        </w:rPr>
        <w:t>entów</w:t>
      </w:r>
      <w:r w:rsidR="00062BFA" w:rsidRPr="004F6DAA">
        <w:rPr>
          <w:noProof/>
        </w:rPr>
        <w:t>. W</w:t>
      </w:r>
      <w:r w:rsidR="00062BFA">
        <w:rPr>
          <w:noProof/>
        </w:rPr>
        <w:t> </w:t>
      </w:r>
      <w:r w:rsidR="00062BFA" w:rsidRPr="004F6DAA">
        <w:rPr>
          <w:noProof/>
        </w:rPr>
        <w:t>nin</w:t>
      </w:r>
      <w:r w:rsidR="008E648C" w:rsidRPr="004F6DAA">
        <w:rPr>
          <w:noProof/>
        </w:rPr>
        <w:t>iejszym rozporządzeniu należy utrzymać obowiązek zapewniania legalności odnośnych towarów</w:t>
      </w:r>
      <w:r w:rsidR="00062BFA" w:rsidRPr="004F6DAA">
        <w:rPr>
          <w:noProof/>
        </w:rPr>
        <w:t xml:space="preserve"> i</w:t>
      </w:r>
      <w:r w:rsidR="00062BFA">
        <w:rPr>
          <w:noProof/>
        </w:rPr>
        <w:t> </w:t>
      </w:r>
      <w:r w:rsidR="00062BFA" w:rsidRPr="004F6DAA">
        <w:rPr>
          <w:noProof/>
        </w:rPr>
        <w:t>pro</w:t>
      </w:r>
      <w:r w:rsidR="008E648C" w:rsidRPr="004F6DAA">
        <w:rPr>
          <w:noProof/>
        </w:rPr>
        <w:t>duktów,</w:t>
      </w:r>
      <w:r w:rsidR="00062BFA" w:rsidRPr="004F6DAA">
        <w:rPr>
          <w:noProof/>
        </w:rPr>
        <w:t xml:space="preserve"> w</w:t>
      </w:r>
      <w:r w:rsidR="00062BFA">
        <w:rPr>
          <w:noProof/>
        </w:rPr>
        <w:t> </w:t>
      </w:r>
      <w:r w:rsidR="00062BFA" w:rsidRPr="004F6DAA">
        <w:rPr>
          <w:noProof/>
        </w:rPr>
        <w:t>tym</w:t>
      </w:r>
      <w:r w:rsidR="008E648C" w:rsidRPr="004F6DAA">
        <w:rPr>
          <w:noProof/>
        </w:rPr>
        <w:t xml:space="preserve"> drewna</w:t>
      </w:r>
      <w:r w:rsidR="00062BFA" w:rsidRPr="004F6DAA">
        <w:rPr>
          <w:noProof/>
        </w:rPr>
        <w:t xml:space="preserve"> i</w:t>
      </w:r>
      <w:r w:rsidR="00062BFA">
        <w:rPr>
          <w:noProof/>
        </w:rPr>
        <w:t> </w:t>
      </w:r>
      <w:r w:rsidR="00062BFA" w:rsidRPr="004F6DAA">
        <w:rPr>
          <w:noProof/>
        </w:rPr>
        <w:t>pro</w:t>
      </w:r>
      <w:r w:rsidR="008E648C" w:rsidRPr="004F6DAA">
        <w:rPr>
          <w:noProof/>
        </w:rPr>
        <w:t>duktów</w:t>
      </w:r>
      <w:r w:rsidR="00062BFA" w:rsidRPr="004F6DAA">
        <w:rPr>
          <w:noProof/>
        </w:rPr>
        <w:t xml:space="preserve"> z</w:t>
      </w:r>
      <w:r w:rsidR="00062BFA">
        <w:rPr>
          <w:noProof/>
        </w:rPr>
        <w:t> </w:t>
      </w:r>
      <w:r w:rsidR="00062BFA" w:rsidRPr="004F6DAA">
        <w:rPr>
          <w:noProof/>
        </w:rPr>
        <w:t>dre</w:t>
      </w:r>
      <w:r w:rsidR="008E648C" w:rsidRPr="004F6DAA">
        <w:rPr>
          <w:noProof/>
        </w:rPr>
        <w:t>wna, wprowadzanych do obrotu</w:t>
      </w:r>
      <w:r w:rsidR="00062BFA" w:rsidRPr="004F6DAA">
        <w:rPr>
          <w:noProof/>
        </w:rPr>
        <w:t xml:space="preserve"> w</w:t>
      </w:r>
      <w:r w:rsidR="00062BFA">
        <w:rPr>
          <w:noProof/>
        </w:rPr>
        <w:t> </w:t>
      </w:r>
      <w:r w:rsidR="00062BFA" w:rsidRPr="004F6DAA">
        <w:rPr>
          <w:noProof/>
        </w:rPr>
        <w:t>Uni</w:t>
      </w:r>
      <w:r w:rsidR="008E648C" w:rsidRPr="004F6DAA">
        <w:rPr>
          <w:noProof/>
        </w:rPr>
        <w:t>i,</w:t>
      </w:r>
      <w:r w:rsidR="00062BFA" w:rsidRPr="004F6DAA">
        <w:rPr>
          <w:noProof/>
        </w:rPr>
        <w:t xml:space="preserve"> i</w:t>
      </w:r>
      <w:r w:rsidR="00062BFA">
        <w:rPr>
          <w:noProof/>
        </w:rPr>
        <w:t> </w:t>
      </w:r>
      <w:r w:rsidR="00062BFA" w:rsidRPr="004F6DAA">
        <w:rPr>
          <w:noProof/>
        </w:rPr>
        <w:t>uzu</w:t>
      </w:r>
      <w:r w:rsidR="008E648C" w:rsidRPr="004F6DAA">
        <w:rPr>
          <w:noProof/>
        </w:rPr>
        <w:t>pełnić go</w:t>
      </w:r>
      <w:r w:rsidR="00062BFA" w:rsidRPr="004F6DAA">
        <w:rPr>
          <w:noProof/>
        </w:rPr>
        <w:t xml:space="preserve"> o</w:t>
      </w:r>
      <w:r w:rsidR="00062BFA">
        <w:rPr>
          <w:noProof/>
        </w:rPr>
        <w:t> </w:t>
      </w:r>
      <w:r w:rsidR="00062BFA" w:rsidRPr="004F6DAA">
        <w:rPr>
          <w:noProof/>
        </w:rPr>
        <w:t>wym</w:t>
      </w:r>
      <w:r w:rsidR="008E648C" w:rsidRPr="004F6DAA">
        <w:rPr>
          <w:noProof/>
        </w:rPr>
        <w:t>óg dotyczący zrównoważonego charakteru. Przedmiotowe rozporządzenie</w:t>
      </w:r>
      <w:r w:rsidR="00062BFA" w:rsidRPr="004F6DAA">
        <w:rPr>
          <w:noProof/>
        </w:rPr>
        <w:t xml:space="preserve"> i</w:t>
      </w:r>
      <w:r w:rsidR="00062BFA">
        <w:rPr>
          <w:noProof/>
        </w:rPr>
        <w:t> </w:t>
      </w:r>
      <w:r w:rsidR="00062BFA" w:rsidRPr="004F6DAA">
        <w:rPr>
          <w:noProof/>
        </w:rPr>
        <w:t>pow</w:t>
      </w:r>
      <w:r w:rsidR="008E648C" w:rsidRPr="004F6DAA">
        <w:rPr>
          <w:noProof/>
        </w:rPr>
        <w:t xml:space="preserve">iązane rozporządzenie wykonawcze Komisji (UE) </w:t>
      </w:r>
      <w:r w:rsidR="008E648C" w:rsidRPr="00062BFA">
        <w:rPr>
          <w:noProof/>
        </w:rPr>
        <w:t>nr</w:t>
      </w:r>
      <w:r w:rsidR="00062BFA" w:rsidRPr="00062BFA">
        <w:rPr>
          <w:noProof/>
        </w:rPr>
        <w:t> </w:t>
      </w:r>
      <w:r w:rsidR="008E648C" w:rsidRPr="00062BFA">
        <w:rPr>
          <w:noProof/>
        </w:rPr>
        <w:t>6</w:t>
      </w:r>
      <w:r w:rsidR="008E648C" w:rsidRPr="004F6DAA">
        <w:rPr>
          <w:noProof/>
        </w:rPr>
        <w:t>07/2012 stają się zatem zbędne</w:t>
      </w:r>
      <w:r w:rsidR="00062BFA" w:rsidRPr="004F6DAA">
        <w:rPr>
          <w:noProof/>
        </w:rPr>
        <w:t xml:space="preserve"> w</w:t>
      </w:r>
      <w:r w:rsidR="00062BFA">
        <w:rPr>
          <w:noProof/>
        </w:rPr>
        <w:t> </w:t>
      </w:r>
      <w:r w:rsidR="00062BFA" w:rsidRPr="004F6DAA">
        <w:rPr>
          <w:noProof/>
        </w:rPr>
        <w:t>świ</w:t>
      </w:r>
      <w:r w:rsidR="008E648C" w:rsidRPr="004F6DAA">
        <w:rPr>
          <w:noProof/>
        </w:rPr>
        <w:t>etle niniejszego rozporządzenia</w:t>
      </w:r>
      <w:r w:rsidR="00062BFA" w:rsidRPr="004F6DAA">
        <w:rPr>
          <w:noProof/>
        </w:rPr>
        <w:t xml:space="preserve"> i</w:t>
      </w:r>
      <w:r w:rsidR="00062BFA">
        <w:rPr>
          <w:noProof/>
        </w:rPr>
        <w:t> </w:t>
      </w:r>
      <w:r w:rsidR="00062BFA" w:rsidRPr="004F6DAA">
        <w:rPr>
          <w:noProof/>
        </w:rPr>
        <w:t>nal</w:t>
      </w:r>
      <w:r w:rsidR="008E648C" w:rsidRPr="004F6DAA">
        <w:rPr>
          <w:noProof/>
        </w:rPr>
        <w:t>eży je uchylić.</w:t>
      </w:r>
    </w:p>
    <w:p w14:paraId="20E16185" w14:textId="77777777" w:rsidR="008E648C" w:rsidRPr="004F6DAA" w:rsidRDefault="007B7EB7" w:rsidP="007B7EB7">
      <w:pPr>
        <w:pStyle w:val="ManualConsidrant"/>
        <w:rPr>
          <w:noProof/>
        </w:rPr>
      </w:pPr>
      <w:r w:rsidRPr="007B7EB7">
        <w:t>(57)</w:t>
      </w:r>
      <w:r w:rsidRPr="007B7EB7">
        <w:tab/>
      </w:r>
      <w:r w:rsidR="008E648C" w:rsidRPr="004F6DAA">
        <w:rPr>
          <w:noProof/>
        </w:rPr>
        <w:t xml:space="preserve">W rozporządzeniu (WE) </w:t>
      </w:r>
      <w:r w:rsidR="008E648C" w:rsidRPr="00062BFA">
        <w:rPr>
          <w:noProof/>
        </w:rPr>
        <w:t>nr</w:t>
      </w:r>
      <w:r w:rsidR="00062BFA" w:rsidRPr="00062BFA">
        <w:rPr>
          <w:noProof/>
        </w:rPr>
        <w:t> </w:t>
      </w:r>
      <w:r w:rsidR="008E648C" w:rsidRPr="00062BFA">
        <w:rPr>
          <w:noProof/>
        </w:rPr>
        <w:t>2</w:t>
      </w:r>
      <w:r w:rsidR="008E648C" w:rsidRPr="004F6DAA">
        <w:rPr>
          <w:noProof/>
        </w:rPr>
        <w:t>173/2005 określono unijne procedury wdrażania systemu zezwoleń FLEGT za pośrednictwem dwustronnych umów</w:t>
      </w:r>
      <w:r w:rsidR="00062BFA" w:rsidRPr="004F6DAA">
        <w:rPr>
          <w:noProof/>
        </w:rPr>
        <w:t xml:space="preserve"> o</w:t>
      </w:r>
      <w:r w:rsidR="00062BFA">
        <w:rPr>
          <w:noProof/>
        </w:rPr>
        <w:t> </w:t>
      </w:r>
      <w:r w:rsidR="00062BFA" w:rsidRPr="004F6DAA">
        <w:rPr>
          <w:noProof/>
        </w:rPr>
        <w:t>dob</w:t>
      </w:r>
      <w:r w:rsidR="008E648C" w:rsidRPr="004F6DAA">
        <w:rPr>
          <w:noProof/>
        </w:rPr>
        <w:t>rowolnym partnerstwie</w:t>
      </w:r>
      <w:r w:rsidR="00062BFA" w:rsidRPr="004F6DAA">
        <w:rPr>
          <w:noProof/>
        </w:rPr>
        <w:t xml:space="preserve"> z</w:t>
      </w:r>
      <w:r w:rsidR="00062BFA">
        <w:rPr>
          <w:noProof/>
        </w:rPr>
        <w:t> </w:t>
      </w:r>
      <w:r w:rsidR="00062BFA" w:rsidRPr="004F6DAA">
        <w:rPr>
          <w:noProof/>
        </w:rPr>
        <w:t>kra</w:t>
      </w:r>
      <w:r w:rsidR="008E648C" w:rsidRPr="004F6DAA">
        <w:rPr>
          <w:noProof/>
        </w:rPr>
        <w:t>jami będącymi producentami drewna</w:t>
      </w:r>
      <w:r w:rsidR="00062BFA" w:rsidRPr="004F6DAA">
        <w:rPr>
          <w:noProof/>
        </w:rPr>
        <w:t>. W</w:t>
      </w:r>
      <w:r w:rsidR="00062BFA">
        <w:rPr>
          <w:noProof/>
        </w:rPr>
        <w:t> </w:t>
      </w:r>
      <w:r w:rsidR="00062BFA" w:rsidRPr="004F6DAA">
        <w:rPr>
          <w:noProof/>
        </w:rPr>
        <w:t>cel</w:t>
      </w:r>
      <w:r w:rsidR="008E648C" w:rsidRPr="004F6DAA">
        <w:rPr>
          <w:noProof/>
        </w:rPr>
        <w:t>u poszanowania zobowiązań dwustronnych podjętych przez Unię Europejską</w:t>
      </w:r>
      <w:r w:rsidR="00062BFA" w:rsidRPr="004F6DAA">
        <w:rPr>
          <w:noProof/>
        </w:rPr>
        <w:t xml:space="preserve"> i</w:t>
      </w:r>
      <w:r w:rsidR="00062BFA">
        <w:rPr>
          <w:noProof/>
        </w:rPr>
        <w:t> </w:t>
      </w:r>
      <w:r w:rsidR="00062BFA" w:rsidRPr="004F6DAA">
        <w:rPr>
          <w:noProof/>
        </w:rPr>
        <w:t>utr</w:t>
      </w:r>
      <w:r w:rsidR="008E648C" w:rsidRPr="004F6DAA">
        <w:rPr>
          <w:noProof/>
        </w:rPr>
        <w:t>zymania postępu osiągniętego</w:t>
      </w:r>
      <w:r w:rsidR="00062BFA" w:rsidRPr="004F6DAA">
        <w:rPr>
          <w:noProof/>
        </w:rPr>
        <w:t xml:space="preserve"> z</w:t>
      </w:r>
      <w:r w:rsidR="00062BFA">
        <w:rPr>
          <w:noProof/>
        </w:rPr>
        <w:t> </w:t>
      </w:r>
      <w:r w:rsidR="00062BFA" w:rsidRPr="004F6DAA">
        <w:rPr>
          <w:noProof/>
        </w:rPr>
        <w:t>kra</w:t>
      </w:r>
      <w:r w:rsidR="008E648C" w:rsidRPr="004F6DAA">
        <w:rPr>
          <w:noProof/>
        </w:rPr>
        <w:t>jami partnerskimi, które posiadają system operacyjny (etap wydawania zezwoleń FLEGT),</w:t>
      </w:r>
      <w:r w:rsidR="00062BFA" w:rsidRPr="004F6DAA">
        <w:rPr>
          <w:noProof/>
        </w:rPr>
        <w:t xml:space="preserve"> w</w:t>
      </w:r>
      <w:r w:rsidR="00062BFA">
        <w:rPr>
          <w:noProof/>
        </w:rPr>
        <w:t> </w:t>
      </w:r>
      <w:r w:rsidR="00062BFA" w:rsidRPr="004F6DAA">
        <w:rPr>
          <w:noProof/>
        </w:rPr>
        <w:t>nin</w:t>
      </w:r>
      <w:r w:rsidR="008E648C" w:rsidRPr="004F6DAA">
        <w:rPr>
          <w:noProof/>
        </w:rPr>
        <w:t>iejszym rozporządzeniu należy zawrzeć przepis,</w:t>
      </w:r>
      <w:r w:rsidR="00062BFA" w:rsidRPr="004F6DAA">
        <w:rPr>
          <w:noProof/>
        </w:rPr>
        <w:t xml:space="preserve"> w</w:t>
      </w:r>
      <w:r w:rsidR="00062BFA">
        <w:rPr>
          <w:noProof/>
        </w:rPr>
        <w:t> </w:t>
      </w:r>
      <w:r w:rsidR="00062BFA" w:rsidRPr="004F6DAA">
        <w:rPr>
          <w:noProof/>
        </w:rPr>
        <w:t>któ</w:t>
      </w:r>
      <w:r w:rsidR="008E648C" w:rsidRPr="004F6DAA">
        <w:rPr>
          <w:noProof/>
        </w:rPr>
        <w:t>rym uzna się drewno</w:t>
      </w:r>
      <w:r w:rsidR="00062BFA" w:rsidRPr="004F6DAA">
        <w:rPr>
          <w:noProof/>
        </w:rPr>
        <w:t xml:space="preserve"> i</w:t>
      </w:r>
      <w:r w:rsidR="00062BFA">
        <w:rPr>
          <w:noProof/>
        </w:rPr>
        <w:t> </w:t>
      </w:r>
      <w:r w:rsidR="00062BFA" w:rsidRPr="004F6DAA">
        <w:rPr>
          <w:noProof/>
        </w:rPr>
        <w:t>pro</w:t>
      </w:r>
      <w:r w:rsidR="008E648C" w:rsidRPr="004F6DAA">
        <w:rPr>
          <w:noProof/>
        </w:rPr>
        <w:t>dukty</w:t>
      </w:r>
      <w:r w:rsidR="00062BFA" w:rsidRPr="004F6DAA">
        <w:rPr>
          <w:noProof/>
        </w:rPr>
        <w:t xml:space="preserve"> z</w:t>
      </w:r>
      <w:r w:rsidR="00062BFA">
        <w:rPr>
          <w:noProof/>
        </w:rPr>
        <w:t> </w:t>
      </w:r>
      <w:r w:rsidR="00062BFA" w:rsidRPr="004F6DAA">
        <w:rPr>
          <w:noProof/>
        </w:rPr>
        <w:t>dre</w:t>
      </w:r>
      <w:r w:rsidR="008E648C" w:rsidRPr="004F6DAA">
        <w:rPr>
          <w:noProof/>
        </w:rPr>
        <w:t xml:space="preserve">wna objęte ważnym zezwoleniem FLEGT za spełniające wymóg legalności na podstawie niniejszego rozporządzenia. </w:t>
      </w:r>
    </w:p>
    <w:p w14:paraId="0166F38D" w14:textId="77777777" w:rsidR="008E648C" w:rsidRPr="004F6DAA" w:rsidRDefault="007B7EB7" w:rsidP="007B7EB7">
      <w:pPr>
        <w:pStyle w:val="ManualConsidrant"/>
        <w:rPr>
          <w:noProof/>
        </w:rPr>
      </w:pPr>
      <w:r w:rsidRPr="007B7EB7">
        <w:t>(58)</w:t>
      </w:r>
      <w:r w:rsidRPr="007B7EB7">
        <w:tab/>
      </w:r>
      <w:r w:rsidR="008E648C" w:rsidRPr="004F6DAA">
        <w:rPr>
          <w:noProof/>
        </w:rPr>
        <w:t>Chociaż niniejsze rozporządzenie odnosi się do wylesiania</w:t>
      </w:r>
      <w:r w:rsidR="00062BFA" w:rsidRPr="004F6DAA">
        <w:rPr>
          <w:noProof/>
        </w:rPr>
        <w:t xml:space="preserve"> i</w:t>
      </w:r>
      <w:r w:rsidR="00062BFA">
        <w:rPr>
          <w:noProof/>
        </w:rPr>
        <w:t> </w:t>
      </w:r>
      <w:r w:rsidR="00062BFA" w:rsidRPr="004F6DAA">
        <w:rPr>
          <w:noProof/>
        </w:rPr>
        <w:t>deg</w:t>
      </w:r>
      <w:r w:rsidR="008E648C" w:rsidRPr="004F6DAA">
        <w:rPr>
          <w:noProof/>
        </w:rPr>
        <w:t>radacji lasów, jak przewidziano</w:t>
      </w:r>
      <w:r w:rsidR="00062BFA" w:rsidRPr="004F6DAA">
        <w:rPr>
          <w:noProof/>
        </w:rPr>
        <w:t xml:space="preserve"> w</w:t>
      </w:r>
      <w:r w:rsidR="00062BFA">
        <w:rPr>
          <w:noProof/>
        </w:rPr>
        <w:t> </w:t>
      </w:r>
      <w:r w:rsidR="00062BFA" w:rsidRPr="004F6DAA">
        <w:rPr>
          <w:noProof/>
        </w:rPr>
        <w:t>kom</w:t>
      </w:r>
      <w:r w:rsidR="008E648C" w:rsidRPr="004F6DAA">
        <w:rPr>
          <w:noProof/>
        </w:rPr>
        <w:t>unikacie</w:t>
      </w:r>
      <w:r w:rsidR="00062BFA" w:rsidRPr="004F6DAA">
        <w:rPr>
          <w:noProof/>
        </w:rPr>
        <w:t xml:space="preserve"> z</w:t>
      </w:r>
      <w:r w:rsidR="00062BFA">
        <w:rPr>
          <w:noProof/>
        </w:rPr>
        <w:t> </w:t>
      </w:r>
      <w:r w:rsidR="00062BFA" w:rsidRPr="004F6DAA">
        <w:rPr>
          <w:noProof/>
        </w:rPr>
        <w:t>2</w:t>
      </w:r>
      <w:r w:rsidR="008E648C" w:rsidRPr="004F6DAA">
        <w:rPr>
          <w:noProof/>
        </w:rPr>
        <w:t>0</w:t>
      </w:r>
      <w:r w:rsidR="008E648C" w:rsidRPr="00062BFA">
        <w:rPr>
          <w:noProof/>
        </w:rPr>
        <w:t>19</w:t>
      </w:r>
      <w:r w:rsidR="00062BFA" w:rsidRPr="00062BFA">
        <w:rPr>
          <w:noProof/>
        </w:rPr>
        <w:t> </w:t>
      </w:r>
      <w:r w:rsidR="008E648C" w:rsidRPr="00062BFA">
        <w:rPr>
          <w:noProof/>
        </w:rPr>
        <w:t>r.</w:t>
      </w:r>
      <w:r w:rsidR="008E648C" w:rsidRPr="004F6DAA">
        <w:rPr>
          <w:noProof/>
        </w:rPr>
        <w:t xml:space="preserve"> „Zintensyfikowanie działań UE na rzecz ochrony</w:t>
      </w:r>
      <w:r w:rsidR="00062BFA" w:rsidRPr="004F6DAA">
        <w:rPr>
          <w:noProof/>
        </w:rPr>
        <w:t xml:space="preserve"> i</w:t>
      </w:r>
      <w:r w:rsidR="00062BFA">
        <w:rPr>
          <w:noProof/>
        </w:rPr>
        <w:t> </w:t>
      </w:r>
      <w:r w:rsidR="00062BFA" w:rsidRPr="004F6DAA">
        <w:rPr>
          <w:noProof/>
        </w:rPr>
        <w:t>odt</w:t>
      </w:r>
      <w:r w:rsidR="008E648C" w:rsidRPr="004F6DAA">
        <w:rPr>
          <w:noProof/>
        </w:rPr>
        <w:t>warzania światowych lasów”, ochrona lasów nie powinna prowadzić do przekształcania ani degradacji innych ekosystemów naturalnych. Ekosystemy takie jak tereny podmokłe, sawanny</w:t>
      </w:r>
      <w:r w:rsidR="00062BFA" w:rsidRPr="004F6DAA">
        <w:rPr>
          <w:noProof/>
        </w:rPr>
        <w:t xml:space="preserve"> i</w:t>
      </w:r>
      <w:r w:rsidR="00062BFA">
        <w:rPr>
          <w:noProof/>
        </w:rPr>
        <w:t> </w:t>
      </w:r>
      <w:r w:rsidR="00062BFA" w:rsidRPr="004F6DAA">
        <w:rPr>
          <w:noProof/>
        </w:rPr>
        <w:t>tor</w:t>
      </w:r>
      <w:r w:rsidR="008E648C" w:rsidRPr="004F6DAA">
        <w:rPr>
          <w:noProof/>
        </w:rPr>
        <w:t>fowiska mają s</w:t>
      </w:r>
      <w:r w:rsidR="008E648C" w:rsidRPr="004F6DAA">
        <w:rPr>
          <w:noProof/>
          <w:shd w:val="clear" w:color="auto" w:fill="FFFFFF"/>
        </w:rPr>
        <w:t>zczególne znaczenie dla globalnych starań na rzecz zwalczania zmiany klimatu, jak również dla realizacji innych celów zrównoważonego rozwoju,</w:t>
      </w:r>
      <w:r w:rsidR="00062BFA" w:rsidRPr="004F6DAA">
        <w:rPr>
          <w:noProof/>
          <w:shd w:val="clear" w:color="auto" w:fill="FFFFFF"/>
        </w:rPr>
        <w:t xml:space="preserve"> a</w:t>
      </w:r>
      <w:r w:rsidR="00062BFA">
        <w:rPr>
          <w:noProof/>
          <w:shd w:val="clear" w:color="auto" w:fill="FFFFFF"/>
        </w:rPr>
        <w:t> </w:t>
      </w:r>
      <w:r w:rsidR="00062BFA" w:rsidRPr="004F6DAA">
        <w:rPr>
          <w:noProof/>
          <w:shd w:val="clear" w:color="auto" w:fill="FFFFFF"/>
        </w:rPr>
        <w:t>ich</w:t>
      </w:r>
      <w:r w:rsidR="008E648C" w:rsidRPr="004F6DAA">
        <w:rPr>
          <w:noProof/>
        </w:rPr>
        <w:t xml:space="preserve"> </w:t>
      </w:r>
      <w:r w:rsidR="008E648C" w:rsidRPr="004F6DAA">
        <w:rPr>
          <w:noProof/>
          <w:shd w:val="clear" w:color="auto" w:fill="FFFFFF"/>
        </w:rPr>
        <w:t>przekształcanie lub degradacja wymagają szczególnie pilnej uwagi.</w:t>
      </w:r>
      <w:r w:rsidR="008E648C" w:rsidRPr="004F6DAA">
        <w:rPr>
          <w:noProof/>
        </w:rPr>
        <w:t xml:space="preserve"> Należy zatem</w:t>
      </w:r>
      <w:r w:rsidR="00062BFA" w:rsidRPr="004F6DAA">
        <w:rPr>
          <w:noProof/>
        </w:rPr>
        <w:t xml:space="preserve"> w</w:t>
      </w:r>
      <w:r w:rsidR="00062BFA">
        <w:rPr>
          <w:noProof/>
        </w:rPr>
        <w:t> </w:t>
      </w:r>
      <w:r w:rsidR="00062BFA" w:rsidRPr="004F6DAA">
        <w:rPr>
          <w:noProof/>
        </w:rPr>
        <w:t>cią</w:t>
      </w:r>
      <w:r w:rsidR="008E648C" w:rsidRPr="004F6DAA">
        <w:rPr>
          <w:noProof/>
        </w:rPr>
        <w:t>gu dwóch lat od wejścia</w:t>
      </w:r>
      <w:r w:rsidR="00062BFA" w:rsidRPr="004F6DAA">
        <w:rPr>
          <w:noProof/>
        </w:rPr>
        <w:t xml:space="preserve"> w</w:t>
      </w:r>
      <w:r w:rsidR="00062BFA">
        <w:rPr>
          <w:noProof/>
        </w:rPr>
        <w:t> </w:t>
      </w:r>
      <w:r w:rsidR="00062BFA" w:rsidRPr="004F6DAA">
        <w:rPr>
          <w:noProof/>
        </w:rPr>
        <w:t>życ</w:t>
      </w:r>
      <w:r w:rsidR="008E648C" w:rsidRPr="004F6DAA">
        <w:rPr>
          <w:noProof/>
        </w:rPr>
        <w:t>ie niniejszego rozporządzenia przeprowadzić ocenę potrzeby</w:t>
      </w:r>
      <w:r w:rsidR="00062BFA" w:rsidRPr="004F6DAA">
        <w:rPr>
          <w:noProof/>
        </w:rPr>
        <w:t xml:space="preserve"> i</w:t>
      </w:r>
      <w:r w:rsidR="00062BFA">
        <w:rPr>
          <w:noProof/>
        </w:rPr>
        <w:t> </w:t>
      </w:r>
      <w:r w:rsidR="00062BFA" w:rsidRPr="004F6DAA">
        <w:rPr>
          <w:noProof/>
        </w:rPr>
        <w:t>wyk</w:t>
      </w:r>
      <w:r w:rsidR="008E648C" w:rsidRPr="004F6DAA">
        <w:rPr>
          <w:noProof/>
        </w:rPr>
        <w:t>onalności rozszerzenia zakresu niniejszego rozporządzenia</w:t>
      </w:r>
      <w:r w:rsidR="00062BFA" w:rsidRPr="004F6DAA">
        <w:rPr>
          <w:noProof/>
        </w:rPr>
        <w:t xml:space="preserve"> o</w:t>
      </w:r>
      <w:r w:rsidR="00062BFA">
        <w:rPr>
          <w:noProof/>
        </w:rPr>
        <w:t> </w:t>
      </w:r>
      <w:r w:rsidR="00062BFA" w:rsidRPr="004F6DAA">
        <w:rPr>
          <w:noProof/>
        </w:rPr>
        <w:t>inn</w:t>
      </w:r>
      <w:r w:rsidR="008E648C" w:rsidRPr="004F6DAA">
        <w:rPr>
          <w:noProof/>
        </w:rPr>
        <w:t>e ekosystemy niż lasy.</w:t>
      </w:r>
    </w:p>
    <w:p w14:paraId="659A1F98" w14:textId="77777777" w:rsidR="008E648C" w:rsidRPr="004F6DAA" w:rsidRDefault="007B7EB7" w:rsidP="007B7EB7">
      <w:pPr>
        <w:pStyle w:val="ManualConsidrant"/>
        <w:rPr>
          <w:noProof/>
        </w:rPr>
      </w:pPr>
      <w:r w:rsidRPr="007B7EB7">
        <w:t>(59)</w:t>
      </w:r>
      <w:r w:rsidRPr="007B7EB7">
        <w:tab/>
      </w:r>
      <w:r w:rsidR="008E648C" w:rsidRPr="004F6DAA">
        <w:rPr>
          <w:noProof/>
        </w:rPr>
        <w:t>Jeżeli do celów niniejszego rozporządzenia konieczne będzie przetwarzanie danych osobowych, dane te należy przetwarzać zgodnie</w:t>
      </w:r>
      <w:r w:rsidR="00062BFA" w:rsidRPr="004F6DAA">
        <w:rPr>
          <w:noProof/>
        </w:rPr>
        <w:t xml:space="preserve"> z</w:t>
      </w:r>
      <w:r w:rsidR="00062BFA">
        <w:rPr>
          <w:noProof/>
        </w:rPr>
        <w:t> </w:t>
      </w:r>
      <w:r w:rsidR="00062BFA" w:rsidRPr="004F6DAA">
        <w:rPr>
          <w:noProof/>
        </w:rPr>
        <w:t>pra</w:t>
      </w:r>
      <w:r w:rsidR="008E648C" w:rsidRPr="004F6DAA">
        <w:rPr>
          <w:noProof/>
        </w:rPr>
        <w:t>wem Unii</w:t>
      </w:r>
      <w:r w:rsidR="00062BFA" w:rsidRPr="004F6DAA">
        <w:rPr>
          <w:noProof/>
        </w:rPr>
        <w:t xml:space="preserve"> w</w:t>
      </w:r>
      <w:r w:rsidR="00062BFA">
        <w:rPr>
          <w:noProof/>
        </w:rPr>
        <w:t> </w:t>
      </w:r>
      <w:r w:rsidR="00062BFA" w:rsidRPr="004F6DAA">
        <w:rPr>
          <w:noProof/>
        </w:rPr>
        <w:t>zak</w:t>
      </w:r>
      <w:r w:rsidR="008E648C" w:rsidRPr="004F6DAA">
        <w:rPr>
          <w:noProof/>
        </w:rPr>
        <w:t>resie ochrony danych osobowych. Wszelkie przetwarzanie danych osobowych na potrzeby niniejszego rozporządzenia podlega, odpowiednio, przepisom rozporządzenia Parlamentu Europejskiego</w:t>
      </w:r>
      <w:r w:rsidR="00062BFA" w:rsidRPr="004F6DAA">
        <w:rPr>
          <w:noProof/>
        </w:rPr>
        <w:t xml:space="preserve"> i</w:t>
      </w:r>
      <w:r w:rsidR="00062BFA">
        <w:rPr>
          <w:noProof/>
        </w:rPr>
        <w:t> </w:t>
      </w:r>
      <w:r w:rsidR="00062BFA" w:rsidRPr="004F6DAA">
        <w:rPr>
          <w:noProof/>
        </w:rPr>
        <w:t>Rad</w:t>
      </w:r>
      <w:r w:rsidR="008E648C" w:rsidRPr="004F6DAA">
        <w:rPr>
          <w:noProof/>
        </w:rPr>
        <w:t>y (UE) 2016/679</w:t>
      </w:r>
      <w:r w:rsidR="008E648C" w:rsidRPr="004F6DAA">
        <w:rPr>
          <w:rStyle w:val="Odwoanieprzypisudolnego"/>
          <w:noProof/>
        </w:rPr>
        <w:footnoteReference w:id="45"/>
      </w:r>
      <w:r w:rsidR="00062BFA" w:rsidRPr="004F6DAA">
        <w:rPr>
          <w:noProof/>
        </w:rPr>
        <w:t xml:space="preserve"> i</w:t>
      </w:r>
      <w:r w:rsidR="00062BFA">
        <w:rPr>
          <w:noProof/>
        </w:rPr>
        <w:t> </w:t>
      </w:r>
      <w:r w:rsidR="00062BFA" w:rsidRPr="004F6DAA">
        <w:rPr>
          <w:noProof/>
        </w:rPr>
        <w:t>roz</w:t>
      </w:r>
      <w:r w:rsidR="008E648C" w:rsidRPr="004F6DAA">
        <w:rPr>
          <w:noProof/>
        </w:rPr>
        <w:t>porządzenia Parlamentu Europejskiego</w:t>
      </w:r>
      <w:r w:rsidR="00062BFA" w:rsidRPr="004F6DAA">
        <w:rPr>
          <w:noProof/>
        </w:rPr>
        <w:t xml:space="preserve"> i</w:t>
      </w:r>
      <w:r w:rsidR="00062BFA">
        <w:rPr>
          <w:noProof/>
        </w:rPr>
        <w:t> </w:t>
      </w:r>
      <w:r w:rsidR="00062BFA" w:rsidRPr="004F6DAA">
        <w:rPr>
          <w:noProof/>
        </w:rPr>
        <w:t>Rad</w:t>
      </w:r>
      <w:r w:rsidR="008E648C" w:rsidRPr="004F6DAA">
        <w:rPr>
          <w:noProof/>
        </w:rPr>
        <w:t>y (UE) 2018/1725</w:t>
      </w:r>
      <w:r w:rsidR="008E648C" w:rsidRPr="004F6DAA">
        <w:rPr>
          <w:rStyle w:val="Odwoanieprzypisudolnego"/>
          <w:noProof/>
        </w:rPr>
        <w:footnoteReference w:id="46"/>
      </w:r>
      <w:r w:rsidR="008E648C" w:rsidRPr="004F6DAA">
        <w:rPr>
          <w:noProof/>
        </w:rPr>
        <w:t>.</w:t>
      </w:r>
    </w:p>
    <w:p w14:paraId="64BAECF9" w14:textId="77777777" w:rsidR="008E648C" w:rsidRPr="004F6DAA" w:rsidRDefault="007B7EB7" w:rsidP="007B7EB7">
      <w:pPr>
        <w:pStyle w:val="ManualConsidrant"/>
        <w:rPr>
          <w:noProof/>
        </w:rPr>
      </w:pPr>
      <w:r w:rsidRPr="007B7EB7">
        <w:t>(60)</w:t>
      </w:r>
      <w:r w:rsidRPr="007B7EB7">
        <w:tab/>
      </w:r>
      <w:r w:rsidR="008E648C" w:rsidRPr="004F6DAA">
        <w:rPr>
          <w:noProof/>
        </w:rPr>
        <w:t>Ponieważ cel niniejszego rozporządzenia,</w:t>
      </w:r>
      <w:r w:rsidR="00062BFA" w:rsidRPr="004F6DAA">
        <w:rPr>
          <w:noProof/>
        </w:rPr>
        <w:t xml:space="preserve"> a</w:t>
      </w:r>
      <w:r w:rsidR="00062BFA">
        <w:rPr>
          <w:noProof/>
        </w:rPr>
        <w:t> </w:t>
      </w:r>
      <w:r w:rsidR="00062BFA" w:rsidRPr="004F6DAA">
        <w:rPr>
          <w:noProof/>
        </w:rPr>
        <w:t>mia</w:t>
      </w:r>
      <w:r w:rsidR="008E648C" w:rsidRPr="004F6DAA">
        <w:rPr>
          <w:noProof/>
        </w:rPr>
        <w:t>nowicie wspieranie walki</w:t>
      </w:r>
      <w:r w:rsidR="00062BFA" w:rsidRPr="004F6DAA">
        <w:rPr>
          <w:noProof/>
        </w:rPr>
        <w:t xml:space="preserve"> z</w:t>
      </w:r>
      <w:r w:rsidR="00062BFA">
        <w:rPr>
          <w:noProof/>
        </w:rPr>
        <w:t> </w:t>
      </w:r>
      <w:r w:rsidR="00062BFA" w:rsidRPr="004F6DAA">
        <w:rPr>
          <w:noProof/>
        </w:rPr>
        <w:t>wyl</w:t>
      </w:r>
      <w:r w:rsidR="008E648C" w:rsidRPr="004F6DAA">
        <w:rPr>
          <w:noProof/>
        </w:rPr>
        <w:t>esianiem</w:t>
      </w:r>
      <w:r w:rsidR="00062BFA" w:rsidRPr="004F6DAA">
        <w:rPr>
          <w:noProof/>
        </w:rPr>
        <w:t xml:space="preserve"> i</w:t>
      </w:r>
      <w:r w:rsidR="00062BFA">
        <w:rPr>
          <w:noProof/>
        </w:rPr>
        <w:t> </w:t>
      </w:r>
      <w:r w:rsidR="00062BFA" w:rsidRPr="004F6DAA">
        <w:rPr>
          <w:noProof/>
        </w:rPr>
        <w:t>deg</w:t>
      </w:r>
      <w:r w:rsidR="008E648C" w:rsidRPr="004F6DAA">
        <w:rPr>
          <w:noProof/>
        </w:rPr>
        <w:t>radacją lasów poprzez ograniczenie wpływu konsumpcji</w:t>
      </w:r>
      <w:r w:rsidR="00062BFA" w:rsidRPr="004F6DAA">
        <w:rPr>
          <w:noProof/>
        </w:rPr>
        <w:t xml:space="preserve"> w</w:t>
      </w:r>
      <w:r w:rsidR="00062BFA">
        <w:rPr>
          <w:noProof/>
        </w:rPr>
        <w:t> </w:t>
      </w:r>
      <w:r w:rsidR="00062BFA" w:rsidRPr="004F6DAA">
        <w:rPr>
          <w:noProof/>
        </w:rPr>
        <w:t>Uni</w:t>
      </w:r>
      <w:r w:rsidR="008E648C" w:rsidRPr="004F6DAA">
        <w:rPr>
          <w:noProof/>
        </w:rPr>
        <w:t>i, nie może zostać osiągnięty indywidualnie przez państwa członkowskie, natomiast ze względu na jego rozmiary możliwe jest lepsze jego osiągnięcie na poziomie Unii, Unia może podjąć działania zgodnie</w:t>
      </w:r>
      <w:r w:rsidR="00062BFA" w:rsidRPr="004F6DAA">
        <w:rPr>
          <w:noProof/>
        </w:rPr>
        <w:t xml:space="preserve"> z</w:t>
      </w:r>
      <w:r w:rsidR="00062BFA">
        <w:rPr>
          <w:noProof/>
        </w:rPr>
        <w:t> </w:t>
      </w:r>
      <w:r w:rsidR="00062BFA" w:rsidRPr="004F6DAA">
        <w:rPr>
          <w:noProof/>
        </w:rPr>
        <w:t>zas</w:t>
      </w:r>
      <w:r w:rsidR="008E648C" w:rsidRPr="004F6DAA">
        <w:rPr>
          <w:noProof/>
        </w:rPr>
        <w:t>adą pomocniczości określoną</w:t>
      </w:r>
      <w:r w:rsidR="00062BFA" w:rsidRPr="004F6DAA">
        <w:rPr>
          <w:noProof/>
        </w:rPr>
        <w:t xml:space="preserve"> w</w:t>
      </w:r>
      <w:r w:rsidR="00062BFA">
        <w:rPr>
          <w:noProof/>
        </w:rPr>
        <w:t> </w:t>
      </w:r>
      <w:r w:rsidR="00062BFA" w:rsidRPr="00062BFA">
        <w:rPr>
          <w:noProof/>
        </w:rPr>
        <w:t>art</w:t>
      </w:r>
      <w:r w:rsidR="008E648C" w:rsidRPr="00062BFA">
        <w:rPr>
          <w:noProof/>
        </w:rPr>
        <w:t>.</w:t>
      </w:r>
      <w:r w:rsidR="00062BFA" w:rsidRPr="00062BFA">
        <w:rPr>
          <w:noProof/>
        </w:rPr>
        <w:t> </w:t>
      </w:r>
      <w:r w:rsidR="008E648C" w:rsidRPr="00062BFA">
        <w:rPr>
          <w:noProof/>
        </w:rPr>
        <w:t>5</w:t>
      </w:r>
      <w:r w:rsidR="008E648C" w:rsidRPr="004F6DAA">
        <w:rPr>
          <w:noProof/>
        </w:rPr>
        <w:t xml:space="preserve"> Traktatu</w:t>
      </w:r>
      <w:r w:rsidR="00062BFA" w:rsidRPr="004F6DAA">
        <w:rPr>
          <w:noProof/>
        </w:rPr>
        <w:t xml:space="preserve"> o</w:t>
      </w:r>
      <w:r w:rsidR="00062BFA">
        <w:rPr>
          <w:noProof/>
        </w:rPr>
        <w:t> </w:t>
      </w:r>
      <w:r w:rsidR="00062BFA" w:rsidRPr="004F6DAA">
        <w:rPr>
          <w:noProof/>
        </w:rPr>
        <w:t>Uni</w:t>
      </w:r>
      <w:r w:rsidR="008E648C" w:rsidRPr="004F6DAA">
        <w:rPr>
          <w:noProof/>
        </w:rPr>
        <w:t>i Europejskiej. Zgodnie</w:t>
      </w:r>
      <w:r w:rsidR="00062BFA" w:rsidRPr="004F6DAA">
        <w:rPr>
          <w:noProof/>
        </w:rPr>
        <w:t xml:space="preserve"> z</w:t>
      </w:r>
      <w:r w:rsidR="00062BFA">
        <w:rPr>
          <w:noProof/>
        </w:rPr>
        <w:t> </w:t>
      </w:r>
      <w:r w:rsidR="00062BFA" w:rsidRPr="004F6DAA">
        <w:rPr>
          <w:noProof/>
        </w:rPr>
        <w:t>zas</w:t>
      </w:r>
      <w:r w:rsidR="008E648C" w:rsidRPr="004F6DAA">
        <w:rPr>
          <w:noProof/>
        </w:rPr>
        <w:t>adą proporcjonalności określoną</w:t>
      </w:r>
      <w:r w:rsidR="00062BFA" w:rsidRPr="004F6DAA">
        <w:rPr>
          <w:noProof/>
        </w:rPr>
        <w:t xml:space="preserve"> w</w:t>
      </w:r>
      <w:r w:rsidR="00062BFA">
        <w:rPr>
          <w:noProof/>
        </w:rPr>
        <w:t> </w:t>
      </w:r>
      <w:r w:rsidR="00062BFA" w:rsidRPr="004F6DAA">
        <w:rPr>
          <w:noProof/>
        </w:rPr>
        <w:t>tym</w:t>
      </w:r>
      <w:r w:rsidR="008E648C" w:rsidRPr="004F6DAA">
        <w:rPr>
          <w:noProof/>
        </w:rPr>
        <w:t xml:space="preserve"> artykule, niniejsze rozporządzenie nie wykracza poza to, co jest niezbędne do osiągnięcia tego celu.</w:t>
      </w:r>
    </w:p>
    <w:p w14:paraId="72220131" w14:textId="77777777" w:rsidR="008E648C" w:rsidRPr="004F6DAA" w:rsidRDefault="007B7EB7" w:rsidP="007B7EB7">
      <w:pPr>
        <w:pStyle w:val="ManualConsidrant"/>
        <w:rPr>
          <w:noProof/>
        </w:rPr>
      </w:pPr>
      <w:r w:rsidRPr="007B7EB7">
        <w:t>(61)</w:t>
      </w:r>
      <w:r w:rsidRPr="007B7EB7">
        <w:tab/>
      </w:r>
      <w:r w:rsidR="008E648C" w:rsidRPr="004F6DAA">
        <w:rPr>
          <w:noProof/>
        </w:rPr>
        <w:t>Podmiotom, podmiotom handlowym</w:t>
      </w:r>
      <w:r w:rsidR="00062BFA" w:rsidRPr="004F6DAA">
        <w:rPr>
          <w:noProof/>
        </w:rPr>
        <w:t xml:space="preserve"> i</w:t>
      </w:r>
      <w:r w:rsidR="00062BFA">
        <w:rPr>
          <w:noProof/>
        </w:rPr>
        <w:t> </w:t>
      </w:r>
      <w:r w:rsidR="00062BFA" w:rsidRPr="004F6DAA">
        <w:rPr>
          <w:noProof/>
        </w:rPr>
        <w:t>wła</w:t>
      </w:r>
      <w:r w:rsidR="008E648C" w:rsidRPr="004F6DAA">
        <w:rPr>
          <w:noProof/>
        </w:rPr>
        <w:t>ściwym organom należy dać rozsądny termin na przygotowanie się do spełniania wymogów niniejszego rozporządzenia,</w:t>
      </w:r>
    </w:p>
    <w:p w14:paraId="1D94B4DB" w14:textId="77777777" w:rsidR="001C3FCC" w:rsidRPr="004F6DAA" w:rsidRDefault="001C3FCC" w:rsidP="009A3168">
      <w:pPr>
        <w:pStyle w:val="Formuledadoption"/>
        <w:rPr>
          <w:noProof/>
        </w:rPr>
      </w:pPr>
      <w:r w:rsidRPr="004F6DAA">
        <w:rPr>
          <w:noProof/>
        </w:rPr>
        <w:t>PRZYJMUJĄ NINIEJSZE ROZPORZĄDZENIE:</w:t>
      </w:r>
    </w:p>
    <w:p w14:paraId="6CEAF95E" w14:textId="77777777" w:rsidR="007116AE" w:rsidRPr="004F6DAA" w:rsidRDefault="007116AE" w:rsidP="007116AE">
      <w:pPr>
        <w:pStyle w:val="ChapterTitle"/>
        <w:rPr>
          <w:noProof/>
        </w:rPr>
      </w:pPr>
      <w:r w:rsidRPr="004F6DAA">
        <w:rPr>
          <w:noProof/>
        </w:rPr>
        <w:t xml:space="preserve">Rozdział 1 </w:t>
      </w:r>
      <w:r w:rsidRPr="004F6DAA">
        <w:rPr>
          <w:noProof/>
        </w:rPr>
        <w:br/>
        <w:t>Przepisy ogólne</w:t>
      </w:r>
    </w:p>
    <w:p w14:paraId="0D6D73C0" w14:textId="77777777" w:rsidR="00992B23" w:rsidRPr="004F6DAA" w:rsidRDefault="001C3FCC" w:rsidP="009A3168">
      <w:pPr>
        <w:pStyle w:val="Titrearticle"/>
        <w:rPr>
          <w:noProof/>
        </w:rPr>
      </w:pPr>
      <w:r w:rsidRPr="004F6DAA">
        <w:rPr>
          <w:noProof/>
        </w:rPr>
        <w:t>Artykuł 1</w:t>
      </w:r>
    </w:p>
    <w:p w14:paraId="3AFE561B" w14:textId="77777777" w:rsidR="001C3FCC" w:rsidRPr="004F6DAA" w:rsidRDefault="002F7F77" w:rsidP="00F46E90">
      <w:pPr>
        <w:pStyle w:val="Sous-titreobjet"/>
        <w:rPr>
          <w:noProof/>
        </w:rPr>
      </w:pPr>
      <w:r w:rsidRPr="004F6DAA">
        <w:rPr>
          <w:noProof/>
        </w:rPr>
        <w:t>Przedmiot</w:t>
      </w:r>
      <w:r w:rsidR="00062BFA" w:rsidRPr="004F6DAA">
        <w:rPr>
          <w:noProof/>
        </w:rPr>
        <w:t xml:space="preserve"> i</w:t>
      </w:r>
      <w:r w:rsidR="00062BFA">
        <w:rPr>
          <w:noProof/>
        </w:rPr>
        <w:t> </w:t>
      </w:r>
      <w:r w:rsidR="00062BFA" w:rsidRPr="004F6DAA">
        <w:rPr>
          <w:noProof/>
        </w:rPr>
        <w:t>zak</w:t>
      </w:r>
      <w:r w:rsidRPr="004F6DAA">
        <w:rPr>
          <w:noProof/>
        </w:rPr>
        <w:t>res</w:t>
      </w:r>
    </w:p>
    <w:p w14:paraId="4A3A1CFB" w14:textId="77777777" w:rsidR="002F7F77" w:rsidRPr="004F6DAA" w:rsidRDefault="002F7F77" w:rsidP="002F7F77">
      <w:pPr>
        <w:rPr>
          <w:noProof/>
        </w:rPr>
      </w:pPr>
      <w:r w:rsidRPr="004F6DAA">
        <w:rPr>
          <w:noProof/>
        </w:rPr>
        <w:t>W niniejszym rozporządzeniu określono przepisy dotyczące wprowadzania do obrotu</w:t>
      </w:r>
      <w:r w:rsidR="00062BFA" w:rsidRPr="004F6DAA">
        <w:rPr>
          <w:noProof/>
        </w:rPr>
        <w:t xml:space="preserve"> w</w:t>
      </w:r>
      <w:r w:rsidR="00062BFA">
        <w:rPr>
          <w:noProof/>
        </w:rPr>
        <w:t> </w:t>
      </w:r>
      <w:r w:rsidR="00062BFA" w:rsidRPr="004F6DAA">
        <w:rPr>
          <w:noProof/>
        </w:rPr>
        <w:t>Uni</w:t>
      </w:r>
      <w:r w:rsidRPr="004F6DAA">
        <w:rPr>
          <w:noProof/>
        </w:rPr>
        <w:t>i</w:t>
      </w:r>
      <w:r w:rsidR="00062BFA" w:rsidRPr="004F6DAA">
        <w:rPr>
          <w:noProof/>
        </w:rPr>
        <w:t xml:space="preserve"> i</w:t>
      </w:r>
      <w:r w:rsidR="00062BFA">
        <w:rPr>
          <w:noProof/>
        </w:rPr>
        <w:t> </w:t>
      </w:r>
      <w:r w:rsidR="00062BFA" w:rsidRPr="004F6DAA">
        <w:rPr>
          <w:noProof/>
        </w:rPr>
        <w:t>udo</w:t>
      </w:r>
      <w:r w:rsidRPr="004F6DAA">
        <w:rPr>
          <w:noProof/>
        </w:rPr>
        <w:t>stępniania na unijnym rynku,</w:t>
      </w:r>
      <w:r w:rsidR="00062BFA" w:rsidRPr="004F6DAA">
        <w:rPr>
          <w:noProof/>
        </w:rPr>
        <w:t xml:space="preserve"> a</w:t>
      </w:r>
      <w:r w:rsidR="00062BFA">
        <w:rPr>
          <w:noProof/>
        </w:rPr>
        <w:t> </w:t>
      </w:r>
      <w:r w:rsidR="00062BFA" w:rsidRPr="004F6DAA">
        <w:rPr>
          <w:noProof/>
        </w:rPr>
        <w:t>tak</w:t>
      </w:r>
      <w:r w:rsidRPr="004F6DAA">
        <w:rPr>
          <w:noProof/>
        </w:rPr>
        <w:t>że wywozu</w:t>
      </w:r>
      <w:r w:rsidR="00062BFA" w:rsidRPr="004F6DAA">
        <w:rPr>
          <w:noProof/>
        </w:rPr>
        <w:t xml:space="preserve"> z</w:t>
      </w:r>
      <w:r w:rsidR="00062BFA">
        <w:rPr>
          <w:noProof/>
        </w:rPr>
        <w:t> </w:t>
      </w:r>
      <w:r w:rsidR="00062BFA" w:rsidRPr="004F6DAA">
        <w:rPr>
          <w:noProof/>
        </w:rPr>
        <w:t>uni</w:t>
      </w:r>
      <w:r w:rsidRPr="004F6DAA">
        <w:rPr>
          <w:noProof/>
        </w:rPr>
        <w:t>jnego rynku bydła, kakao, kawy, oleju palmowego, soi</w:t>
      </w:r>
      <w:r w:rsidR="00062BFA" w:rsidRPr="004F6DAA">
        <w:rPr>
          <w:noProof/>
        </w:rPr>
        <w:t xml:space="preserve"> i</w:t>
      </w:r>
      <w:r w:rsidR="00062BFA">
        <w:rPr>
          <w:noProof/>
        </w:rPr>
        <w:t> </w:t>
      </w:r>
      <w:r w:rsidR="00062BFA" w:rsidRPr="004F6DAA">
        <w:rPr>
          <w:noProof/>
        </w:rPr>
        <w:t>dre</w:t>
      </w:r>
      <w:r w:rsidRPr="004F6DAA">
        <w:rPr>
          <w:noProof/>
        </w:rPr>
        <w:t>wna („odnośnych towarów”)</w:t>
      </w:r>
      <w:r w:rsidR="00062BFA" w:rsidRPr="004F6DAA">
        <w:rPr>
          <w:noProof/>
        </w:rPr>
        <w:t xml:space="preserve"> i</w:t>
      </w:r>
      <w:r w:rsidR="00062BFA">
        <w:rPr>
          <w:noProof/>
        </w:rPr>
        <w:t> </w:t>
      </w:r>
      <w:r w:rsidR="00062BFA" w:rsidRPr="004F6DAA">
        <w:rPr>
          <w:noProof/>
        </w:rPr>
        <w:t>pro</w:t>
      </w:r>
      <w:r w:rsidRPr="004F6DAA">
        <w:rPr>
          <w:noProof/>
        </w:rPr>
        <w:t>duktów określonych</w:t>
      </w:r>
      <w:r w:rsidR="00062BFA" w:rsidRPr="004F6DAA">
        <w:rPr>
          <w:noProof/>
        </w:rPr>
        <w:t xml:space="preserve"> w</w:t>
      </w:r>
      <w:r w:rsidR="00062BFA">
        <w:rPr>
          <w:noProof/>
        </w:rPr>
        <w:t> </w:t>
      </w:r>
      <w:r w:rsidR="00062BFA" w:rsidRPr="004F6DAA">
        <w:rPr>
          <w:noProof/>
        </w:rPr>
        <w:t>wyk</w:t>
      </w:r>
      <w:r w:rsidRPr="004F6DAA">
        <w:rPr>
          <w:noProof/>
        </w:rPr>
        <w:t>azie</w:t>
      </w:r>
      <w:r w:rsidR="00062BFA" w:rsidRPr="004F6DAA">
        <w:rPr>
          <w:noProof/>
        </w:rPr>
        <w:t xml:space="preserve"> w</w:t>
      </w:r>
      <w:r w:rsidR="00062BFA">
        <w:rPr>
          <w:noProof/>
        </w:rPr>
        <w:t> </w:t>
      </w:r>
      <w:r w:rsidR="00062BFA" w:rsidRPr="004F6DAA">
        <w:rPr>
          <w:noProof/>
        </w:rPr>
        <w:t>zał</w:t>
      </w:r>
      <w:r w:rsidRPr="004F6DAA">
        <w:rPr>
          <w:noProof/>
        </w:rPr>
        <w:t>ączniku I, które zawierają odnośne towary, były nimi karmione lub zostały wytworzone przy ich użyciu („odnośnych produktów”)</w:t>
      </w:r>
      <w:r w:rsidR="00062BFA" w:rsidRPr="004F6DAA">
        <w:rPr>
          <w:noProof/>
        </w:rPr>
        <w:t xml:space="preserve"> w</w:t>
      </w:r>
      <w:r w:rsidR="00062BFA">
        <w:rPr>
          <w:noProof/>
        </w:rPr>
        <w:t> </w:t>
      </w:r>
      <w:r w:rsidR="00062BFA" w:rsidRPr="004F6DAA">
        <w:rPr>
          <w:noProof/>
        </w:rPr>
        <w:t>cel</w:t>
      </w:r>
      <w:r w:rsidRPr="004F6DAA">
        <w:rPr>
          <w:noProof/>
        </w:rPr>
        <w:t xml:space="preserve">u: </w:t>
      </w:r>
    </w:p>
    <w:p w14:paraId="3276947D" w14:textId="77777777" w:rsidR="002F7F77" w:rsidRPr="004F6DAA" w:rsidRDefault="00062BFA" w:rsidP="00062BFA">
      <w:pPr>
        <w:pStyle w:val="Point1"/>
        <w:rPr>
          <w:noProof/>
        </w:rPr>
      </w:pPr>
      <w:r w:rsidRPr="00062BFA">
        <w:rPr>
          <w:noProof/>
        </w:rPr>
        <w:t>a)</w:t>
      </w:r>
      <w:r w:rsidRPr="00062BFA">
        <w:rPr>
          <w:noProof/>
        </w:rPr>
        <w:tab/>
      </w:r>
      <w:r w:rsidR="002F7F77" w:rsidRPr="004F6DAA">
        <w:rPr>
          <w:noProof/>
        </w:rPr>
        <w:t>zminimalizowania wpływu Unii na wylesianie</w:t>
      </w:r>
      <w:r w:rsidRPr="004F6DAA">
        <w:rPr>
          <w:noProof/>
        </w:rPr>
        <w:t xml:space="preserve"> i</w:t>
      </w:r>
      <w:r>
        <w:rPr>
          <w:noProof/>
        </w:rPr>
        <w:t> </w:t>
      </w:r>
      <w:r w:rsidRPr="004F6DAA">
        <w:rPr>
          <w:noProof/>
        </w:rPr>
        <w:t>deg</w:t>
      </w:r>
      <w:r w:rsidR="002F7F77" w:rsidRPr="004F6DAA">
        <w:rPr>
          <w:noProof/>
        </w:rPr>
        <w:t>radację lasów na całym świecie;</w:t>
      </w:r>
    </w:p>
    <w:p w14:paraId="0A2B47F2" w14:textId="77777777" w:rsidR="002F7F77" w:rsidRPr="004F6DAA" w:rsidRDefault="00062BFA" w:rsidP="00062BFA">
      <w:pPr>
        <w:pStyle w:val="Point1"/>
        <w:rPr>
          <w:noProof/>
        </w:rPr>
      </w:pPr>
      <w:r w:rsidRPr="00062BFA">
        <w:rPr>
          <w:noProof/>
        </w:rPr>
        <w:t>b)</w:t>
      </w:r>
      <w:r w:rsidRPr="00062BFA">
        <w:rPr>
          <w:noProof/>
        </w:rPr>
        <w:tab/>
      </w:r>
      <w:r w:rsidR="002F7F77" w:rsidRPr="004F6DAA">
        <w:rPr>
          <w:noProof/>
        </w:rPr>
        <w:t>zmniejszenia wkładu Unii Europejskiej</w:t>
      </w:r>
      <w:r w:rsidRPr="004F6DAA">
        <w:rPr>
          <w:noProof/>
        </w:rPr>
        <w:t xml:space="preserve"> w</w:t>
      </w:r>
      <w:r>
        <w:rPr>
          <w:noProof/>
        </w:rPr>
        <w:t> </w:t>
      </w:r>
      <w:r w:rsidRPr="004F6DAA">
        <w:rPr>
          <w:noProof/>
        </w:rPr>
        <w:t>emi</w:t>
      </w:r>
      <w:r w:rsidR="002F7F77" w:rsidRPr="004F6DAA">
        <w:rPr>
          <w:noProof/>
        </w:rPr>
        <w:t>sje gazów cieplarnianych</w:t>
      </w:r>
      <w:r w:rsidRPr="004F6DAA">
        <w:rPr>
          <w:noProof/>
        </w:rPr>
        <w:t xml:space="preserve"> i</w:t>
      </w:r>
      <w:r>
        <w:rPr>
          <w:noProof/>
        </w:rPr>
        <w:t> </w:t>
      </w:r>
      <w:r w:rsidRPr="004F6DAA">
        <w:rPr>
          <w:noProof/>
        </w:rPr>
        <w:t>glo</w:t>
      </w:r>
      <w:r w:rsidR="002F7F77" w:rsidRPr="004F6DAA">
        <w:rPr>
          <w:noProof/>
        </w:rPr>
        <w:t>balną utratę bioróżnorodności.</w:t>
      </w:r>
    </w:p>
    <w:p w14:paraId="3973BBCC" w14:textId="77777777" w:rsidR="002F7F77" w:rsidRPr="004F6DAA" w:rsidRDefault="002F7F77" w:rsidP="002F7F77">
      <w:pPr>
        <w:pStyle w:val="Text1"/>
        <w:ind w:left="0"/>
        <w:rPr>
          <w:noProof/>
        </w:rPr>
      </w:pPr>
      <w:r w:rsidRPr="004F6DAA">
        <w:rPr>
          <w:noProof/>
        </w:rPr>
        <w:t>Niniejsze rozporządzenie nie ma zastosowania do odnośnych towarów</w:t>
      </w:r>
      <w:r w:rsidR="00062BFA" w:rsidRPr="004F6DAA">
        <w:rPr>
          <w:noProof/>
        </w:rPr>
        <w:t xml:space="preserve"> i</w:t>
      </w:r>
      <w:r w:rsidR="00062BFA">
        <w:rPr>
          <w:noProof/>
        </w:rPr>
        <w:t> </w:t>
      </w:r>
      <w:r w:rsidR="00062BFA" w:rsidRPr="004F6DAA">
        <w:rPr>
          <w:noProof/>
        </w:rPr>
        <w:t>pro</w:t>
      </w:r>
      <w:r w:rsidRPr="004F6DAA">
        <w:rPr>
          <w:noProof/>
        </w:rPr>
        <w:t>duktów wprowadzonych do obrotu</w:t>
      </w:r>
      <w:r w:rsidR="00062BFA" w:rsidRPr="004F6DAA">
        <w:rPr>
          <w:noProof/>
        </w:rPr>
        <w:t xml:space="preserve"> w</w:t>
      </w:r>
      <w:r w:rsidR="00062BFA">
        <w:rPr>
          <w:noProof/>
        </w:rPr>
        <w:t> </w:t>
      </w:r>
      <w:r w:rsidR="00062BFA" w:rsidRPr="004F6DAA">
        <w:rPr>
          <w:noProof/>
        </w:rPr>
        <w:t>Uni</w:t>
      </w:r>
      <w:r w:rsidRPr="004F6DAA">
        <w:rPr>
          <w:noProof/>
        </w:rPr>
        <w:t>i, które zostały wyprodukowane przed datą ustaloną</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 xml:space="preserve">6 </w:t>
      </w:r>
      <w:r w:rsidRPr="00062BFA">
        <w:rPr>
          <w:noProof/>
        </w:rPr>
        <w:t>ust.</w:t>
      </w:r>
      <w:r w:rsidR="00062BFA" w:rsidRPr="00062BFA">
        <w:rPr>
          <w:noProof/>
        </w:rPr>
        <w:t> </w:t>
      </w:r>
      <w:r w:rsidRPr="00062BFA">
        <w:rPr>
          <w:noProof/>
        </w:rPr>
        <w:t>1</w:t>
      </w:r>
      <w:r w:rsidRPr="004F6DAA">
        <w:rPr>
          <w:noProof/>
        </w:rPr>
        <w:t>.</w:t>
      </w:r>
    </w:p>
    <w:p w14:paraId="27F85362" w14:textId="77777777" w:rsidR="00EB78D7" w:rsidRPr="004F6DAA" w:rsidRDefault="0077458D" w:rsidP="0077458D">
      <w:pPr>
        <w:pStyle w:val="Titrearticle"/>
        <w:rPr>
          <w:noProof/>
        </w:rPr>
      </w:pPr>
      <w:r w:rsidRPr="004F6DAA">
        <w:rPr>
          <w:noProof/>
        </w:rPr>
        <w:t>Artykuł 2</w:t>
      </w:r>
    </w:p>
    <w:p w14:paraId="7CA39B02" w14:textId="77777777" w:rsidR="007116AE" w:rsidRPr="004F6DAA" w:rsidRDefault="0077458D" w:rsidP="00F46E90">
      <w:pPr>
        <w:pStyle w:val="Sous-titreobjet"/>
        <w:rPr>
          <w:noProof/>
        </w:rPr>
      </w:pPr>
      <w:r w:rsidRPr="004F6DAA">
        <w:rPr>
          <w:noProof/>
        </w:rPr>
        <w:t>Definicje</w:t>
      </w:r>
    </w:p>
    <w:p w14:paraId="2B7E95B6" w14:textId="77777777" w:rsidR="0077458D" w:rsidRPr="004F6DAA" w:rsidRDefault="0077458D" w:rsidP="0077458D">
      <w:pPr>
        <w:rPr>
          <w:noProof/>
        </w:rPr>
      </w:pPr>
      <w:r w:rsidRPr="004F6DAA">
        <w:rPr>
          <w:noProof/>
        </w:rPr>
        <w:t>Do celów niniejszego rozporządzenia stosuje się następujące definicje:</w:t>
      </w:r>
    </w:p>
    <w:p w14:paraId="324235DE" w14:textId="77777777" w:rsidR="0077458D" w:rsidRPr="004F6DAA" w:rsidRDefault="007B7EB7" w:rsidP="007B7EB7">
      <w:pPr>
        <w:pStyle w:val="Point0"/>
        <w:rPr>
          <w:noProof/>
        </w:rPr>
      </w:pPr>
      <w:r w:rsidRPr="007B7EB7">
        <w:t>(1)</w:t>
      </w:r>
      <w:r w:rsidRPr="007B7EB7">
        <w:tab/>
      </w:r>
      <w:r w:rsidR="00EB78D7" w:rsidRPr="004F6DAA">
        <w:rPr>
          <w:noProof/>
        </w:rPr>
        <w:t xml:space="preserve">„wylesianie” oznacza przekształcanie lasu na użytek rolny, bez względu na to, czy dzieje się to na skutek działań człowieka, czy nie; </w:t>
      </w:r>
    </w:p>
    <w:p w14:paraId="31195BD1" w14:textId="77777777" w:rsidR="002F7F77" w:rsidRPr="004F6DAA" w:rsidRDefault="007B7EB7" w:rsidP="007B7EB7">
      <w:pPr>
        <w:pStyle w:val="Point0"/>
        <w:rPr>
          <w:noProof/>
        </w:rPr>
      </w:pPr>
      <w:r w:rsidRPr="007B7EB7">
        <w:t>(2)</w:t>
      </w:r>
      <w:r w:rsidRPr="007B7EB7">
        <w:tab/>
      </w:r>
      <w:r w:rsidR="002F7F77" w:rsidRPr="004F6DAA">
        <w:rPr>
          <w:noProof/>
        </w:rPr>
        <w:t>„las” oznacza teren</w:t>
      </w:r>
      <w:r w:rsidR="00062BFA" w:rsidRPr="004F6DAA">
        <w:rPr>
          <w:noProof/>
        </w:rPr>
        <w:t xml:space="preserve"> o</w:t>
      </w:r>
      <w:r w:rsidR="00062BFA">
        <w:rPr>
          <w:noProof/>
        </w:rPr>
        <w:t> </w:t>
      </w:r>
      <w:r w:rsidR="00062BFA" w:rsidRPr="004F6DAA">
        <w:rPr>
          <w:noProof/>
        </w:rPr>
        <w:t>pow</w:t>
      </w:r>
      <w:r w:rsidR="002F7F77" w:rsidRPr="004F6DAA">
        <w:rPr>
          <w:noProof/>
        </w:rPr>
        <w:t>ierzchni ponad 0,5 hektara, pokryty drzewami</w:t>
      </w:r>
      <w:r w:rsidR="00062BFA" w:rsidRPr="004F6DAA">
        <w:rPr>
          <w:noProof/>
        </w:rPr>
        <w:t xml:space="preserve"> o</w:t>
      </w:r>
      <w:r w:rsidR="00062BFA">
        <w:rPr>
          <w:noProof/>
        </w:rPr>
        <w:t> </w:t>
      </w:r>
      <w:r w:rsidR="00062BFA" w:rsidRPr="004F6DAA">
        <w:rPr>
          <w:noProof/>
        </w:rPr>
        <w:t>wys</w:t>
      </w:r>
      <w:r w:rsidR="002F7F77" w:rsidRPr="004F6DAA">
        <w:rPr>
          <w:noProof/>
        </w:rPr>
        <w:t>okości ponad 5 metrów</w:t>
      </w:r>
      <w:r w:rsidR="00062BFA" w:rsidRPr="004F6DAA">
        <w:rPr>
          <w:noProof/>
        </w:rPr>
        <w:t xml:space="preserve"> i</w:t>
      </w:r>
      <w:r w:rsidR="00062BFA">
        <w:rPr>
          <w:noProof/>
        </w:rPr>
        <w:t> </w:t>
      </w:r>
      <w:r w:rsidR="00062BFA" w:rsidRPr="004F6DAA">
        <w:rPr>
          <w:noProof/>
        </w:rPr>
        <w:t>zwa</w:t>
      </w:r>
      <w:r w:rsidR="002F7F77" w:rsidRPr="004F6DAA">
        <w:rPr>
          <w:noProof/>
        </w:rPr>
        <w:t>rciu drzewostanu wynoszącym ponad 1</w:t>
      </w:r>
      <w:r w:rsidR="002F7F77" w:rsidRPr="00062BFA">
        <w:rPr>
          <w:noProof/>
        </w:rPr>
        <w:t>0</w:t>
      </w:r>
      <w:r w:rsidR="00062BFA" w:rsidRPr="00062BFA">
        <w:rPr>
          <w:noProof/>
        </w:rPr>
        <w:t> </w:t>
      </w:r>
      <w:r w:rsidR="002F7F77" w:rsidRPr="00062BFA">
        <w:rPr>
          <w:noProof/>
        </w:rPr>
        <w:t>%</w:t>
      </w:r>
      <w:r w:rsidR="002F7F77" w:rsidRPr="004F6DAA">
        <w:rPr>
          <w:noProof/>
        </w:rPr>
        <w:t xml:space="preserve"> lub drzewami, które są</w:t>
      </w:r>
      <w:r w:rsidR="00062BFA" w:rsidRPr="004F6DAA">
        <w:rPr>
          <w:noProof/>
        </w:rPr>
        <w:t xml:space="preserve"> w</w:t>
      </w:r>
      <w:r w:rsidR="00062BFA">
        <w:rPr>
          <w:noProof/>
        </w:rPr>
        <w:t> </w:t>
      </w:r>
      <w:r w:rsidR="00062BFA" w:rsidRPr="004F6DAA">
        <w:rPr>
          <w:noProof/>
        </w:rPr>
        <w:t>sta</w:t>
      </w:r>
      <w:r w:rsidR="002F7F77" w:rsidRPr="004F6DAA">
        <w:rPr>
          <w:noProof/>
        </w:rPr>
        <w:t xml:space="preserve">nie osiągnąć te wartości graniczne </w:t>
      </w:r>
      <w:r w:rsidR="002F7F77" w:rsidRPr="004F6DAA">
        <w:rPr>
          <w:i/>
          <w:iCs/>
          <w:noProof/>
        </w:rPr>
        <w:t>in situ</w:t>
      </w:r>
      <w:r w:rsidR="002F7F77" w:rsidRPr="004F6DAA">
        <w:rPr>
          <w:noProof/>
        </w:rPr>
        <w:t>,</w:t>
      </w:r>
      <w:r w:rsidR="00062BFA" w:rsidRPr="004F6DAA">
        <w:rPr>
          <w:noProof/>
        </w:rPr>
        <w:t xml:space="preserve"> z</w:t>
      </w:r>
      <w:r w:rsidR="00062BFA">
        <w:rPr>
          <w:noProof/>
        </w:rPr>
        <w:t> </w:t>
      </w:r>
      <w:r w:rsidR="00062BFA" w:rsidRPr="004F6DAA">
        <w:rPr>
          <w:noProof/>
        </w:rPr>
        <w:t>wył</w:t>
      </w:r>
      <w:r w:rsidR="002F7F77" w:rsidRPr="004F6DAA">
        <w:rPr>
          <w:noProof/>
        </w:rPr>
        <w:t>ączeniem plantacji rolnych</w:t>
      </w:r>
      <w:r w:rsidR="00062BFA" w:rsidRPr="004F6DAA">
        <w:rPr>
          <w:noProof/>
        </w:rPr>
        <w:t xml:space="preserve"> i</w:t>
      </w:r>
      <w:r w:rsidR="00062BFA">
        <w:rPr>
          <w:noProof/>
        </w:rPr>
        <w:t> </w:t>
      </w:r>
      <w:r w:rsidR="00062BFA" w:rsidRPr="004F6DAA">
        <w:rPr>
          <w:noProof/>
        </w:rPr>
        <w:t>ter</w:t>
      </w:r>
      <w:r w:rsidR="002F7F77" w:rsidRPr="004F6DAA">
        <w:rPr>
          <w:noProof/>
        </w:rPr>
        <w:t>enów, na których przeważa rolnicze</w:t>
      </w:r>
      <w:r w:rsidR="00062BFA" w:rsidRPr="004F6DAA">
        <w:rPr>
          <w:noProof/>
        </w:rPr>
        <w:t xml:space="preserve"> i</w:t>
      </w:r>
      <w:r w:rsidR="00062BFA">
        <w:rPr>
          <w:noProof/>
        </w:rPr>
        <w:t> </w:t>
      </w:r>
      <w:r w:rsidR="00062BFA" w:rsidRPr="004F6DAA">
        <w:rPr>
          <w:noProof/>
        </w:rPr>
        <w:t>mie</w:t>
      </w:r>
      <w:r w:rsidR="002F7F77" w:rsidRPr="004F6DAA">
        <w:rPr>
          <w:noProof/>
        </w:rPr>
        <w:t xml:space="preserve">jskie użytkowanie gruntów; </w:t>
      </w:r>
    </w:p>
    <w:p w14:paraId="34E4366C" w14:textId="77777777" w:rsidR="002F7F77" w:rsidRPr="004F6DAA" w:rsidRDefault="007B7EB7" w:rsidP="007B7EB7">
      <w:pPr>
        <w:pStyle w:val="Point0"/>
        <w:rPr>
          <w:noProof/>
        </w:rPr>
      </w:pPr>
      <w:r w:rsidRPr="007B7EB7">
        <w:t>(3)</w:t>
      </w:r>
      <w:r w:rsidRPr="007B7EB7">
        <w:tab/>
      </w:r>
      <w:r w:rsidR="002F7F77" w:rsidRPr="004F6DAA">
        <w:rPr>
          <w:noProof/>
        </w:rPr>
        <w:t>„plantacje rolne” oznaczają drzewostany</w:t>
      </w:r>
      <w:r w:rsidR="00062BFA" w:rsidRPr="004F6DAA">
        <w:rPr>
          <w:noProof/>
        </w:rPr>
        <w:t xml:space="preserve"> w</w:t>
      </w:r>
      <w:r w:rsidR="00062BFA">
        <w:rPr>
          <w:noProof/>
        </w:rPr>
        <w:t> </w:t>
      </w:r>
      <w:r w:rsidR="00062BFA" w:rsidRPr="004F6DAA">
        <w:rPr>
          <w:noProof/>
        </w:rPr>
        <w:t>sys</w:t>
      </w:r>
      <w:r w:rsidR="002F7F77" w:rsidRPr="004F6DAA">
        <w:rPr>
          <w:noProof/>
        </w:rPr>
        <w:t>temach produkcji rolnej, takie jak plantacje drzew owocowych, plantacje palmy olejowej, sady oliwne</w:t>
      </w:r>
      <w:r w:rsidR="00062BFA" w:rsidRPr="004F6DAA">
        <w:rPr>
          <w:noProof/>
        </w:rPr>
        <w:t xml:space="preserve"> i</w:t>
      </w:r>
      <w:r w:rsidR="00062BFA">
        <w:rPr>
          <w:noProof/>
        </w:rPr>
        <w:t> </w:t>
      </w:r>
      <w:r w:rsidR="00062BFA" w:rsidRPr="004F6DAA">
        <w:rPr>
          <w:noProof/>
        </w:rPr>
        <w:t>sys</w:t>
      </w:r>
      <w:r w:rsidR="002F7F77" w:rsidRPr="004F6DAA">
        <w:rPr>
          <w:noProof/>
        </w:rPr>
        <w:t>temy rolno-leśne,</w:t>
      </w:r>
      <w:r w:rsidR="00062BFA" w:rsidRPr="004F6DAA">
        <w:rPr>
          <w:noProof/>
        </w:rPr>
        <w:t xml:space="preserve"> w</w:t>
      </w:r>
      <w:r w:rsidR="00062BFA">
        <w:rPr>
          <w:noProof/>
        </w:rPr>
        <w:t> </w:t>
      </w:r>
      <w:r w:rsidR="00062BFA" w:rsidRPr="004F6DAA">
        <w:rPr>
          <w:noProof/>
        </w:rPr>
        <w:t>któ</w:t>
      </w:r>
      <w:r w:rsidR="002F7F77" w:rsidRPr="004F6DAA">
        <w:rPr>
          <w:noProof/>
        </w:rPr>
        <w:t>rych uprawy rosną pod pokrywą drzew. Obejmują one wszystkie plantacje towarów określonych</w:t>
      </w:r>
      <w:r w:rsidR="00062BFA" w:rsidRPr="004F6DAA">
        <w:rPr>
          <w:noProof/>
        </w:rPr>
        <w:t xml:space="preserve"> w</w:t>
      </w:r>
      <w:r w:rsidR="00062BFA">
        <w:rPr>
          <w:noProof/>
        </w:rPr>
        <w:t> </w:t>
      </w:r>
      <w:r w:rsidR="00062BFA" w:rsidRPr="004F6DAA">
        <w:rPr>
          <w:noProof/>
        </w:rPr>
        <w:t>zał</w:t>
      </w:r>
      <w:r w:rsidR="002F7F77" w:rsidRPr="004F6DAA">
        <w:rPr>
          <w:noProof/>
        </w:rPr>
        <w:t xml:space="preserve">ączniku I innych niż drewno; </w:t>
      </w:r>
    </w:p>
    <w:p w14:paraId="32088A61" w14:textId="77777777" w:rsidR="002F7F77" w:rsidRPr="004F6DAA" w:rsidRDefault="007B7EB7" w:rsidP="007B7EB7">
      <w:pPr>
        <w:pStyle w:val="Point0"/>
        <w:rPr>
          <w:noProof/>
        </w:rPr>
      </w:pPr>
      <w:r w:rsidRPr="007B7EB7">
        <w:t>(4)</w:t>
      </w:r>
      <w:r w:rsidRPr="007B7EB7">
        <w:tab/>
      </w:r>
      <w:r w:rsidR="002F7F77" w:rsidRPr="004F6DAA">
        <w:rPr>
          <w:noProof/>
        </w:rPr>
        <w:t>„plantacja leśna” oznacza las zasadzony przez człowieka, intensywnie zarządzany</w:t>
      </w:r>
      <w:r w:rsidR="00062BFA" w:rsidRPr="004F6DAA">
        <w:rPr>
          <w:noProof/>
        </w:rPr>
        <w:t xml:space="preserve"> i</w:t>
      </w:r>
      <w:r w:rsidR="00062BFA">
        <w:rPr>
          <w:noProof/>
        </w:rPr>
        <w:t> </w:t>
      </w:r>
      <w:r w:rsidR="00062BFA" w:rsidRPr="004F6DAA">
        <w:rPr>
          <w:noProof/>
        </w:rPr>
        <w:t>spe</w:t>
      </w:r>
      <w:r w:rsidR="002F7F77" w:rsidRPr="004F6DAA">
        <w:rPr>
          <w:noProof/>
        </w:rPr>
        <w:t>łniający na etapie sadzenia</w:t>
      </w:r>
      <w:r w:rsidR="00062BFA" w:rsidRPr="004F6DAA">
        <w:rPr>
          <w:noProof/>
        </w:rPr>
        <w:t xml:space="preserve"> i</w:t>
      </w:r>
      <w:r w:rsidR="00062BFA">
        <w:rPr>
          <w:noProof/>
        </w:rPr>
        <w:t> </w:t>
      </w:r>
      <w:r w:rsidR="00062BFA" w:rsidRPr="004F6DAA">
        <w:rPr>
          <w:noProof/>
        </w:rPr>
        <w:t>doj</w:t>
      </w:r>
      <w:r w:rsidR="002F7F77" w:rsidRPr="004F6DAA">
        <w:rPr>
          <w:noProof/>
        </w:rPr>
        <w:t>rzałości drzewostanu wszystkie następujące kryteria: jeden gatunek lub dwa gatunki, taka sama klasa wiekowa</w:t>
      </w:r>
      <w:r w:rsidR="00062BFA" w:rsidRPr="004F6DAA">
        <w:rPr>
          <w:noProof/>
        </w:rPr>
        <w:t xml:space="preserve"> i</w:t>
      </w:r>
      <w:r w:rsidR="00062BFA">
        <w:rPr>
          <w:noProof/>
        </w:rPr>
        <w:t> </w:t>
      </w:r>
      <w:r w:rsidR="00062BFA" w:rsidRPr="004F6DAA">
        <w:rPr>
          <w:noProof/>
        </w:rPr>
        <w:t>rów</w:t>
      </w:r>
      <w:r w:rsidR="002F7F77" w:rsidRPr="004F6DAA">
        <w:rPr>
          <w:noProof/>
        </w:rPr>
        <w:t>ne odstępy. Obejmuje to plantacje</w:t>
      </w:r>
      <w:r w:rsidR="00062BFA" w:rsidRPr="004F6DAA">
        <w:rPr>
          <w:noProof/>
        </w:rPr>
        <w:t xml:space="preserve"> o</w:t>
      </w:r>
      <w:r w:rsidR="00062BFA">
        <w:rPr>
          <w:noProof/>
        </w:rPr>
        <w:t> </w:t>
      </w:r>
      <w:r w:rsidR="00062BFA" w:rsidRPr="004F6DAA">
        <w:rPr>
          <w:noProof/>
        </w:rPr>
        <w:t>kró</w:t>
      </w:r>
      <w:r w:rsidR="002F7F77" w:rsidRPr="004F6DAA">
        <w:rPr>
          <w:noProof/>
        </w:rPr>
        <w:t>tkiej rotacji przeznaczone do produkcji drewna, włókna</w:t>
      </w:r>
      <w:r w:rsidR="00062BFA" w:rsidRPr="004F6DAA">
        <w:rPr>
          <w:noProof/>
        </w:rPr>
        <w:t xml:space="preserve"> i</w:t>
      </w:r>
      <w:r w:rsidR="00062BFA">
        <w:rPr>
          <w:noProof/>
        </w:rPr>
        <w:t> </w:t>
      </w:r>
      <w:r w:rsidR="00062BFA" w:rsidRPr="004F6DAA">
        <w:rPr>
          <w:noProof/>
        </w:rPr>
        <w:t>ene</w:t>
      </w:r>
      <w:r w:rsidR="002F7F77" w:rsidRPr="004F6DAA">
        <w:rPr>
          <w:noProof/>
        </w:rPr>
        <w:t>rgii</w:t>
      </w:r>
      <w:r w:rsidR="00062BFA" w:rsidRPr="004F6DAA">
        <w:rPr>
          <w:noProof/>
        </w:rPr>
        <w:t xml:space="preserve"> i</w:t>
      </w:r>
      <w:r w:rsidR="00062BFA">
        <w:rPr>
          <w:noProof/>
        </w:rPr>
        <w:t> </w:t>
      </w:r>
      <w:r w:rsidR="00062BFA" w:rsidRPr="004F6DAA">
        <w:rPr>
          <w:noProof/>
        </w:rPr>
        <w:t>nie</w:t>
      </w:r>
      <w:r w:rsidR="002F7F77" w:rsidRPr="004F6DAA">
        <w:rPr>
          <w:noProof/>
        </w:rPr>
        <w:t xml:space="preserve"> obejmuje lasów zasadzonych</w:t>
      </w:r>
      <w:r w:rsidR="00062BFA" w:rsidRPr="004F6DAA">
        <w:rPr>
          <w:noProof/>
        </w:rPr>
        <w:t xml:space="preserve"> w</w:t>
      </w:r>
      <w:r w:rsidR="00062BFA">
        <w:rPr>
          <w:noProof/>
        </w:rPr>
        <w:t> </w:t>
      </w:r>
      <w:r w:rsidR="00062BFA" w:rsidRPr="004F6DAA">
        <w:rPr>
          <w:noProof/>
        </w:rPr>
        <w:t>cel</w:t>
      </w:r>
      <w:r w:rsidR="002F7F77" w:rsidRPr="004F6DAA">
        <w:rPr>
          <w:noProof/>
        </w:rPr>
        <w:t>u ochrony lub odtworzenia ekosystemu, jak również lasów</w:t>
      </w:r>
      <w:r w:rsidR="002F7F77" w:rsidRPr="004F6DAA">
        <w:rPr>
          <w:noProof/>
          <w:color w:val="000000"/>
          <w:szCs w:val="24"/>
        </w:rPr>
        <w:t xml:space="preserve"> powstałych</w:t>
      </w:r>
      <w:r w:rsidR="00062BFA" w:rsidRPr="004F6DAA">
        <w:rPr>
          <w:noProof/>
          <w:color w:val="000000"/>
          <w:szCs w:val="24"/>
        </w:rPr>
        <w:t xml:space="preserve"> w</w:t>
      </w:r>
      <w:r w:rsidR="00062BFA">
        <w:rPr>
          <w:noProof/>
          <w:color w:val="000000"/>
          <w:szCs w:val="24"/>
        </w:rPr>
        <w:t> </w:t>
      </w:r>
      <w:r w:rsidR="00062BFA" w:rsidRPr="004F6DAA">
        <w:rPr>
          <w:noProof/>
          <w:color w:val="000000"/>
          <w:szCs w:val="24"/>
        </w:rPr>
        <w:t>wyn</w:t>
      </w:r>
      <w:r w:rsidR="002F7F77" w:rsidRPr="004F6DAA">
        <w:rPr>
          <w:noProof/>
          <w:color w:val="000000"/>
          <w:szCs w:val="24"/>
        </w:rPr>
        <w:t>iku sadzenia lub siewu, które na etapie dojrz</w:t>
      </w:r>
      <w:r w:rsidR="002B56DE">
        <w:rPr>
          <w:noProof/>
          <w:color w:val="000000"/>
          <w:szCs w:val="24"/>
        </w:rPr>
        <w:t xml:space="preserve">ałości drzewostanu są zbliżone </w:t>
      </w:r>
      <w:r w:rsidR="002F7F77" w:rsidRPr="004F6DAA">
        <w:rPr>
          <w:noProof/>
          <w:color w:val="000000"/>
          <w:szCs w:val="24"/>
        </w:rPr>
        <w:t>lub będą zbliżone do naturalnie odnawiających się las</w:t>
      </w:r>
      <w:r w:rsidR="002F7F77" w:rsidRPr="004F6DAA">
        <w:rPr>
          <w:noProof/>
        </w:rPr>
        <w:t xml:space="preserve">ów; </w:t>
      </w:r>
    </w:p>
    <w:p w14:paraId="0CB1671C" w14:textId="77777777" w:rsidR="002F7F77" w:rsidRPr="004F6DAA" w:rsidRDefault="007B7EB7" w:rsidP="007B7EB7">
      <w:pPr>
        <w:pStyle w:val="Point0"/>
        <w:rPr>
          <w:noProof/>
        </w:rPr>
      </w:pPr>
      <w:r w:rsidRPr="007B7EB7">
        <w:t>(5)</w:t>
      </w:r>
      <w:r w:rsidRPr="007B7EB7">
        <w:tab/>
      </w:r>
      <w:r w:rsidR="002F7F77" w:rsidRPr="004F6DAA">
        <w:rPr>
          <w:noProof/>
        </w:rPr>
        <w:t>„las zasadzony przez człowieka” oznacza las składający się głównie</w:t>
      </w:r>
      <w:r w:rsidR="00062BFA" w:rsidRPr="004F6DAA">
        <w:rPr>
          <w:noProof/>
        </w:rPr>
        <w:t xml:space="preserve"> z</w:t>
      </w:r>
      <w:r w:rsidR="00062BFA">
        <w:rPr>
          <w:noProof/>
        </w:rPr>
        <w:t> </w:t>
      </w:r>
      <w:r w:rsidR="00062BFA" w:rsidRPr="004F6DAA">
        <w:rPr>
          <w:noProof/>
        </w:rPr>
        <w:t>drz</w:t>
      </w:r>
      <w:r w:rsidR="002F7F77" w:rsidRPr="004F6DAA">
        <w:rPr>
          <w:noProof/>
        </w:rPr>
        <w:t>ew pochodzących</w:t>
      </w:r>
      <w:r w:rsidR="00062BFA" w:rsidRPr="004F6DAA">
        <w:rPr>
          <w:noProof/>
        </w:rPr>
        <w:t xml:space="preserve"> z</w:t>
      </w:r>
      <w:r w:rsidR="00062BFA">
        <w:rPr>
          <w:noProof/>
        </w:rPr>
        <w:t> </w:t>
      </w:r>
      <w:r w:rsidR="00062BFA" w:rsidRPr="004F6DAA">
        <w:rPr>
          <w:noProof/>
        </w:rPr>
        <w:t>sad</w:t>
      </w:r>
      <w:r w:rsidR="002F7F77" w:rsidRPr="004F6DAA">
        <w:rPr>
          <w:noProof/>
        </w:rPr>
        <w:t xml:space="preserve">zenia lub siewu celowego, pod warunkiem że posadzone lub wysiane drzewa mają stanowić więcej niż pięćdziesiąt procent drzewostanu na etapie dojrzałości; obejmuje to las odroślowy pochodzący od drzew, które pierwotnie zasadzono lub wysiano; </w:t>
      </w:r>
    </w:p>
    <w:p w14:paraId="0CCD55AC" w14:textId="77777777" w:rsidR="002F7F77" w:rsidRPr="004F6DAA" w:rsidRDefault="007B7EB7" w:rsidP="007B7EB7">
      <w:pPr>
        <w:pStyle w:val="Point0"/>
        <w:rPr>
          <w:noProof/>
        </w:rPr>
      </w:pPr>
      <w:r w:rsidRPr="007B7EB7">
        <w:t>(6)</w:t>
      </w:r>
      <w:r w:rsidRPr="007B7EB7">
        <w:tab/>
      </w:r>
      <w:r w:rsidR="002F7F77" w:rsidRPr="004F6DAA">
        <w:rPr>
          <w:noProof/>
        </w:rPr>
        <w:t>„degradacja lasów” oznacza operacje pozyskiwania, których charakter nie jest zrównoważony,</w:t>
      </w:r>
      <w:r w:rsidR="00062BFA" w:rsidRPr="004F6DAA">
        <w:rPr>
          <w:noProof/>
        </w:rPr>
        <w:t xml:space="preserve"> i</w:t>
      </w:r>
      <w:r w:rsidR="00062BFA">
        <w:rPr>
          <w:noProof/>
        </w:rPr>
        <w:t> </w:t>
      </w:r>
      <w:r w:rsidR="00062BFA" w:rsidRPr="004F6DAA">
        <w:rPr>
          <w:noProof/>
        </w:rPr>
        <w:t>któ</w:t>
      </w:r>
      <w:r w:rsidR="002F7F77" w:rsidRPr="004F6DAA">
        <w:rPr>
          <w:noProof/>
        </w:rPr>
        <w:t>re powodują zmniejszenie lub utratę biologicznej lub gospodarczej produktywności</w:t>
      </w:r>
      <w:r w:rsidR="00062BFA" w:rsidRPr="004F6DAA">
        <w:rPr>
          <w:noProof/>
        </w:rPr>
        <w:t xml:space="preserve"> i</w:t>
      </w:r>
      <w:r w:rsidR="00062BFA">
        <w:rPr>
          <w:noProof/>
        </w:rPr>
        <w:t> </w:t>
      </w:r>
      <w:r w:rsidR="00062BFA" w:rsidRPr="004F6DAA">
        <w:rPr>
          <w:noProof/>
        </w:rPr>
        <w:t>zło</w:t>
      </w:r>
      <w:r w:rsidR="002F7F77" w:rsidRPr="004F6DAA">
        <w:rPr>
          <w:noProof/>
        </w:rPr>
        <w:t>żoności ekosystemów leśnych, skutkujące długoterminowym zmniejszeniem ogólnej podaży korzyści</w:t>
      </w:r>
      <w:r w:rsidR="00062BFA" w:rsidRPr="004F6DAA">
        <w:rPr>
          <w:noProof/>
        </w:rPr>
        <w:t xml:space="preserve"> z</w:t>
      </w:r>
      <w:r w:rsidR="00062BFA">
        <w:rPr>
          <w:noProof/>
        </w:rPr>
        <w:t> </w:t>
      </w:r>
      <w:r w:rsidR="00062BFA" w:rsidRPr="004F6DAA">
        <w:rPr>
          <w:noProof/>
        </w:rPr>
        <w:t>las</w:t>
      </w:r>
      <w:r w:rsidR="002F7F77" w:rsidRPr="004F6DAA">
        <w:rPr>
          <w:noProof/>
        </w:rPr>
        <w:t>u takich jak drewno, bioróżnorodność</w:t>
      </w:r>
      <w:r w:rsidR="00062BFA" w:rsidRPr="004F6DAA">
        <w:rPr>
          <w:noProof/>
        </w:rPr>
        <w:t xml:space="preserve"> i</w:t>
      </w:r>
      <w:r w:rsidR="00062BFA">
        <w:rPr>
          <w:noProof/>
        </w:rPr>
        <w:t> </w:t>
      </w:r>
      <w:r w:rsidR="00062BFA" w:rsidRPr="004F6DAA">
        <w:rPr>
          <w:noProof/>
        </w:rPr>
        <w:t>inn</w:t>
      </w:r>
      <w:r w:rsidR="002F7F77" w:rsidRPr="004F6DAA">
        <w:rPr>
          <w:noProof/>
        </w:rPr>
        <w:t xml:space="preserve">e produkty lub usługi; </w:t>
      </w:r>
    </w:p>
    <w:p w14:paraId="3C5C5950" w14:textId="77777777" w:rsidR="002F7F77" w:rsidRPr="004F6DAA" w:rsidRDefault="007B7EB7" w:rsidP="007B7EB7">
      <w:pPr>
        <w:pStyle w:val="Point0"/>
        <w:rPr>
          <w:noProof/>
        </w:rPr>
      </w:pPr>
      <w:r w:rsidRPr="007B7EB7">
        <w:t>(7)</w:t>
      </w:r>
      <w:r w:rsidRPr="007B7EB7">
        <w:tab/>
      </w:r>
      <w:r w:rsidR="002F7F77" w:rsidRPr="004F6DAA">
        <w:rPr>
          <w:noProof/>
        </w:rPr>
        <w:t>„operacje zrównoważonego pozyskiwania” oznaczają pozyskiwanie prowadzone</w:t>
      </w:r>
      <w:r w:rsidR="00062BFA" w:rsidRPr="004F6DAA">
        <w:rPr>
          <w:noProof/>
        </w:rPr>
        <w:t xml:space="preserve"> z</w:t>
      </w:r>
      <w:r w:rsidR="00062BFA">
        <w:rPr>
          <w:noProof/>
        </w:rPr>
        <w:t> </w:t>
      </w:r>
      <w:r w:rsidR="00062BFA" w:rsidRPr="004F6DAA">
        <w:rPr>
          <w:noProof/>
        </w:rPr>
        <w:t>uwz</w:t>
      </w:r>
      <w:r w:rsidR="002F7F77" w:rsidRPr="004F6DAA">
        <w:rPr>
          <w:noProof/>
        </w:rPr>
        <w:t>ględnieniem utrzymania jakości gleby</w:t>
      </w:r>
      <w:r w:rsidR="00062BFA" w:rsidRPr="004F6DAA">
        <w:rPr>
          <w:noProof/>
        </w:rPr>
        <w:t xml:space="preserve"> i</w:t>
      </w:r>
      <w:r w:rsidR="00062BFA">
        <w:rPr>
          <w:noProof/>
        </w:rPr>
        <w:t> </w:t>
      </w:r>
      <w:r w:rsidR="00062BFA" w:rsidRPr="004F6DAA">
        <w:rPr>
          <w:noProof/>
        </w:rPr>
        <w:t>róż</w:t>
      </w:r>
      <w:r w:rsidR="002F7F77" w:rsidRPr="004F6DAA">
        <w:rPr>
          <w:noProof/>
        </w:rPr>
        <w:t>norodności biologicznej, mające na celu zminimalizowanie negatywnych skutków</w:t>
      </w:r>
      <w:r w:rsidR="00062BFA" w:rsidRPr="004F6DAA">
        <w:rPr>
          <w:noProof/>
        </w:rPr>
        <w:t xml:space="preserve"> w</w:t>
      </w:r>
      <w:r w:rsidR="00062BFA">
        <w:rPr>
          <w:noProof/>
        </w:rPr>
        <w:t> </w:t>
      </w:r>
      <w:r w:rsidR="00062BFA" w:rsidRPr="004F6DAA">
        <w:rPr>
          <w:noProof/>
        </w:rPr>
        <w:t>spo</w:t>
      </w:r>
      <w:r w:rsidR="002F7F77" w:rsidRPr="004F6DAA">
        <w:rPr>
          <w:noProof/>
        </w:rPr>
        <w:t>sób pozwalający uniknąć pozyskiwania pniaków</w:t>
      </w:r>
      <w:r w:rsidR="00062BFA" w:rsidRPr="004F6DAA">
        <w:rPr>
          <w:noProof/>
        </w:rPr>
        <w:t xml:space="preserve"> i</w:t>
      </w:r>
      <w:r w:rsidR="00062BFA">
        <w:rPr>
          <w:noProof/>
        </w:rPr>
        <w:t> </w:t>
      </w:r>
      <w:r w:rsidR="00062BFA" w:rsidRPr="004F6DAA">
        <w:rPr>
          <w:noProof/>
        </w:rPr>
        <w:t>kor</w:t>
      </w:r>
      <w:r w:rsidR="002F7F77" w:rsidRPr="004F6DAA">
        <w:rPr>
          <w:noProof/>
        </w:rPr>
        <w:t>zeni, degradacji lasów pierwotnych lub ich przekształcania</w:t>
      </w:r>
      <w:r w:rsidR="00062BFA" w:rsidRPr="004F6DAA">
        <w:rPr>
          <w:noProof/>
        </w:rPr>
        <w:t xml:space="preserve"> w</w:t>
      </w:r>
      <w:r w:rsidR="00062BFA">
        <w:rPr>
          <w:noProof/>
        </w:rPr>
        <w:t> </w:t>
      </w:r>
      <w:r w:rsidR="00062BFA" w:rsidRPr="004F6DAA">
        <w:rPr>
          <w:noProof/>
        </w:rPr>
        <w:t>pla</w:t>
      </w:r>
      <w:r w:rsidR="002F7F77" w:rsidRPr="004F6DAA">
        <w:rPr>
          <w:noProof/>
        </w:rPr>
        <w:t>ntacje leśne, lub pozyskiwania na wrażliwych glebach; minimalizują one zrąb zupełny na dużą skalę</w:t>
      </w:r>
      <w:r w:rsidR="00062BFA" w:rsidRPr="004F6DAA">
        <w:rPr>
          <w:noProof/>
        </w:rPr>
        <w:t xml:space="preserve"> i</w:t>
      </w:r>
      <w:r w:rsidR="00062BFA">
        <w:rPr>
          <w:noProof/>
        </w:rPr>
        <w:t> </w:t>
      </w:r>
      <w:r w:rsidR="00062BFA" w:rsidRPr="004F6DAA">
        <w:rPr>
          <w:noProof/>
        </w:rPr>
        <w:t>zap</w:t>
      </w:r>
      <w:r w:rsidR="002F7F77" w:rsidRPr="004F6DAA">
        <w:rPr>
          <w:noProof/>
        </w:rPr>
        <w:t>ewniają odpowiednie dla danego miejsca progi pozyskiwania drewna posuszowego oraz wymogi dotyczące wykorzystywania systemów pozyskiwania drewna, które minimalizują wpływ na jakość gleby,</w:t>
      </w:r>
      <w:r w:rsidR="00062BFA" w:rsidRPr="004F6DAA">
        <w:rPr>
          <w:noProof/>
        </w:rPr>
        <w:t xml:space="preserve"> w</w:t>
      </w:r>
      <w:r w:rsidR="00062BFA">
        <w:rPr>
          <w:noProof/>
        </w:rPr>
        <w:t> </w:t>
      </w:r>
      <w:r w:rsidR="00062BFA" w:rsidRPr="004F6DAA">
        <w:rPr>
          <w:noProof/>
        </w:rPr>
        <w:t>tym</w:t>
      </w:r>
      <w:r w:rsidR="002F7F77" w:rsidRPr="004F6DAA">
        <w:rPr>
          <w:noProof/>
        </w:rPr>
        <w:t xml:space="preserve"> zagęszczanie gleby, oraz na cechy różnorodności biologicznej</w:t>
      </w:r>
      <w:r w:rsidR="00062BFA" w:rsidRPr="004F6DAA">
        <w:rPr>
          <w:noProof/>
        </w:rPr>
        <w:t xml:space="preserve"> i</w:t>
      </w:r>
      <w:r w:rsidR="00062BFA">
        <w:rPr>
          <w:noProof/>
        </w:rPr>
        <w:t> </w:t>
      </w:r>
      <w:r w:rsidR="00062BFA" w:rsidRPr="004F6DAA">
        <w:rPr>
          <w:noProof/>
        </w:rPr>
        <w:t>sie</w:t>
      </w:r>
      <w:r w:rsidR="002F7F77" w:rsidRPr="004F6DAA">
        <w:rPr>
          <w:noProof/>
        </w:rPr>
        <w:t xml:space="preserve">dliska; </w:t>
      </w:r>
    </w:p>
    <w:p w14:paraId="3DDB23E2" w14:textId="77777777" w:rsidR="002F7F77" w:rsidRPr="004F6DAA" w:rsidRDefault="007B7EB7" w:rsidP="007B7EB7">
      <w:pPr>
        <w:pStyle w:val="Point0"/>
        <w:rPr>
          <w:noProof/>
        </w:rPr>
      </w:pPr>
      <w:r w:rsidRPr="007B7EB7">
        <w:t>(8)</w:t>
      </w:r>
      <w:r w:rsidRPr="007B7EB7">
        <w:tab/>
      </w:r>
      <w:r w:rsidR="002F7F77" w:rsidRPr="004F6DAA">
        <w:rPr>
          <w:noProof/>
        </w:rPr>
        <w:t xml:space="preserve">„niepowodujące wylesiania” oznacza: </w:t>
      </w:r>
    </w:p>
    <w:p w14:paraId="1AFC7C6E" w14:textId="77777777" w:rsidR="002F7F77" w:rsidRPr="004F6DAA" w:rsidRDefault="00062BFA" w:rsidP="00062BFA">
      <w:pPr>
        <w:pStyle w:val="Point1"/>
        <w:rPr>
          <w:noProof/>
        </w:rPr>
      </w:pPr>
      <w:r w:rsidRPr="00062BFA">
        <w:rPr>
          <w:noProof/>
        </w:rPr>
        <w:t>a)</w:t>
      </w:r>
      <w:r w:rsidRPr="00062BFA">
        <w:rPr>
          <w:noProof/>
        </w:rPr>
        <w:tab/>
      </w:r>
      <w:r w:rsidR="002F7F77" w:rsidRPr="004F6DAA">
        <w:rPr>
          <w:noProof/>
        </w:rPr>
        <w:t>że odnośne towary</w:t>
      </w:r>
      <w:r w:rsidRPr="004F6DAA">
        <w:rPr>
          <w:noProof/>
        </w:rPr>
        <w:t xml:space="preserve"> i</w:t>
      </w:r>
      <w:r>
        <w:rPr>
          <w:noProof/>
        </w:rPr>
        <w:t> </w:t>
      </w:r>
      <w:r w:rsidRPr="004F6DAA">
        <w:rPr>
          <w:noProof/>
        </w:rPr>
        <w:t>pro</w:t>
      </w:r>
      <w:r w:rsidR="002F7F77" w:rsidRPr="004F6DAA">
        <w:rPr>
          <w:noProof/>
        </w:rPr>
        <w:t>dukty,</w:t>
      </w:r>
      <w:r w:rsidRPr="004F6DAA">
        <w:rPr>
          <w:noProof/>
        </w:rPr>
        <w:t xml:space="preserve"> w</w:t>
      </w:r>
      <w:r>
        <w:rPr>
          <w:noProof/>
        </w:rPr>
        <w:t> </w:t>
      </w:r>
      <w:r w:rsidRPr="004F6DAA">
        <w:rPr>
          <w:noProof/>
        </w:rPr>
        <w:t>tym</w:t>
      </w:r>
      <w:r w:rsidR="002F7F77" w:rsidRPr="004F6DAA">
        <w:rPr>
          <w:noProof/>
        </w:rPr>
        <w:t xml:space="preserve"> towary</w:t>
      </w:r>
      <w:r w:rsidRPr="004F6DAA">
        <w:rPr>
          <w:noProof/>
        </w:rPr>
        <w:t xml:space="preserve"> i</w:t>
      </w:r>
      <w:r>
        <w:rPr>
          <w:noProof/>
        </w:rPr>
        <w:t> </w:t>
      </w:r>
      <w:r w:rsidRPr="004F6DAA">
        <w:rPr>
          <w:noProof/>
        </w:rPr>
        <w:t>pro</w:t>
      </w:r>
      <w:r w:rsidR="002F7F77" w:rsidRPr="004F6DAA">
        <w:rPr>
          <w:noProof/>
        </w:rPr>
        <w:t>dukty wykorzystywane do wytwarzania odnośnych produktów lub</w:t>
      </w:r>
      <w:r w:rsidRPr="004F6DAA">
        <w:rPr>
          <w:noProof/>
        </w:rPr>
        <w:t xml:space="preserve"> w</w:t>
      </w:r>
      <w:r>
        <w:rPr>
          <w:noProof/>
        </w:rPr>
        <w:t> </w:t>
      </w:r>
      <w:r w:rsidRPr="004F6DAA">
        <w:rPr>
          <w:noProof/>
        </w:rPr>
        <w:t>nic</w:t>
      </w:r>
      <w:r w:rsidR="002F7F77" w:rsidRPr="004F6DAA">
        <w:rPr>
          <w:noProof/>
        </w:rPr>
        <w:t>h zawarte, zostały wyprodukowane na terenie, który nie podlegał wylesianiu po dniu 31 grudnia 20</w:t>
      </w:r>
      <w:r w:rsidR="002F7F77" w:rsidRPr="00062BFA">
        <w:rPr>
          <w:noProof/>
        </w:rPr>
        <w:t>20</w:t>
      </w:r>
      <w:r w:rsidRPr="00062BFA">
        <w:rPr>
          <w:noProof/>
        </w:rPr>
        <w:t> </w:t>
      </w:r>
      <w:r w:rsidR="002F7F77" w:rsidRPr="00062BFA">
        <w:rPr>
          <w:noProof/>
        </w:rPr>
        <w:t>r.</w:t>
      </w:r>
      <w:r w:rsidR="002F7F77" w:rsidRPr="004F6DAA">
        <w:rPr>
          <w:noProof/>
        </w:rPr>
        <w:t xml:space="preserve">, oraz </w:t>
      </w:r>
    </w:p>
    <w:p w14:paraId="633E4DF1" w14:textId="77777777" w:rsidR="002F7F77" w:rsidRPr="004F6DAA" w:rsidRDefault="00062BFA" w:rsidP="00062BFA">
      <w:pPr>
        <w:pStyle w:val="Point1"/>
        <w:rPr>
          <w:noProof/>
        </w:rPr>
      </w:pPr>
      <w:r w:rsidRPr="00062BFA">
        <w:rPr>
          <w:noProof/>
        </w:rPr>
        <w:t>b)</w:t>
      </w:r>
      <w:r w:rsidRPr="00062BFA">
        <w:rPr>
          <w:noProof/>
        </w:rPr>
        <w:tab/>
      </w:r>
      <w:r w:rsidR="002F7F77" w:rsidRPr="004F6DAA">
        <w:rPr>
          <w:noProof/>
        </w:rPr>
        <w:t>że drewno pozyskano</w:t>
      </w:r>
      <w:r w:rsidRPr="004F6DAA">
        <w:rPr>
          <w:noProof/>
        </w:rPr>
        <w:t xml:space="preserve"> z</w:t>
      </w:r>
      <w:r>
        <w:rPr>
          <w:noProof/>
        </w:rPr>
        <w:t> </w:t>
      </w:r>
      <w:r w:rsidRPr="004F6DAA">
        <w:rPr>
          <w:noProof/>
        </w:rPr>
        <w:t>las</w:t>
      </w:r>
      <w:r w:rsidR="002F7F77" w:rsidRPr="004F6DAA">
        <w:rPr>
          <w:noProof/>
        </w:rPr>
        <w:t>u, nie przyczyniając się do degradacji lasów, po dniu 31 grudnia 20</w:t>
      </w:r>
      <w:r w:rsidR="002F7F77" w:rsidRPr="00062BFA">
        <w:rPr>
          <w:noProof/>
        </w:rPr>
        <w:t>20</w:t>
      </w:r>
      <w:r w:rsidRPr="00062BFA">
        <w:rPr>
          <w:noProof/>
        </w:rPr>
        <w:t> </w:t>
      </w:r>
      <w:r w:rsidR="002F7F77" w:rsidRPr="00062BFA">
        <w:rPr>
          <w:noProof/>
        </w:rPr>
        <w:t>r.</w:t>
      </w:r>
      <w:r w:rsidR="002F7F77" w:rsidRPr="004F6DAA">
        <w:rPr>
          <w:noProof/>
        </w:rPr>
        <w:t>;</w:t>
      </w:r>
    </w:p>
    <w:p w14:paraId="6841096A" w14:textId="77777777" w:rsidR="005D7BB2" w:rsidRPr="004F6DAA" w:rsidRDefault="007B7EB7" w:rsidP="007B7EB7">
      <w:pPr>
        <w:pStyle w:val="Point0"/>
        <w:rPr>
          <w:noProof/>
        </w:rPr>
      </w:pPr>
      <w:r w:rsidRPr="007B7EB7">
        <w:t>(9)</w:t>
      </w:r>
      <w:r w:rsidRPr="007B7EB7">
        <w:tab/>
      </w:r>
      <w:r w:rsidR="002F7F77" w:rsidRPr="004F6DAA">
        <w:rPr>
          <w:noProof/>
        </w:rPr>
        <w:t xml:space="preserve">„wyprodukowany” oznacza uprawiany, hodowany, karmiony lub pozyskany na odpowiedniej działce; </w:t>
      </w:r>
    </w:p>
    <w:p w14:paraId="221312CF" w14:textId="77777777" w:rsidR="005D7BB2" w:rsidRPr="004F6DAA" w:rsidRDefault="007B7EB7" w:rsidP="007B7EB7">
      <w:pPr>
        <w:pStyle w:val="Point0"/>
        <w:rPr>
          <w:noProof/>
        </w:rPr>
      </w:pPr>
      <w:r w:rsidRPr="007B7EB7">
        <w:t>(10)</w:t>
      </w:r>
      <w:r w:rsidRPr="007B7EB7">
        <w:tab/>
      </w:r>
      <w:r w:rsidR="002F7F77" w:rsidRPr="004F6DAA">
        <w:rPr>
          <w:noProof/>
        </w:rPr>
        <w:t xml:space="preserve">„wprowadzenie do obrotu” oznacza udostępnienie odnośnego towaru lub produktu na rynku unijnym po raz pierwszy; </w:t>
      </w:r>
    </w:p>
    <w:p w14:paraId="50C546DF" w14:textId="77777777" w:rsidR="005D7BB2" w:rsidRPr="004F6DAA" w:rsidRDefault="007B7EB7" w:rsidP="007B7EB7">
      <w:pPr>
        <w:pStyle w:val="Point0"/>
        <w:rPr>
          <w:noProof/>
        </w:rPr>
      </w:pPr>
      <w:r w:rsidRPr="007B7EB7">
        <w:t>(11)</w:t>
      </w:r>
      <w:r w:rsidRPr="007B7EB7">
        <w:tab/>
      </w:r>
      <w:r w:rsidR="002F7F77" w:rsidRPr="004F6DAA">
        <w:rPr>
          <w:noProof/>
        </w:rPr>
        <w:t>„udostępnienie na rynku” oznacza każde dostarczenie odnośnego towaru lub produktu do celów dystrybucji, konsumpcji lub używania na rynku unijnym</w:t>
      </w:r>
      <w:r w:rsidR="00062BFA" w:rsidRPr="004F6DAA">
        <w:rPr>
          <w:noProof/>
        </w:rPr>
        <w:t xml:space="preserve"> w</w:t>
      </w:r>
      <w:r w:rsidR="00062BFA">
        <w:rPr>
          <w:noProof/>
        </w:rPr>
        <w:t> </w:t>
      </w:r>
      <w:r w:rsidR="00062BFA" w:rsidRPr="004F6DAA">
        <w:rPr>
          <w:noProof/>
        </w:rPr>
        <w:t>ram</w:t>
      </w:r>
      <w:r w:rsidR="002F7F77" w:rsidRPr="004F6DAA">
        <w:rPr>
          <w:noProof/>
        </w:rPr>
        <w:t xml:space="preserve">ach działalności handlowej, odpłatnie lub nieodpłatnie; </w:t>
      </w:r>
    </w:p>
    <w:p w14:paraId="3B3CB147" w14:textId="77777777" w:rsidR="005D7BB2" w:rsidRPr="004F6DAA" w:rsidRDefault="007B7EB7" w:rsidP="007B7EB7">
      <w:pPr>
        <w:pStyle w:val="Point0"/>
        <w:rPr>
          <w:noProof/>
        </w:rPr>
      </w:pPr>
      <w:r w:rsidRPr="007B7EB7">
        <w:t>(12)</w:t>
      </w:r>
      <w:r w:rsidRPr="007B7EB7">
        <w:tab/>
      </w:r>
      <w:r w:rsidR="002F7F77" w:rsidRPr="004F6DAA">
        <w:rPr>
          <w:noProof/>
        </w:rPr>
        <w:t>„podmiot” oznacza każdą osobę fizyczną lub prawną, która</w:t>
      </w:r>
      <w:r w:rsidR="00062BFA" w:rsidRPr="004F6DAA">
        <w:rPr>
          <w:noProof/>
        </w:rPr>
        <w:t xml:space="preserve"> w</w:t>
      </w:r>
      <w:r w:rsidR="00062BFA">
        <w:rPr>
          <w:noProof/>
        </w:rPr>
        <w:t> </w:t>
      </w:r>
      <w:r w:rsidR="00062BFA" w:rsidRPr="004F6DAA">
        <w:rPr>
          <w:noProof/>
        </w:rPr>
        <w:t>ram</w:t>
      </w:r>
      <w:r w:rsidR="002F7F77" w:rsidRPr="004F6DAA">
        <w:rPr>
          <w:noProof/>
        </w:rPr>
        <w:t>ach działalności handlowej wprowadza odnośne towary</w:t>
      </w:r>
      <w:r w:rsidR="00062BFA" w:rsidRPr="004F6DAA">
        <w:rPr>
          <w:noProof/>
        </w:rPr>
        <w:t xml:space="preserve"> i</w:t>
      </w:r>
      <w:r w:rsidR="00062BFA">
        <w:rPr>
          <w:noProof/>
        </w:rPr>
        <w:t> </w:t>
      </w:r>
      <w:r w:rsidR="00062BFA" w:rsidRPr="004F6DAA">
        <w:rPr>
          <w:noProof/>
        </w:rPr>
        <w:t>pro</w:t>
      </w:r>
      <w:r w:rsidR="002F7F77" w:rsidRPr="004F6DAA">
        <w:rPr>
          <w:noProof/>
        </w:rPr>
        <w:t>dukty do obrotu</w:t>
      </w:r>
      <w:r w:rsidR="00062BFA" w:rsidRPr="004F6DAA">
        <w:rPr>
          <w:noProof/>
        </w:rPr>
        <w:t xml:space="preserve"> w</w:t>
      </w:r>
      <w:r w:rsidR="00062BFA">
        <w:rPr>
          <w:noProof/>
        </w:rPr>
        <w:t> </w:t>
      </w:r>
      <w:r w:rsidR="00062BFA" w:rsidRPr="004F6DAA">
        <w:rPr>
          <w:noProof/>
        </w:rPr>
        <w:t>Uni</w:t>
      </w:r>
      <w:r w:rsidR="002F7F77" w:rsidRPr="004F6DAA">
        <w:rPr>
          <w:noProof/>
        </w:rPr>
        <w:t>i lub wywozi je</w:t>
      </w:r>
      <w:r w:rsidR="00062BFA" w:rsidRPr="004F6DAA">
        <w:rPr>
          <w:noProof/>
        </w:rPr>
        <w:t xml:space="preserve"> z</w:t>
      </w:r>
      <w:r w:rsidR="00062BFA">
        <w:rPr>
          <w:noProof/>
        </w:rPr>
        <w:t> </w:t>
      </w:r>
      <w:r w:rsidR="00062BFA" w:rsidRPr="004F6DAA">
        <w:rPr>
          <w:noProof/>
        </w:rPr>
        <w:t>ryn</w:t>
      </w:r>
      <w:r w:rsidR="002F7F77" w:rsidRPr="004F6DAA">
        <w:rPr>
          <w:noProof/>
        </w:rPr>
        <w:t xml:space="preserve">ku unijnego; </w:t>
      </w:r>
    </w:p>
    <w:p w14:paraId="2269C996" w14:textId="77777777" w:rsidR="005D7BB2" w:rsidRPr="004F6DAA" w:rsidRDefault="007B7EB7" w:rsidP="007B7EB7">
      <w:pPr>
        <w:pStyle w:val="Point0"/>
        <w:rPr>
          <w:noProof/>
        </w:rPr>
      </w:pPr>
      <w:r w:rsidRPr="007B7EB7">
        <w:t>(13)</w:t>
      </w:r>
      <w:r w:rsidRPr="007B7EB7">
        <w:tab/>
      </w:r>
      <w:r w:rsidR="002F7F77" w:rsidRPr="004F6DAA">
        <w:rPr>
          <w:noProof/>
        </w:rPr>
        <w:t>„podmiot handlowy” oznacza każdą osobę fizyczną lub prawną</w:t>
      </w:r>
      <w:r w:rsidR="00062BFA" w:rsidRPr="004F6DAA">
        <w:rPr>
          <w:noProof/>
        </w:rPr>
        <w:t xml:space="preserve"> w</w:t>
      </w:r>
      <w:r w:rsidR="00062BFA">
        <w:rPr>
          <w:noProof/>
        </w:rPr>
        <w:t> </w:t>
      </w:r>
      <w:r w:rsidR="00062BFA" w:rsidRPr="004F6DAA">
        <w:rPr>
          <w:noProof/>
        </w:rPr>
        <w:t>łań</w:t>
      </w:r>
      <w:r w:rsidR="002F7F77" w:rsidRPr="004F6DAA">
        <w:rPr>
          <w:noProof/>
        </w:rPr>
        <w:t>cuchu dostaw inną niż podmiot, która</w:t>
      </w:r>
      <w:r w:rsidR="00062BFA" w:rsidRPr="004F6DAA">
        <w:rPr>
          <w:noProof/>
        </w:rPr>
        <w:t xml:space="preserve"> w</w:t>
      </w:r>
      <w:r w:rsidR="00062BFA">
        <w:rPr>
          <w:noProof/>
        </w:rPr>
        <w:t> </w:t>
      </w:r>
      <w:r w:rsidR="00062BFA" w:rsidRPr="004F6DAA">
        <w:rPr>
          <w:noProof/>
        </w:rPr>
        <w:t>ram</w:t>
      </w:r>
      <w:r w:rsidR="002F7F77" w:rsidRPr="004F6DAA">
        <w:rPr>
          <w:noProof/>
        </w:rPr>
        <w:t>ach działalności handlowej udostępnia na rynku unijnym odnośne towary</w:t>
      </w:r>
      <w:r w:rsidR="00062BFA" w:rsidRPr="004F6DAA">
        <w:rPr>
          <w:noProof/>
        </w:rPr>
        <w:t xml:space="preserve"> i</w:t>
      </w:r>
      <w:r w:rsidR="00062BFA">
        <w:rPr>
          <w:noProof/>
        </w:rPr>
        <w:t> </w:t>
      </w:r>
      <w:r w:rsidR="00062BFA" w:rsidRPr="004F6DAA">
        <w:rPr>
          <w:noProof/>
        </w:rPr>
        <w:t>pro</w:t>
      </w:r>
      <w:r w:rsidR="002F7F77" w:rsidRPr="004F6DAA">
        <w:rPr>
          <w:noProof/>
        </w:rPr>
        <w:t xml:space="preserve">dukty; </w:t>
      </w:r>
    </w:p>
    <w:p w14:paraId="4F673C55" w14:textId="77777777" w:rsidR="005D7BB2" w:rsidRPr="004F6DAA" w:rsidRDefault="007B7EB7" w:rsidP="007B7EB7">
      <w:pPr>
        <w:pStyle w:val="Point0"/>
        <w:rPr>
          <w:noProof/>
        </w:rPr>
      </w:pPr>
      <w:r w:rsidRPr="007B7EB7">
        <w:t>(14)</w:t>
      </w:r>
      <w:r w:rsidRPr="007B7EB7">
        <w:tab/>
      </w:r>
      <w:r w:rsidR="002F7F77" w:rsidRPr="004F6DAA">
        <w:rPr>
          <w:noProof/>
        </w:rPr>
        <w:t>„kraj pochodzenia” oznacza kraj lub terytorium określone</w:t>
      </w:r>
      <w:r w:rsidR="00062BFA" w:rsidRPr="004F6DAA">
        <w:rPr>
          <w:noProof/>
        </w:rPr>
        <w:t xml:space="preserve"> w</w:t>
      </w:r>
      <w:r w:rsidR="00062BFA">
        <w:rPr>
          <w:noProof/>
        </w:rPr>
        <w:t> </w:t>
      </w:r>
      <w:r w:rsidR="00062BFA" w:rsidRPr="00062BFA">
        <w:rPr>
          <w:noProof/>
        </w:rPr>
        <w:t>art</w:t>
      </w:r>
      <w:r w:rsidR="002F7F77" w:rsidRPr="00062BFA">
        <w:rPr>
          <w:noProof/>
        </w:rPr>
        <w:t>.</w:t>
      </w:r>
      <w:r w:rsidR="00062BFA" w:rsidRPr="00062BFA">
        <w:rPr>
          <w:noProof/>
        </w:rPr>
        <w:t> </w:t>
      </w:r>
      <w:r w:rsidR="002F7F77" w:rsidRPr="00062BFA">
        <w:rPr>
          <w:noProof/>
        </w:rPr>
        <w:t>6</w:t>
      </w:r>
      <w:r w:rsidR="002F7F77" w:rsidRPr="004F6DAA">
        <w:rPr>
          <w:noProof/>
        </w:rPr>
        <w:t>0 rozporządzenia Parlamentu Europejskiego</w:t>
      </w:r>
      <w:r w:rsidR="00062BFA" w:rsidRPr="004F6DAA">
        <w:rPr>
          <w:noProof/>
        </w:rPr>
        <w:t xml:space="preserve"> i</w:t>
      </w:r>
      <w:r w:rsidR="00062BFA">
        <w:rPr>
          <w:noProof/>
        </w:rPr>
        <w:t> </w:t>
      </w:r>
      <w:r w:rsidR="00062BFA" w:rsidRPr="004F6DAA">
        <w:rPr>
          <w:noProof/>
        </w:rPr>
        <w:t>Rad</w:t>
      </w:r>
      <w:r w:rsidR="002F7F77" w:rsidRPr="004F6DAA">
        <w:rPr>
          <w:noProof/>
        </w:rPr>
        <w:t xml:space="preserve">y (UE) </w:t>
      </w:r>
      <w:r w:rsidR="002F7F77" w:rsidRPr="00062BFA">
        <w:rPr>
          <w:noProof/>
        </w:rPr>
        <w:t>nr</w:t>
      </w:r>
      <w:r w:rsidR="00062BFA" w:rsidRPr="00062BFA">
        <w:rPr>
          <w:noProof/>
        </w:rPr>
        <w:t> </w:t>
      </w:r>
      <w:r w:rsidR="002F7F77" w:rsidRPr="00062BFA">
        <w:rPr>
          <w:noProof/>
        </w:rPr>
        <w:t>9</w:t>
      </w:r>
      <w:r w:rsidR="002F7F77" w:rsidRPr="004F6DAA">
        <w:rPr>
          <w:noProof/>
        </w:rPr>
        <w:t>52/2013</w:t>
      </w:r>
      <w:r w:rsidR="002F7F77" w:rsidRPr="004F6DAA">
        <w:rPr>
          <w:rStyle w:val="Odwoanieprzypisudolnego"/>
          <w:noProof/>
        </w:rPr>
        <w:footnoteReference w:id="47"/>
      </w:r>
      <w:r w:rsidR="002F7F77" w:rsidRPr="004F6DAA">
        <w:rPr>
          <w:noProof/>
        </w:rPr>
        <w:t>;</w:t>
      </w:r>
    </w:p>
    <w:p w14:paraId="4682759A" w14:textId="77777777" w:rsidR="005D7BB2" w:rsidRPr="004F6DAA" w:rsidRDefault="007B7EB7" w:rsidP="007B7EB7">
      <w:pPr>
        <w:pStyle w:val="Point0"/>
        <w:rPr>
          <w:noProof/>
        </w:rPr>
      </w:pPr>
      <w:r w:rsidRPr="007B7EB7">
        <w:t>(15)</w:t>
      </w:r>
      <w:r w:rsidRPr="007B7EB7">
        <w:tab/>
      </w:r>
      <w:r w:rsidR="002F7F77" w:rsidRPr="004F6DAA">
        <w:rPr>
          <w:noProof/>
        </w:rPr>
        <w:t>„kraj produkcji” oznacza kraj lub terytorium,</w:t>
      </w:r>
      <w:r w:rsidR="00062BFA" w:rsidRPr="004F6DAA">
        <w:rPr>
          <w:noProof/>
        </w:rPr>
        <w:t xml:space="preserve"> w</w:t>
      </w:r>
      <w:r w:rsidR="00062BFA">
        <w:rPr>
          <w:noProof/>
        </w:rPr>
        <w:t> </w:t>
      </w:r>
      <w:r w:rsidR="00062BFA" w:rsidRPr="004F6DAA">
        <w:rPr>
          <w:noProof/>
        </w:rPr>
        <w:t>któ</w:t>
      </w:r>
      <w:r w:rsidR="002F7F77" w:rsidRPr="004F6DAA">
        <w:rPr>
          <w:noProof/>
        </w:rPr>
        <w:t>rym wyprodukowano odnośny towar lub odnośny towar wykorzystany do wytworzenia produktu lub zawarty</w:t>
      </w:r>
      <w:r w:rsidR="00062BFA" w:rsidRPr="004F6DAA">
        <w:rPr>
          <w:noProof/>
        </w:rPr>
        <w:t xml:space="preserve"> w</w:t>
      </w:r>
      <w:r w:rsidR="00062BFA">
        <w:rPr>
          <w:noProof/>
        </w:rPr>
        <w:t> </w:t>
      </w:r>
      <w:r w:rsidR="00062BFA" w:rsidRPr="004F6DAA">
        <w:rPr>
          <w:noProof/>
        </w:rPr>
        <w:t>tak</w:t>
      </w:r>
      <w:r w:rsidR="002F7F77" w:rsidRPr="004F6DAA">
        <w:rPr>
          <w:noProof/>
        </w:rPr>
        <w:t xml:space="preserve">im produkcie; </w:t>
      </w:r>
    </w:p>
    <w:p w14:paraId="15E65DEE" w14:textId="77777777" w:rsidR="005D7BB2" w:rsidRPr="004F6DAA" w:rsidRDefault="007B7EB7" w:rsidP="007B7EB7">
      <w:pPr>
        <w:pStyle w:val="Point0"/>
        <w:rPr>
          <w:noProof/>
        </w:rPr>
      </w:pPr>
      <w:r w:rsidRPr="007B7EB7">
        <w:t>(16)</w:t>
      </w:r>
      <w:r w:rsidRPr="007B7EB7">
        <w:tab/>
      </w:r>
      <w:r w:rsidR="00EA283C" w:rsidRPr="004F6DAA">
        <w:rPr>
          <w:noProof/>
        </w:rPr>
        <w:t>„znikome ryzyko” oznacza sytuację,</w:t>
      </w:r>
      <w:r w:rsidR="00062BFA" w:rsidRPr="004F6DAA">
        <w:rPr>
          <w:noProof/>
        </w:rPr>
        <w:t xml:space="preserve"> w</w:t>
      </w:r>
      <w:r w:rsidR="00062BFA">
        <w:rPr>
          <w:noProof/>
        </w:rPr>
        <w:t> </w:t>
      </w:r>
      <w:r w:rsidR="00062BFA" w:rsidRPr="004F6DAA">
        <w:rPr>
          <w:noProof/>
        </w:rPr>
        <w:t>któ</w:t>
      </w:r>
      <w:r w:rsidR="00EA283C" w:rsidRPr="004F6DAA">
        <w:rPr>
          <w:noProof/>
        </w:rPr>
        <w:t>rej pełna ocena zarówno specyficznych dla danego produktu, jak</w:t>
      </w:r>
      <w:r w:rsidR="00062BFA" w:rsidRPr="004F6DAA">
        <w:rPr>
          <w:noProof/>
        </w:rPr>
        <w:t xml:space="preserve"> i</w:t>
      </w:r>
      <w:r w:rsidR="00062BFA">
        <w:rPr>
          <w:noProof/>
        </w:rPr>
        <w:t> </w:t>
      </w:r>
      <w:r w:rsidR="00062BFA" w:rsidRPr="004F6DAA">
        <w:rPr>
          <w:noProof/>
        </w:rPr>
        <w:t>ogó</w:t>
      </w:r>
      <w:r w:rsidR="00EA283C" w:rsidRPr="004F6DAA">
        <w:rPr>
          <w:noProof/>
        </w:rPr>
        <w:t>lnych informacji dotyczących zgodności odnośnych towarów lub produktów</w:t>
      </w:r>
      <w:r w:rsidR="00062BFA" w:rsidRPr="004F6DAA">
        <w:rPr>
          <w:noProof/>
        </w:rPr>
        <w:t xml:space="preserve"> z</w:t>
      </w:r>
      <w:r w:rsidR="00062BFA">
        <w:rPr>
          <w:noProof/>
        </w:rPr>
        <w:t> </w:t>
      </w:r>
      <w:r w:rsidR="00062BFA" w:rsidRPr="00062BFA">
        <w:rPr>
          <w:noProof/>
        </w:rPr>
        <w:t>art</w:t>
      </w:r>
      <w:r w:rsidR="00EA283C" w:rsidRPr="00062BFA">
        <w:rPr>
          <w:noProof/>
        </w:rPr>
        <w:t>.</w:t>
      </w:r>
      <w:r w:rsidR="00062BFA" w:rsidRPr="00062BFA">
        <w:rPr>
          <w:noProof/>
        </w:rPr>
        <w:t> </w:t>
      </w:r>
      <w:r w:rsidR="00EA283C" w:rsidRPr="00062BFA">
        <w:rPr>
          <w:noProof/>
        </w:rPr>
        <w:t>3</w:t>
      </w:r>
      <w:r w:rsidR="00EA283C" w:rsidRPr="004F6DAA">
        <w:rPr>
          <w:noProof/>
        </w:rPr>
        <w:t xml:space="preserve"> </w:t>
      </w:r>
      <w:r w:rsidR="00EA283C" w:rsidRPr="00062BFA">
        <w:rPr>
          <w:noProof/>
        </w:rPr>
        <w:t>lit.</w:t>
      </w:r>
      <w:r w:rsidR="00062BFA" w:rsidRPr="00062BFA">
        <w:rPr>
          <w:noProof/>
        </w:rPr>
        <w:t> </w:t>
      </w:r>
      <w:r w:rsidR="00EA283C" w:rsidRPr="00062BFA">
        <w:rPr>
          <w:noProof/>
        </w:rPr>
        <w:t>a)</w:t>
      </w:r>
      <w:r w:rsidR="00EA283C" w:rsidRPr="004F6DAA">
        <w:rPr>
          <w:noProof/>
        </w:rPr>
        <w:t xml:space="preserve"> i b) nie stwarza powodów do obaw; </w:t>
      </w:r>
    </w:p>
    <w:p w14:paraId="41AE23CA" w14:textId="77777777" w:rsidR="005D7BB2" w:rsidRPr="004F6DAA" w:rsidRDefault="007B7EB7" w:rsidP="007B7EB7">
      <w:pPr>
        <w:pStyle w:val="Point0"/>
        <w:rPr>
          <w:noProof/>
        </w:rPr>
      </w:pPr>
      <w:r w:rsidRPr="007B7EB7">
        <w:t>(17)</w:t>
      </w:r>
      <w:r w:rsidRPr="007B7EB7">
        <w:tab/>
      </w:r>
      <w:r w:rsidR="002F7F77" w:rsidRPr="004F6DAA">
        <w:rPr>
          <w:noProof/>
        </w:rPr>
        <w:t>„upoważniony przedstawiciel” oznacza każdą osobę fizyczną lub prawną, która ma siedzibę</w:t>
      </w:r>
      <w:r w:rsidR="00062BFA" w:rsidRPr="004F6DAA">
        <w:rPr>
          <w:noProof/>
        </w:rPr>
        <w:t xml:space="preserve"> w</w:t>
      </w:r>
      <w:r w:rsidR="00062BFA">
        <w:rPr>
          <w:noProof/>
        </w:rPr>
        <w:t> </w:t>
      </w:r>
      <w:r w:rsidR="00062BFA" w:rsidRPr="004F6DAA">
        <w:rPr>
          <w:noProof/>
        </w:rPr>
        <w:t>Uni</w:t>
      </w:r>
      <w:r w:rsidR="002F7F77" w:rsidRPr="004F6DAA">
        <w:rPr>
          <w:noProof/>
        </w:rPr>
        <w:t>i</w:t>
      </w:r>
      <w:r w:rsidR="00062BFA" w:rsidRPr="004F6DAA">
        <w:rPr>
          <w:noProof/>
        </w:rPr>
        <w:t xml:space="preserve"> i</w:t>
      </w:r>
      <w:r w:rsidR="00062BFA">
        <w:rPr>
          <w:noProof/>
        </w:rPr>
        <w:t> </w:t>
      </w:r>
      <w:r w:rsidR="00062BFA" w:rsidRPr="004F6DAA">
        <w:rPr>
          <w:noProof/>
        </w:rPr>
        <w:t>otr</w:t>
      </w:r>
      <w:r w:rsidR="002F7F77" w:rsidRPr="004F6DAA">
        <w:rPr>
          <w:noProof/>
        </w:rPr>
        <w:t>zymała od podmiotu pisemne upoważnienie do występowania</w:t>
      </w:r>
      <w:r w:rsidR="00062BFA" w:rsidRPr="004F6DAA">
        <w:rPr>
          <w:noProof/>
        </w:rPr>
        <w:t xml:space="preserve"> w</w:t>
      </w:r>
      <w:r w:rsidR="00062BFA">
        <w:rPr>
          <w:noProof/>
        </w:rPr>
        <w:t> </w:t>
      </w:r>
      <w:r w:rsidR="00062BFA" w:rsidRPr="004F6DAA">
        <w:rPr>
          <w:noProof/>
        </w:rPr>
        <w:t>jeg</w:t>
      </w:r>
      <w:r w:rsidR="002F7F77" w:rsidRPr="004F6DAA">
        <w:rPr>
          <w:noProof/>
        </w:rPr>
        <w:t>o imieniu</w:t>
      </w:r>
      <w:r w:rsidR="00062BFA" w:rsidRPr="004F6DAA">
        <w:rPr>
          <w:noProof/>
        </w:rPr>
        <w:t xml:space="preserve"> w</w:t>
      </w:r>
      <w:r w:rsidR="00062BFA">
        <w:rPr>
          <w:noProof/>
        </w:rPr>
        <w:t> </w:t>
      </w:r>
      <w:r w:rsidR="00062BFA" w:rsidRPr="004F6DAA">
        <w:rPr>
          <w:noProof/>
        </w:rPr>
        <w:t>zak</w:t>
      </w:r>
      <w:r w:rsidR="002F7F77" w:rsidRPr="004F6DAA">
        <w:rPr>
          <w:noProof/>
        </w:rPr>
        <w:t>resie określonych zadań</w:t>
      </w:r>
      <w:r w:rsidR="00062BFA" w:rsidRPr="004F6DAA">
        <w:rPr>
          <w:noProof/>
        </w:rPr>
        <w:t xml:space="preserve"> w</w:t>
      </w:r>
      <w:r w:rsidR="00062BFA">
        <w:rPr>
          <w:noProof/>
        </w:rPr>
        <w:t> </w:t>
      </w:r>
      <w:r w:rsidR="00062BFA" w:rsidRPr="004F6DAA">
        <w:rPr>
          <w:noProof/>
        </w:rPr>
        <w:t>odn</w:t>
      </w:r>
      <w:r w:rsidR="002F7F77" w:rsidRPr="004F6DAA">
        <w:rPr>
          <w:noProof/>
        </w:rPr>
        <w:t>iesieniu do obowiązków podmiotu wynikających</w:t>
      </w:r>
      <w:r w:rsidR="00062BFA" w:rsidRPr="004F6DAA">
        <w:rPr>
          <w:noProof/>
        </w:rPr>
        <w:t xml:space="preserve"> z</w:t>
      </w:r>
      <w:r w:rsidR="00062BFA">
        <w:rPr>
          <w:noProof/>
        </w:rPr>
        <w:t> </w:t>
      </w:r>
      <w:r w:rsidR="00062BFA" w:rsidRPr="004F6DAA">
        <w:rPr>
          <w:noProof/>
        </w:rPr>
        <w:t>nin</w:t>
      </w:r>
      <w:r w:rsidR="002F7F77" w:rsidRPr="004F6DAA">
        <w:rPr>
          <w:noProof/>
        </w:rPr>
        <w:t xml:space="preserve">iejszego rozporządzenia; </w:t>
      </w:r>
    </w:p>
    <w:p w14:paraId="509FDC4A" w14:textId="77777777" w:rsidR="005D7BB2" w:rsidRPr="004F6DAA" w:rsidRDefault="007B7EB7" w:rsidP="007B7EB7">
      <w:pPr>
        <w:pStyle w:val="Point0"/>
        <w:rPr>
          <w:noProof/>
        </w:rPr>
      </w:pPr>
      <w:r w:rsidRPr="007B7EB7">
        <w:t>(18)</w:t>
      </w:r>
      <w:r w:rsidRPr="007B7EB7">
        <w:tab/>
      </w:r>
      <w:r w:rsidR="002F7F77" w:rsidRPr="004F6DAA">
        <w:rPr>
          <w:noProof/>
        </w:rPr>
        <w:t>„produkty niezgodne</w:t>
      </w:r>
      <w:r w:rsidR="00062BFA" w:rsidRPr="004F6DAA">
        <w:rPr>
          <w:noProof/>
        </w:rPr>
        <w:t xml:space="preserve"> z</w:t>
      </w:r>
      <w:r w:rsidR="00062BFA">
        <w:rPr>
          <w:noProof/>
        </w:rPr>
        <w:t> </w:t>
      </w:r>
      <w:r w:rsidR="00062BFA" w:rsidRPr="004F6DAA">
        <w:rPr>
          <w:noProof/>
        </w:rPr>
        <w:t>wym</w:t>
      </w:r>
      <w:r w:rsidR="002F7F77" w:rsidRPr="004F6DAA">
        <w:rPr>
          <w:noProof/>
        </w:rPr>
        <w:t>ogami” oznaczają odnośne towary</w:t>
      </w:r>
      <w:r w:rsidR="00062BFA" w:rsidRPr="004F6DAA">
        <w:rPr>
          <w:noProof/>
        </w:rPr>
        <w:t xml:space="preserve"> i</w:t>
      </w:r>
      <w:r w:rsidR="00062BFA">
        <w:rPr>
          <w:noProof/>
        </w:rPr>
        <w:t> </w:t>
      </w:r>
      <w:r w:rsidR="00062BFA" w:rsidRPr="004F6DAA">
        <w:rPr>
          <w:noProof/>
        </w:rPr>
        <w:t>pro</w:t>
      </w:r>
      <w:r w:rsidR="002F7F77" w:rsidRPr="004F6DAA">
        <w:rPr>
          <w:noProof/>
        </w:rPr>
        <w:t>dukty, których nie wyprodukowano</w:t>
      </w:r>
      <w:r w:rsidR="00062BFA" w:rsidRPr="004F6DAA">
        <w:rPr>
          <w:noProof/>
        </w:rPr>
        <w:t xml:space="preserve"> w</w:t>
      </w:r>
      <w:r w:rsidR="00062BFA">
        <w:rPr>
          <w:noProof/>
        </w:rPr>
        <w:t> </w:t>
      </w:r>
      <w:r w:rsidR="00062BFA" w:rsidRPr="004F6DAA">
        <w:rPr>
          <w:noProof/>
        </w:rPr>
        <w:t>spo</w:t>
      </w:r>
      <w:r w:rsidR="002F7F77" w:rsidRPr="004F6DAA">
        <w:rPr>
          <w:noProof/>
        </w:rPr>
        <w:t>sób niepowodujący wylesiania, lub których nie wyprodukowano zgodnie</w:t>
      </w:r>
      <w:r w:rsidR="00062BFA" w:rsidRPr="004F6DAA">
        <w:rPr>
          <w:noProof/>
        </w:rPr>
        <w:t xml:space="preserve"> z</w:t>
      </w:r>
      <w:r w:rsidR="00062BFA">
        <w:rPr>
          <w:noProof/>
        </w:rPr>
        <w:t> </w:t>
      </w:r>
      <w:r w:rsidR="00062BFA" w:rsidRPr="004F6DAA">
        <w:rPr>
          <w:noProof/>
        </w:rPr>
        <w:t>wła</w:t>
      </w:r>
      <w:r w:rsidR="002F7F77" w:rsidRPr="004F6DAA">
        <w:rPr>
          <w:noProof/>
        </w:rPr>
        <w:t xml:space="preserve">ściwymi przepisami kraju produkcji, lub które spełniają obie wskazane przesłanki; </w:t>
      </w:r>
    </w:p>
    <w:p w14:paraId="1FD2EFE8" w14:textId="77777777" w:rsidR="005D7BB2" w:rsidRPr="004F6DAA" w:rsidRDefault="007B7EB7" w:rsidP="007B7EB7">
      <w:pPr>
        <w:pStyle w:val="Point0"/>
        <w:rPr>
          <w:noProof/>
        </w:rPr>
      </w:pPr>
      <w:r w:rsidRPr="007B7EB7">
        <w:t>(19)</w:t>
      </w:r>
      <w:r w:rsidRPr="007B7EB7">
        <w:tab/>
      </w:r>
      <w:r w:rsidR="002F7F77" w:rsidRPr="004F6DAA">
        <w:rPr>
          <w:noProof/>
        </w:rPr>
        <w:t>„działka” oznacza obszar położony</w:t>
      </w:r>
      <w:r w:rsidR="00062BFA" w:rsidRPr="004F6DAA">
        <w:rPr>
          <w:noProof/>
        </w:rPr>
        <w:t xml:space="preserve"> w</w:t>
      </w:r>
      <w:r w:rsidR="00062BFA">
        <w:rPr>
          <w:noProof/>
        </w:rPr>
        <w:t> </w:t>
      </w:r>
      <w:r w:rsidR="00062BFA" w:rsidRPr="004F6DAA">
        <w:rPr>
          <w:noProof/>
        </w:rPr>
        <w:t>obr</w:t>
      </w:r>
      <w:r w:rsidR="002F7F77" w:rsidRPr="004F6DAA">
        <w:rPr>
          <w:noProof/>
        </w:rPr>
        <w:t>ębie jednej nieruchomości, określonej przepisami kraju produkcji, na którym to obszarze występują wystarczająco jednorodne warunki umożliwiające ocenę zagregowanego poziomu ryzyka wylesiania</w:t>
      </w:r>
      <w:r w:rsidR="00062BFA" w:rsidRPr="004F6DAA">
        <w:rPr>
          <w:noProof/>
        </w:rPr>
        <w:t xml:space="preserve"> i</w:t>
      </w:r>
      <w:r w:rsidR="00062BFA">
        <w:rPr>
          <w:noProof/>
        </w:rPr>
        <w:t> </w:t>
      </w:r>
      <w:r w:rsidR="00062BFA" w:rsidRPr="004F6DAA">
        <w:rPr>
          <w:noProof/>
        </w:rPr>
        <w:t>deg</w:t>
      </w:r>
      <w:r w:rsidR="002F7F77" w:rsidRPr="004F6DAA">
        <w:rPr>
          <w:noProof/>
        </w:rPr>
        <w:t>radacji lasów związanych</w:t>
      </w:r>
      <w:r w:rsidR="00062BFA" w:rsidRPr="004F6DAA">
        <w:rPr>
          <w:noProof/>
        </w:rPr>
        <w:t xml:space="preserve"> z</w:t>
      </w:r>
      <w:r w:rsidR="00062BFA">
        <w:rPr>
          <w:noProof/>
        </w:rPr>
        <w:t> </w:t>
      </w:r>
      <w:r w:rsidR="00062BFA" w:rsidRPr="004F6DAA">
        <w:rPr>
          <w:noProof/>
        </w:rPr>
        <w:t>tow</w:t>
      </w:r>
      <w:r w:rsidR="002F7F77" w:rsidRPr="004F6DAA">
        <w:rPr>
          <w:noProof/>
        </w:rPr>
        <w:t xml:space="preserve">arami produkowanymi na tym obszarze; </w:t>
      </w:r>
    </w:p>
    <w:p w14:paraId="7A4A55C5" w14:textId="77777777" w:rsidR="005D7BB2" w:rsidRPr="004F6DAA" w:rsidRDefault="007B7EB7" w:rsidP="007B7EB7">
      <w:pPr>
        <w:pStyle w:val="Point0"/>
        <w:rPr>
          <w:noProof/>
        </w:rPr>
      </w:pPr>
      <w:r w:rsidRPr="007B7EB7">
        <w:t>(20)</w:t>
      </w:r>
      <w:r w:rsidRPr="007B7EB7">
        <w:tab/>
      </w:r>
      <w:r w:rsidR="002F7F77" w:rsidRPr="004F6DAA">
        <w:rPr>
          <w:noProof/>
        </w:rPr>
        <w:t>„MŚP” oznacza mikroprzedsiębiorstwa oraz małe</w:t>
      </w:r>
      <w:r w:rsidR="00062BFA" w:rsidRPr="004F6DAA">
        <w:rPr>
          <w:noProof/>
        </w:rPr>
        <w:t xml:space="preserve"> i</w:t>
      </w:r>
      <w:r w:rsidR="00062BFA">
        <w:rPr>
          <w:noProof/>
        </w:rPr>
        <w:t> </w:t>
      </w:r>
      <w:r w:rsidR="00062BFA" w:rsidRPr="004F6DAA">
        <w:rPr>
          <w:noProof/>
        </w:rPr>
        <w:t>śre</w:t>
      </w:r>
      <w:r w:rsidR="002F7F77" w:rsidRPr="004F6DAA">
        <w:rPr>
          <w:noProof/>
        </w:rPr>
        <w:t>dnie przedsiębiorstwa zdefiniowane</w:t>
      </w:r>
      <w:r w:rsidR="00062BFA" w:rsidRPr="004F6DAA">
        <w:rPr>
          <w:noProof/>
        </w:rPr>
        <w:t xml:space="preserve"> w</w:t>
      </w:r>
      <w:r w:rsidR="00062BFA">
        <w:rPr>
          <w:noProof/>
        </w:rPr>
        <w:t> </w:t>
      </w:r>
      <w:r w:rsidR="00062BFA" w:rsidRPr="004F6DAA">
        <w:rPr>
          <w:noProof/>
        </w:rPr>
        <w:t>dyr</w:t>
      </w:r>
      <w:r w:rsidR="002F7F77" w:rsidRPr="004F6DAA">
        <w:rPr>
          <w:noProof/>
        </w:rPr>
        <w:t>ektywie 2013/34/UE</w:t>
      </w:r>
      <w:r w:rsidR="002F7F77" w:rsidRPr="004F6DAA">
        <w:rPr>
          <w:rStyle w:val="Odwoanieprzypisudolnego"/>
          <w:noProof/>
        </w:rPr>
        <w:footnoteReference w:id="48"/>
      </w:r>
      <w:r w:rsidR="002F7F77" w:rsidRPr="004F6DAA">
        <w:rPr>
          <w:noProof/>
        </w:rPr>
        <w:t>;</w:t>
      </w:r>
    </w:p>
    <w:p w14:paraId="10C95324" w14:textId="77777777" w:rsidR="005D7BB2" w:rsidRPr="004F6DAA" w:rsidRDefault="007B7EB7" w:rsidP="007B7EB7">
      <w:pPr>
        <w:pStyle w:val="Point0"/>
        <w:rPr>
          <w:noProof/>
        </w:rPr>
      </w:pPr>
      <w:r w:rsidRPr="007B7EB7">
        <w:t>(21)</w:t>
      </w:r>
      <w:r w:rsidRPr="007B7EB7">
        <w:tab/>
      </w:r>
      <w:r w:rsidR="002F7F77" w:rsidRPr="004F6DAA">
        <w:rPr>
          <w:noProof/>
        </w:rPr>
        <w:t>„uzasadnione zastrzeżenie” oznacza należycie uzasadnione twierdzenie oparte na obiektywnych</w:t>
      </w:r>
      <w:r w:rsidR="00062BFA" w:rsidRPr="004F6DAA">
        <w:rPr>
          <w:noProof/>
        </w:rPr>
        <w:t xml:space="preserve"> i</w:t>
      </w:r>
      <w:r w:rsidR="00062BFA">
        <w:rPr>
          <w:noProof/>
        </w:rPr>
        <w:t> </w:t>
      </w:r>
      <w:r w:rsidR="00062BFA" w:rsidRPr="004F6DAA">
        <w:rPr>
          <w:noProof/>
        </w:rPr>
        <w:t>moż</w:t>
      </w:r>
      <w:r w:rsidR="002F7F77" w:rsidRPr="004F6DAA">
        <w:rPr>
          <w:noProof/>
        </w:rPr>
        <w:t>liwych do sprawdzenia informacjach dotyczących niezgodności</w:t>
      </w:r>
      <w:r w:rsidR="00062BFA" w:rsidRPr="004F6DAA">
        <w:rPr>
          <w:noProof/>
        </w:rPr>
        <w:t xml:space="preserve"> z</w:t>
      </w:r>
      <w:r w:rsidR="00062BFA">
        <w:rPr>
          <w:noProof/>
        </w:rPr>
        <w:t> </w:t>
      </w:r>
      <w:r w:rsidR="00062BFA" w:rsidRPr="004F6DAA">
        <w:rPr>
          <w:noProof/>
        </w:rPr>
        <w:t>nin</w:t>
      </w:r>
      <w:r w:rsidR="002F7F77" w:rsidRPr="004F6DAA">
        <w:rPr>
          <w:noProof/>
        </w:rPr>
        <w:t xml:space="preserve">iejszym rozporządzeniem, które może wymagać interwencji właściwych organów; </w:t>
      </w:r>
    </w:p>
    <w:p w14:paraId="16874733" w14:textId="77777777" w:rsidR="005D7BB2" w:rsidRPr="004F6DAA" w:rsidRDefault="007B7EB7" w:rsidP="007B7EB7">
      <w:pPr>
        <w:pStyle w:val="Point0"/>
        <w:rPr>
          <w:noProof/>
        </w:rPr>
      </w:pPr>
      <w:r w:rsidRPr="007B7EB7">
        <w:t>(22)</w:t>
      </w:r>
      <w:r w:rsidRPr="007B7EB7">
        <w:tab/>
      </w:r>
      <w:r w:rsidR="002F7F77" w:rsidRPr="004F6DAA">
        <w:rPr>
          <w:noProof/>
        </w:rPr>
        <w:t xml:space="preserve">„właściwe organy” oznaczają organy wyznaczone na podstawie </w:t>
      </w:r>
      <w:r w:rsidR="002F7F77" w:rsidRPr="00062BFA">
        <w:rPr>
          <w:noProof/>
        </w:rPr>
        <w:t>art.</w:t>
      </w:r>
      <w:r w:rsidR="00062BFA" w:rsidRPr="00062BFA">
        <w:rPr>
          <w:noProof/>
        </w:rPr>
        <w:t> </w:t>
      </w:r>
      <w:r w:rsidR="002F7F77" w:rsidRPr="00062BFA">
        <w:rPr>
          <w:noProof/>
        </w:rPr>
        <w:t>1</w:t>
      </w:r>
      <w:r w:rsidR="002F7F77" w:rsidRPr="004F6DAA">
        <w:rPr>
          <w:noProof/>
        </w:rPr>
        <w:t xml:space="preserve">3 </w:t>
      </w:r>
      <w:r w:rsidR="002F7F77" w:rsidRPr="00062BFA">
        <w:rPr>
          <w:noProof/>
        </w:rPr>
        <w:t>ust.</w:t>
      </w:r>
      <w:r w:rsidR="00062BFA" w:rsidRPr="00062BFA">
        <w:rPr>
          <w:noProof/>
        </w:rPr>
        <w:t> </w:t>
      </w:r>
      <w:r w:rsidR="002F7F77" w:rsidRPr="00062BFA">
        <w:rPr>
          <w:noProof/>
        </w:rPr>
        <w:t>1</w:t>
      </w:r>
      <w:r w:rsidR="002F7F77" w:rsidRPr="004F6DAA">
        <w:rPr>
          <w:noProof/>
        </w:rPr>
        <w:t xml:space="preserve">; </w:t>
      </w:r>
    </w:p>
    <w:p w14:paraId="5EC32F11" w14:textId="77777777" w:rsidR="005D7BB2" w:rsidRPr="004F6DAA" w:rsidRDefault="007B7EB7" w:rsidP="007B7EB7">
      <w:pPr>
        <w:pStyle w:val="Point0"/>
        <w:rPr>
          <w:noProof/>
        </w:rPr>
      </w:pPr>
      <w:r w:rsidRPr="007B7EB7">
        <w:t>(23)</w:t>
      </w:r>
      <w:r w:rsidRPr="007B7EB7">
        <w:tab/>
      </w:r>
      <w:r w:rsidR="002F7F77" w:rsidRPr="004F6DAA">
        <w:rPr>
          <w:noProof/>
        </w:rPr>
        <w:t>„organy celne” oznaczają organy celne zdefiniowane</w:t>
      </w:r>
      <w:r w:rsidR="00062BFA" w:rsidRPr="004F6DAA">
        <w:rPr>
          <w:noProof/>
        </w:rPr>
        <w:t xml:space="preserve"> w</w:t>
      </w:r>
      <w:r w:rsidR="00062BFA">
        <w:rPr>
          <w:noProof/>
        </w:rPr>
        <w:t> </w:t>
      </w:r>
      <w:r w:rsidR="00062BFA" w:rsidRPr="00062BFA">
        <w:rPr>
          <w:noProof/>
        </w:rPr>
        <w:t>art</w:t>
      </w:r>
      <w:r w:rsidR="002F7F77" w:rsidRPr="00062BFA">
        <w:rPr>
          <w:noProof/>
        </w:rPr>
        <w:t>.</w:t>
      </w:r>
      <w:r w:rsidR="00062BFA" w:rsidRPr="00062BFA">
        <w:rPr>
          <w:noProof/>
        </w:rPr>
        <w:t> </w:t>
      </w:r>
      <w:r w:rsidR="002F7F77" w:rsidRPr="00062BFA">
        <w:rPr>
          <w:noProof/>
        </w:rPr>
        <w:t>5</w:t>
      </w:r>
      <w:r w:rsidR="002F7F77" w:rsidRPr="004F6DAA">
        <w:rPr>
          <w:noProof/>
        </w:rPr>
        <w:t xml:space="preserve"> </w:t>
      </w:r>
      <w:r w:rsidR="002F7F77" w:rsidRPr="00062BFA">
        <w:rPr>
          <w:noProof/>
        </w:rPr>
        <w:t>pkt</w:t>
      </w:r>
      <w:r w:rsidR="00062BFA" w:rsidRPr="00062BFA">
        <w:rPr>
          <w:noProof/>
        </w:rPr>
        <w:t> </w:t>
      </w:r>
      <w:r w:rsidR="002F7F77" w:rsidRPr="00062BFA">
        <w:rPr>
          <w:noProof/>
        </w:rPr>
        <w:t>1</w:t>
      </w:r>
      <w:r w:rsidR="002F7F77" w:rsidRPr="004F6DAA">
        <w:rPr>
          <w:noProof/>
        </w:rPr>
        <w:t xml:space="preserve"> rozporządzenia (UE) </w:t>
      </w:r>
      <w:r w:rsidR="002F7F77" w:rsidRPr="00062BFA">
        <w:rPr>
          <w:noProof/>
        </w:rPr>
        <w:t>nr</w:t>
      </w:r>
      <w:r w:rsidR="00062BFA" w:rsidRPr="00062BFA">
        <w:rPr>
          <w:noProof/>
        </w:rPr>
        <w:t> </w:t>
      </w:r>
      <w:r w:rsidR="002F7F77" w:rsidRPr="00062BFA">
        <w:rPr>
          <w:noProof/>
        </w:rPr>
        <w:t>9</w:t>
      </w:r>
      <w:r w:rsidR="002F7F77" w:rsidRPr="004F6DAA">
        <w:rPr>
          <w:noProof/>
        </w:rPr>
        <w:t xml:space="preserve">52/2013; </w:t>
      </w:r>
    </w:p>
    <w:p w14:paraId="00F17A38" w14:textId="77777777" w:rsidR="005D7BB2" w:rsidRPr="004F6DAA" w:rsidRDefault="007B7EB7" w:rsidP="007B7EB7">
      <w:pPr>
        <w:pStyle w:val="Point0"/>
        <w:rPr>
          <w:noProof/>
        </w:rPr>
      </w:pPr>
      <w:r w:rsidRPr="007B7EB7">
        <w:t>(24)</w:t>
      </w:r>
      <w:r w:rsidRPr="007B7EB7">
        <w:tab/>
      </w:r>
      <w:r w:rsidR="002F7F77" w:rsidRPr="004F6DAA">
        <w:rPr>
          <w:noProof/>
        </w:rPr>
        <w:t>„dopuszczenie do obrotu” oznacza procedurę określoną</w:t>
      </w:r>
      <w:r w:rsidR="00062BFA" w:rsidRPr="004F6DAA">
        <w:rPr>
          <w:noProof/>
        </w:rPr>
        <w:t xml:space="preserve"> w</w:t>
      </w:r>
      <w:r w:rsidR="00062BFA">
        <w:rPr>
          <w:noProof/>
        </w:rPr>
        <w:t> </w:t>
      </w:r>
      <w:r w:rsidR="00062BFA" w:rsidRPr="00062BFA">
        <w:rPr>
          <w:noProof/>
        </w:rPr>
        <w:t>art</w:t>
      </w:r>
      <w:r w:rsidR="002F7F77" w:rsidRPr="00062BFA">
        <w:rPr>
          <w:noProof/>
        </w:rPr>
        <w:t>.</w:t>
      </w:r>
      <w:r w:rsidR="00062BFA" w:rsidRPr="00062BFA">
        <w:rPr>
          <w:noProof/>
        </w:rPr>
        <w:t> </w:t>
      </w:r>
      <w:r w:rsidR="002F7F77" w:rsidRPr="00062BFA">
        <w:rPr>
          <w:noProof/>
        </w:rPr>
        <w:t>2</w:t>
      </w:r>
      <w:r w:rsidR="002F7F77" w:rsidRPr="004F6DAA">
        <w:rPr>
          <w:noProof/>
        </w:rPr>
        <w:t xml:space="preserve">01 rozporządzenia (UE) </w:t>
      </w:r>
      <w:r w:rsidR="002F7F77" w:rsidRPr="00062BFA">
        <w:rPr>
          <w:noProof/>
        </w:rPr>
        <w:t>nr</w:t>
      </w:r>
      <w:r w:rsidR="00062BFA" w:rsidRPr="00062BFA">
        <w:rPr>
          <w:noProof/>
        </w:rPr>
        <w:t> </w:t>
      </w:r>
      <w:r w:rsidR="002F7F77" w:rsidRPr="00062BFA">
        <w:rPr>
          <w:noProof/>
        </w:rPr>
        <w:t>9</w:t>
      </w:r>
      <w:r w:rsidR="002F7F77" w:rsidRPr="004F6DAA">
        <w:rPr>
          <w:noProof/>
        </w:rPr>
        <w:t xml:space="preserve">52/2013; </w:t>
      </w:r>
    </w:p>
    <w:p w14:paraId="4AEA5E0E" w14:textId="77777777" w:rsidR="005D7BB2" w:rsidRPr="004F6DAA" w:rsidRDefault="007B7EB7" w:rsidP="007B7EB7">
      <w:pPr>
        <w:pStyle w:val="Point0"/>
        <w:rPr>
          <w:noProof/>
        </w:rPr>
      </w:pPr>
      <w:r w:rsidRPr="007B7EB7">
        <w:t>(25)</w:t>
      </w:r>
      <w:r w:rsidRPr="007B7EB7">
        <w:tab/>
      </w:r>
      <w:r w:rsidR="002F7F77" w:rsidRPr="004F6DAA">
        <w:rPr>
          <w:noProof/>
        </w:rPr>
        <w:t>„wywóz” oznacza procedurę określoną</w:t>
      </w:r>
      <w:r w:rsidR="00062BFA" w:rsidRPr="004F6DAA">
        <w:rPr>
          <w:noProof/>
        </w:rPr>
        <w:t xml:space="preserve"> w</w:t>
      </w:r>
      <w:r w:rsidR="00062BFA">
        <w:rPr>
          <w:noProof/>
        </w:rPr>
        <w:t> </w:t>
      </w:r>
      <w:r w:rsidR="00062BFA" w:rsidRPr="00062BFA">
        <w:rPr>
          <w:noProof/>
        </w:rPr>
        <w:t>art</w:t>
      </w:r>
      <w:r w:rsidR="002F7F77" w:rsidRPr="00062BFA">
        <w:rPr>
          <w:noProof/>
        </w:rPr>
        <w:t>.</w:t>
      </w:r>
      <w:r w:rsidR="00062BFA" w:rsidRPr="00062BFA">
        <w:rPr>
          <w:noProof/>
        </w:rPr>
        <w:t> </w:t>
      </w:r>
      <w:r w:rsidR="002F7F77" w:rsidRPr="00062BFA">
        <w:rPr>
          <w:noProof/>
        </w:rPr>
        <w:t>2</w:t>
      </w:r>
      <w:r w:rsidR="002F7F77" w:rsidRPr="004F6DAA">
        <w:rPr>
          <w:noProof/>
        </w:rPr>
        <w:t xml:space="preserve">69 rozporządzenia (UE) </w:t>
      </w:r>
      <w:r w:rsidR="002F7F77" w:rsidRPr="00062BFA">
        <w:rPr>
          <w:noProof/>
        </w:rPr>
        <w:t>nr</w:t>
      </w:r>
      <w:r w:rsidR="00062BFA" w:rsidRPr="00062BFA">
        <w:rPr>
          <w:noProof/>
        </w:rPr>
        <w:t> </w:t>
      </w:r>
      <w:r w:rsidR="002F7F77" w:rsidRPr="00062BFA">
        <w:rPr>
          <w:noProof/>
        </w:rPr>
        <w:t>9</w:t>
      </w:r>
      <w:r w:rsidR="002F7F77" w:rsidRPr="004F6DAA">
        <w:rPr>
          <w:noProof/>
        </w:rPr>
        <w:t xml:space="preserve">52/2013; </w:t>
      </w:r>
    </w:p>
    <w:p w14:paraId="1C272345" w14:textId="77777777" w:rsidR="005D7BB2" w:rsidRPr="004F6DAA" w:rsidRDefault="007B7EB7" w:rsidP="007B7EB7">
      <w:pPr>
        <w:pStyle w:val="Point0"/>
        <w:rPr>
          <w:noProof/>
        </w:rPr>
      </w:pPr>
      <w:r w:rsidRPr="007B7EB7">
        <w:t>(26)</w:t>
      </w:r>
      <w:r w:rsidRPr="007B7EB7">
        <w:tab/>
      </w:r>
      <w:r w:rsidR="002F7F77" w:rsidRPr="004F6DAA">
        <w:rPr>
          <w:noProof/>
        </w:rPr>
        <w:t>„odnośne towary</w:t>
      </w:r>
      <w:r w:rsidR="00062BFA" w:rsidRPr="004F6DAA">
        <w:rPr>
          <w:noProof/>
        </w:rPr>
        <w:t xml:space="preserve"> i</w:t>
      </w:r>
      <w:r w:rsidR="00062BFA">
        <w:rPr>
          <w:noProof/>
        </w:rPr>
        <w:t> </w:t>
      </w:r>
      <w:r w:rsidR="00062BFA" w:rsidRPr="004F6DAA">
        <w:rPr>
          <w:noProof/>
        </w:rPr>
        <w:t>pro</w:t>
      </w:r>
      <w:r w:rsidR="002F7F77" w:rsidRPr="004F6DAA">
        <w:rPr>
          <w:noProof/>
        </w:rPr>
        <w:t>dukty wprowadzane na rynek unijny” oznaczają odnośne towary</w:t>
      </w:r>
      <w:r w:rsidR="00062BFA" w:rsidRPr="004F6DAA">
        <w:rPr>
          <w:noProof/>
        </w:rPr>
        <w:t xml:space="preserve"> i</w:t>
      </w:r>
      <w:r w:rsidR="00062BFA">
        <w:rPr>
          <w:noProof/>
        </w:rPr>
        <w:t> </w:t>
      </w:r>
      <w:r w:rsidR="00062BFA" w:rsidRPr="004F6DAA">
        <w:rPr>
          <w:noProof/>
        </w:rPr>
        <w:t>pro</w:t>
      </w:r>
      <w:r w:rsidR="002F7F77" w:rsidRPr="004F6DAA">
        <w:rPr>
          <w:noProof/>
        </w:rPr>
        <w:t>dukty pochodzące</w:t>
      </w:r>
      <w:r w:rsidR="00062BFA" w:rsidRPr="004F6DAA">
        <w:rPr>
          <w:noProof/>
        </w:rPr>
        <w:t xml:space="preserve"> z</w:t>
      </w:r>
      <w:r w:rsidR="00062BFA">
        <w:rPr>
          <w:noProof/>
        </w:rPr>
        <w:t> </w:t>
      </w:r>
      <w:r w:rsidR="00062BFA" w:rsidRPr="004F6DAA">
        <w:rPr>
          <w:noProof/>
        </w:rPr>
        <w:t>pań</w:t>
      </w:r>
      <w:r w:rsidR="002F7F77" w:rsidRPr="004F6DAA">
        <w:rPr>
          <w:noProof/>
        </w:rPr>
        <w:t>stw trzecich objęte procedurą celną „dopuszczenia do obrotu”</w:t>
      </w:r>
      <w:r w:rsidR="00062BFA" w:rsidRPr="004F6DAA">
        <w:rPr>
          <w:noProof/>
        </w:rPr>
        <w:t xml:space="preserve"> i</w:t>
      </w:r>
      <w:r w:rsidR="00062BFA">
        <w:rPr>
          <w:noProof/>
        </w:rPr>
        <w:t> </w:t>
      </w:r>
      <w:r w:rsidR="00062BFA" w:rsidRPr="004F6DAA">
        <w:rPr>
          <w:noProof/>
        </w:rPr>
        <w:t>prz</w:t>
      </w:r>
      <w:r w:rsidR="002F7F77" w:rsidRPr="004F6DAA">
        <w:rPr>
          <w:noProof/>
        </w:rPr>
        <w:t>eznaczone do wprowadzenia do obrotu</w:t>
      </w:r>
      <w:r w:rsidR="00062BFA" w:rsidRPr="004F6DAA">
        <w:rPr>
          <w:noProof/>
        </w:rPr>
        <w:t xml:space="preserve"> w</w:t>
      </w:r>
      <w:r w:rsidR="00062BFA">
        <w:rPr>
          <w:noProof/>
        </w:rPr>
        <w:t> </w:t>
      </w:r>
      <w:r w:rsidR="00062BFA" w:rsidRPr="004F6DAA">
        <w:rPr>
          <w:noProof/>
        </w:rPr>
        <w:t>Uni</w:t>
      </w:r>
      <w:r w:rsidR="002F7F77" w:rsidRPr="004F6DAA">
        <w:rPr>
          <w:noProof/>
        </w:rPr>
        <w:t xml:space="preserve">i lub do użytku handlowego lub konsumpcji </w:t>
      </w:r>
      <w:r w:rsidR="002F7F77" w:rsidRPr="004F6DAA">
        <w:rPr>
          <w:iCs/>
          <w:noProof/>
          <w:color w:val="000000" w:themeColor="text1"/>
          <w:szCs w:val="24"/>
        </w:rPr>
        <w:t>innej niż własna</w:t>
      </w:r>
      <w:r w:rsidR="002F7F77" w:rsidRPr="004F6DAA">
        <w:rPr>
          <w:i/>
          <w:iCs/>
          <w:noProof/>
          <w:color w:val="000000" w:themeColor="text1"/>
          <w:szCs w:val="24"/>
        </w:rPr>
        <w:t xml:space="preserve"> </w:t>
      </w:r>
      <w:r w:rsidR="002F7F77" w:rsidRPr="004F6DAA">
        <w:rPr>
          <w:noProof/>
        </w:rPr>
        <w:t xml:space="preserve">na obszarze celnym Unii; </w:t>
      </w:r>
    </w:p>
    <w:p w14:paraId="2480C763" w14:textId="77777777" w:rsidR="005D7BB2" w:rsidRPr="004F6DAA" w:rsidRDefault="007B7EB7" w:rsidP="007B7EB7">
      <w:pPr>
        <w:pStyle w:val="Point0"/>
        <w:rPr>
          <w:noProof/>
        </w:rPr>
      </w:pPr>
      <w:r w:rsidRPr="007B7EB7">
        <w:t>(27)</w:t>
      </w:r>
      <w:r w:rsidRPr="007B7EB7">
        <w:tab/>
      </w:r>
      <w:r w:rsidR="002F7F77" w:rsidRPr="004F6DAA">
        <w:rPr>
          <w:noProof/>
        </w:rPr>
        <w:t>„odnośne towary</w:t>
      </w:r>
      <w:r w:rsidR="00062BFA" w:rsidRPr="004F6DAA">
        <w:rPr>
          <w:noProof/>
        </w:rPr>
        <w:t xml:space="preserve"> i</w:t>
      </w:r>
      <w:r w:rsidR="00062BFA">
        <w:rPr>
          <w:noProof/>
        </w:rPr>
        <w:t> </w:t>
      </w:r>
      <w:r w:rsidR="00062BFA" w:rsidRPr="004F6DAA">
        <w:rPr>
          <w:noProof/>
        </w:rPr>
        <w:t>pro</w:t>
      </w:r>
      <w:r w:rsidR="002F7F77" w:rsidRPr="004F6DAA">
        <w:rPr>
          <w:noProof/>
        </w:rPr>
        <w:t>dukty wyprowadzane</w:t>
      </w:r>
      <w:r w:rsidR="00062BFA" w:rsidRPr="004F6DAA">
        <w:rPr>
          <w:noProof/>
        </w:rPr>
        <w:t xml:space="preserve"> z</w:t>
      </w:r>
      <w:r w:rsidR="00062BFA">
        <w:rPr>
          <w:noProof/>
        </w:rPr>
        <w:t> </w:t>
      </w:r>
      <w:r w:rsidR="00062BFA" w:rsidRPr="004F6DAA">
        <w:rPr>
          <w:noProof/>
        </w:rPr>
        <w:t>ryn</w:t>
      </w:r>
      <w:r w:rsidR="002F7F77" w:rsidRPr="004F6DAA">
        <w:rPr>
          <w:noProof/>
        </w:rPr>
        <w:t>ku unijnego” oznaczają odnośne towary</w:t>
      </w:r>
      <w:r w:rsidR="00062BFA" w:rsidRPr="004F6DAA">
        <w:rPr>
          <w:noProof/>
        </w:rPr>
        <w:t xml:space="preserve"> i</w:t>
      </w:r>
      <w:r w:rsidR="00062BFA">
        <w:rPr>
          <w:noProof/>
        </w:rPr>
        <w:t> </w:t>
      </w:r>
      <w:r w:rsidR="00062BFA" w:rsidRPr="004F6DAA">
        <w:rPr>
          <w:noProof/>
        </w:rPr>
        <w:t>pro</w:t>
      </w:r>
      <w:r w:rsidR="002F7F77" w:rsidRPr="004F6DAA">
        <w:rPr>
          <w:noProof/>
        </w:rPr>
        <w:t xml:space="preserve">dukty objęte procedurą celną „wywozu”; </w:t>
      </w:r>
    </w:p>
    <w:p w14:paraId="7B6DF914" w14:textId="77777777" w:rsidR="005D7BB2" w:rsidRPr="004F6DAA" w:rsidRDefault="007B7EB7" w:rsidP="007B7EB7">
      <w:pPr>
        <w:pStyle w:val="Point0"/>
        <w:rPr>
          <w:noProof/>
        </w:rPr>
      </w:pPr>
      <w:r w:rsidRPr="007B7EB7">
        <w:t>(28)</w:t>
      </w:r>
      <w:r w:rsidRPr="007B7EB7">
        <w:tab/>
      </w:r>
      <w:r w:rsidR="002F7F77" w:rsidRPr="004F6DAA">
        <w:rPr>
          <w:noProof/>
        </w:rPr>
        <w:t>„właściwe przepisy kraju produkcji” oznaczają mające zastosowanie</w:t>
      </w:r>
      <w:r w:rsidR="00062BFA" w:rsidRPr="004F6DAA">
        <w:rPr>
          <w:noProof/>
        </w:rPr>
        <w:t xml:space="preserve"> w</w:t>
      </w:r>
      <w:r w:rsidR="00062BFA">
        <w:rPr>
          <w:noProof/>
        </w:rPr>
        <w:t> </w:t>
      </w:r>
      <w:r w:rsidR="00062BFA" w:rsidRPr="004F6DAA">
        <w:rPr>
          <w:noProof/>
        </w:rPr>
        <w:t>kra</w:t>
      </w:r>
      <w:r w:rsidR="002F7F77" w:rsidRPr="004F6DAA">
        <w:rPr>
          <w:noProof/>
        </w:rPr>
        <w:t>ju produkcji przepisy dotyczące statusu prawnego obszaru produkcji pod względem praw do użytkowania gruntów, ochrony środowiska, praw osób trzecich</w:t>
      </w:r>
      <w:r w:rsidR="00062BFA" w:rsidRPr="004F6DAA">
        <w:rPr>
          <w:noProof/>
        </w:rPr>
        <w:t xml:space="preserve"> i</w:t>
      </w:r>
      <w:r w:rsidR="00062BFA">
        <w:rPr>
          <w:noProof/>
        </w:rPr>
        <w:t> </w:t>
      </w:r>
      <w:r w:rsidR="00062BFA" w:rsidRPr="004F6DAA">
        <w:rPr>
          <w:noProof/>
        </w:rPr>
        <w:t>wła</w:t>
      </w:r>
      <w:r w:rsidR="002F7F77" w:rsidRPr="004F6DAA">
        <w:rPr>
          <w:noProof/>
        </w:rPr>
        <w:t>ściwych regulacji</w:t>
      </w:r>
      <w:r w:rsidR="00062BFA" w:rsidRPr="004F6DAA">
        <w:rPr>
          <w:noProof/>
        </w:rPr>
        <w:t xml:space="preserve"> w</w:t>
      </w:r>
      <w:r w:rsidR="00062BFA">
        <w:rPr>
          <w:noProof/>
        </w:rPr>
        <w:t> </w:t>
      </w:r>
      <w:r w:rsidR="00062BFA" w:rsidRPr="004F6DAA">
        <w:rPr>
          <w:noProof/>
        </w:rPr>
        <w:t>zak</w:t>
      </w:r>
      <w:r w:rsidR="002F7F77" w:rsidRPr="004F6DAA">
        <w:rPr>
          <w:noProof/>
        </w:rPr>
        <w:t>resie handlu</w:t>
      </w:r>
      <w:r w:rsidR="00062BFA" w:rsidRPr="004F6DAA">
        <w:rPr>
          <w:noProof/>
        </w:rPr>
        <w:t xml:space="preserve"> i</w:t>
      </w:r>
      <w:r w:rsidR="00062BFA">
        <w:rPr>
          <w:noProof/>
        </w:rPr>
        <w:t> </w:t>
      </w:r>
      <w:r w:rsidR="00062BFA" w:rsidRPr="004F6DAA">
        <w:rPr>
          <w:noProof/>
        </w:rPr>
        <w:t>reg</w:t>
      </w:r>
      <w:r w:rsidR="002F7F77" w:rsidRPr="004F6DAA">
        <w:rPr>
          <w:noProof/>
        </w:rPr>
        <w:t>ulacji celnych na podstawie ram legislacyjnych mających zastosowanie</w:t>
      </w:r>
      <w:r w:rsidR="00062BFA" w:rsidRPr="004F6DAA">
        <w:rPr>
          <w:noProof/>
        </w:rPr>
        <w:t xml:space="preserve"> w</w:t>
      </w:r>
      <w:r w:rsidR="00062BFA">
        <w:rPr>
          <w:noProof/>
        </w:rPr>
        <w:t> </w:t>
      </w:r>
      <w:r w:rsidR="00062BFA" w:rsidRPr="004F6DAA">
        <w:rPr>
          <w:noProof/>
        </w:rPr>
        <w:t>kra</w:t>
      </w:r>
      <w:r w:rsidR="002F7F77" w:rsidRPr="004F6DAA">
        <w:rPr>
          <w:noProof/>
        </w:rPr>
        <w:t xml:space="preserve">ju produkcji. </w:t>
      </w:r>
    </w:p>
    <w:p w14:paraId="44F9657B" w14:textId="77777777" w:rsidR="00992B23" w:rsidRPr="004F6DAA" w:rsidRDefault="0077458D" w:rsidP="0077458D">
      <w:pPr>
        <w:pStyle w:val="Titrearticle"/>
        <w:rPr>
          <w:noProof/>
        </w:rPr>
      </w:pPr>
      <w:r w:rsidRPr="004F6DAA">
        <w:rPr>
          <w:noProof/>
        </w:rPr>
        <w:t>Artykuł 3</w:t>
      </w:r>
    </w:p>
    <w:p w14:paraId="2EB70B35" w14:textId="77777777" w:rsidR="0077458D" w:rsidRPr="004F6DAA" w:rsidRDefault="0077458D" w:rsidP="00F46E90">
      <w:pPr>
        <w:pStyle w:val="Sous-titreobjet"/>
        <w:rPr>
          <w:noProof/>
        </w:rPr>
      </w:pPr>
      <w:r w:rsidRPr="004F6DAA">
        <w:rPr>
          <w:noProof/>
        </w:rPr>
        <w:t>Zakaz</w:t>
      </w:r>
    </w:p>
    <w:p w14:paraId="3F35BCD5" w14:textId="77777777" w:rsidR="00AA53B8" w:rsidRPr="004F6DAA" w:rsidRDefault="00AA53B8" w:rsidP="00AA53B8">
      <w:pPr>
        <w:rPr>
          <w:noProof/>
        </w:rPr>
      </w:pPr>
      <w:r w:rsidRPr="004F6DAA">
        <w:rPr>
          <w:noProof/>
        </w:rPr>
        <w:t>Odnośne towary</w:t>
      </w:r>
      <w:r w:rsidR="00062BFA" w:rsidRPr="004F6DAA">
        <w:rPr>
          <w:noProof/>
        </w:rPr>
        <w:t xml:space="preserve"> i</w:t>
      </w:r>
      <w:r w:rsidR="00062BFA">
        <w:rPr>
          <w:noProof/>
        </w:rPr>
        <w:t> </w:t>
      </w:r>
      <w:r w:rsidR="00062BFA" w:rsidRPr="004F6DAA">
        <w:rPr>
          <w:noProof/>
        </w:rPr>
        <w:t>pro</w:t>
      </w:r>
      <w:r w:rsidRPr="004F6DAA">
        <w:rPr>
          <w:noProof/>
        </w:rPr>
        <w:t>dukty mogą być wprowadzane do obrotu</w:t>
      </w:r>
      <w:r w:rsidR="00062BFA" w:rsidRPr="004F6DAA">
        <w:rPr>
          <w:noProof/>
        </w:rPr>
        <w:t xml:space="preserve"> w</w:t>
      </w:r>
      <w:r w:rsidR="00062BFA">
        <w:rPr>
          <w:noProof/>
        </w:rPr>
        <w:t> </w:t>
      </w:r>
      <w:r w:rsidR="00062BFA" w:rsidRPr="004F6DAA">
        <w:rPr>
          <w:noProof/>
        </w:rPr>
        <w:t>Uni</w:t>
      </w:r>
      <w:r w:rsidRPr="004F6DAA">
        <w:rPr>
          <w:noProof/>
        </w:rPr>
        <w:t>i lub udostępniane na rynku unijnym, lub wywożone</w:t>
      </w:r>
      <w:r w:rsidR="00062BFA" w:rsidRPr="004F6DAA">
        <w:rPr>
          <w:noProof/>
        </w:rPr>
        <w:t xml:space="preserve"> z</w:t>
      </w:r>
      <w:r w:rsidR="00062BFA">
        <w:rPr>
          <w:noProof/>
        </w:rPr>
        <w:t> </w:t>
      </w:r>
      <w:r w:rsidR="00062BFA" w:rsidRPr="004F6DAA">
        <w:rPr>
          <w:noProof/>
        </w:rPr>
        <w:t>ryn</w:t>
      </w:r>
      <w:r w:rsidRPr="004F6DAA">
        <w:rPr>
          <w:noProof/>
        </w:rPr>
        <w:t>ku unijnego wyłącznie wówczas, gdy spełnione są wszystkie następujące warunki:</w:t>
      </w:r>
    </w:p>
    <w:p w14:paraId="0B9A0349" w14:textId="77777777" w:rsidR="00AA53B8" w:rsidRPr="004F6DAA" w:rsidRDefault="00062BFA" w:rsidP="00062BFA">
      <w:pPr>
        <w:pStyle w:val="Point1"/>
        <w:rPr>
          <w:noProof/>
        </w:rPr>
      </w:pPr>
      <w:r w:rsidRPr="00062BFA">
        <w:rPr>
          <w:noProof/>
        </w:rPr>
        <w:t>a)</w:t>
      </w:r>
      <w:r w:rsidRPr="00062BFA">
        <w:rPr>
          <w:noProof/>
        </w:rPr>
        <w:tab/>
      </w:r>
      <w:r w:rsidR="00AA53B8" w:rsidRPr="004F6DAA">
        <w:rPr>
          <w:noProof/>
        </w:rPr>
        <w:t xml:space="preserve">są niepowodujące wylesiania; </w:t>
      </w:r>
    </w:p>
    <w:p w14:paraId="2E7CBB12" w14:textId="77777777" w:rsidR="00AA53B8" w:rsidRPr="004F6DAA" w:rsidRDefault="00062BFA" w:rsidP="00062BFA">
      <w:pPr>
        <w:pStyle w:val="Point1"/>
        <w:rPr>
          <w:noProof/>
        </w:rPr>
      </w:pPr>
      <w:r w:rsidRPr="00062BFA">
        <w:rPr>
          <w:noProof/>
        </w:rPr>
        <w:t>b)</w:t>
      </w:r>
      <w:r w:rsidRPr="00062BFA">
        <w:rPr>
          <w:noProof/>
        </w:rPr>
        <w:tab/>
      </w:r>
      <w:r w:rsidR="00AA53B8" w:rsidRPr="004F6DAA">
        <w:rPr>
          <w:noProof/>
        </w:rPr>
        <w:t>zostały wyprodukowane zgodnie</w:t>
      </w:r>
      <w:r w:rsidRPr="004F6DAA">
        <w:rPr>
          <w:noProof/>
        </w:rPr>
        <w:t xml:space="preserve"> z</w:t>
      </w:r>
      <w:r>
        <w:rPr>
          <w:noProof/>
        </w:rPr>
        <w:t> </w:t>
      </w:r>
      <w:r w:rsidRPr="004F6DAA">
        <w:rPr>
          <w:noProof/>
        </w:rPr>
        <w:t>wła</w:t>
      </w:r>
      <w:r w:rsidR="00AA53B8" w:rsidRPr="004F6DAA">
        <w:rPr>
          <w:noProof/>
        </w:rPr>
        <w:t xml:space="preserve">ściwymi przepisami kraju produkcji oraz </w:t>
      </w:r>
    </w:p>
    <w:p w14:paraId="02217A2F" w14:textId="77777777" w:rsidR="00AA53B8" w:rsidRPr="004F6DAA" w:rsidRDefault="00062BFA" w:rsidP="00062BFA">
      <w:pPr>
        <w:pStyle w:val="Point1"/>
        <w:rPr>
          <w:noProof/>
        </w:rPr>
      </w:pPr>
      <w:r w:rsidRPr="00062BFA">
        <w:rPr>
          <w:noProof/>
        </w:rPr>
        <w:t>c)</w:t>
      </w:r>
      <w:r w:rsidRPr="00062BFA">
        <w:rPr>
          <w:noProof/>
        </w:rPr>
        <w:tab/>
      </w:r>
      <w:r w:rsidR="00AA53B8" w:rsidRPr="004F6DAA">
        <w:rPr>
          <w:noProof/>
        </w:rPr>
        <w:t>przedłożono</w:t>
      </w:r>
      <w:r w:rsidRPr="004F6DAA">
        <w:rPr>
          <w:noProof/>
        </w:rPr>
        <w:t xml:space="preserve"> w</w:t>
      </w:r>
      <w:r>
        <w:rPr>
          <w:noProof/>
        </w:rPr>
        <w:t> </w:t>
      </w:r>
      <w:r w:rsidRPr="004F6DAA">
        <w:rPr>
          <w:noProof/>
        </w:rPr>
        <w:t>ich</w:t>
      </w:r>
      <w:r w:rsidR="00AA53B8" w:rsidRPr="004F6DAA">
        <w:rPr>
          <w:noProof/>
        </w:rPr>
        <w:t xml:space="preserve"> sprawie oświadczenie</w:t>
      </w:r>
      <w:r w:rsidRPr="004F6DAA">
        <w:rPr>
          <w:noProof/>
        </w:rPr>
        <w:t xml:space="preserve"> o</w:t>
      </w:r>
      <w:r>
        <w:rPr>
          <w:noProof/>
        </w:rPr>
        <w:t> </w:t>
      </w:r>
      <w:r w:rsidRPr="004F6DAA">
        <w:rPr>
          <w:noProof/>
        </w:rPr>
        <w:t>zac</w:t>
      </w:r>
      <w:r w:rsidR="00AA53B8" w:rsidRPr="004F6DAA">
        <w:rPr>
          <w:noProof/>
        </w:rPr>
        <w:t>howaniu należytej staranności, jak określono</w:t>
      </w:r>
      <w:r w:rsidRPr="004F6DAA">
        <w:rPr>
          <w:noProof/>
        </w:rPr>
        <w:t xml:space="preserve"> w</w:t>
      </w:r>
      <w:r>
        <w:rPr>
          <w:noProof/>
        </w:rPr>
        <w:t> </w:t>
      </w:r>
      <w:r w:rsidRPr="00062BFA">
        <w:rPr>
          <w:noProof/>
        </w:rPr>
        <w:t>art</w:t>
      </w:r>
      <w:r w:rsidR="00AA53B8" w:rsidRPr="00062BFA">
        <w:rPr>
          <w:noProof/>
        </w:rPr>
        <w:t>.</w:t>
      </w:r>
      <w:r w:rsidRPr="00062BFA">
        <w:rPr>
          <w:noProof/>
        </w:rPr>
        <w:t> </w:t>
      </w:r>
      <w:r w:rsidR="00AA53B8" w:rsidRPr="00062BFA">
        <w:rPr>
          <w:noProof/>
        </w:rPr>
        <w:t>4</w:t>
      </w:r>
      <w:r w:rsidR="00AA53B8" w:rsidRPr="004F6DAA">
        <w:rPr>
          <w:noProof/>
        </w:rPr>
        <w:t xml:space="preserve"> </w:t>
      </w:r>
      <w:r w:rsidR="00AA53B8" w:rsidRPr="00062BFA">
        <w:rPr>
          <w:noProof/>
        </w:rPr>
        <w:t>ust.</w:t>
      </w:r>
      <w:r w:rsidRPr="00062BFA">
        <w:rPr>
          <w:noProof/>
        </w:rPr>
        <w:t> </w:t>
      </w:r>
      <w:r w:rsidR="00AA53B8" w:rsidRPr="00062BFA">
        <w:rPr>
          <w:noProof/>
        </w:rPr>
        <w:t>2</w:t>
      </w:r>
      <w:r w:rsidR="00AA53B8" w:rsidRPr="004F6DAA">
        <w:rPr>
          <w:noProof/>
        </w:rPr>
        <w:t xml:space="preserve">. </w:t>
      </w:r>
    </w:p>
    <w:p w14:paraId="59590BFA" w14:textId="77777777" w:rsidR="0077458D" w:rsidRPr="004F6DAA" w:rsidRDefault="0077458D" w:rsidP="00C20093">
      <w:pPr>
        <w:rPr>
          <w:noProof/>
        </w:rPr>
      </w:pPr>
    </w:p>
    <w:p w14:paraId="482D6AC9" w14:textId="77777777" w:rsidR="0077458D" w:rsidRPr="004F6DAA" w:rsidRDefault="0077458D" w:rsidP="0077458D">
      <w:pPr>
        <w:pStyle w:val="ChapterTitle"/>
        <w:rPr>
          <w:i/>
          <w:noProof/>
        </w:rPr>
      </w:pPr>
      <w:r w:rsidRPr="004F6DAA">
        <w:rPr>
          <w:noProof/>
        </w:rPr>
        <w:t xml:space="preserve">Rozdział 2 </w:t>
      </w:r>
      <w:r w:rsidRPr="004F6DAA">
        <w:rPr>
          <w:noProof/>
        </w:rPr>
        <w:br/>
        <w:t>Obowiązki podmiotów</w:t>
      </w:r>
      <w:r w:rsidR="00062BFA" w:rsidRPr="004F6DAA">
        <w:rPr>
          <w:noProof/>
        </w:rPr>
        <w:t xml:space="preserve"> i</w:t>
      </w:r>
      <w:r w:rsidR="00062BFA">
        <w:rPr>
          <w:noProof/>
        </w:rPr>
        <w:t> </w:t>
      </w:r>
      <w:r w:rsidR="00062BFA" w:rsidRPr="004F6DAA">
        <w:rPr>
          <w:noProof/>
        </w:rPr>
        <w:t>pod</w:t>
      </w:r>
      <w:r w:rsidRPr="004F6DAA">
        <w:rPr>
          <w:noProof/>
        </w:rPr>
        <w:t>miotów handlowych</w:t>
      </w:r>
    </w:p>
    <w:p w14:paraId="11668042" w14:textId="77777777" w:rsidR="00F46E90" w:rsidRPr="004F6DAA" w:rsidRDefault="0077458D" w:rsidP="0077458D">
      <w:pPr>
        <w:pStyle w:val="Titrearticle"/>
        <w:rPr>
          <w:noProof/>
        </w:rPr>
      </w:pPr>
      <w:r w:rsidRPr="004F6DAA">
        <w:rPr>
          <w:noProof/>
        </w:rPr>
        <w:t>Artykuł 4</w:t>
      </w:r>
    </w:p>
    <w:p w14:paraId="24531249" w14:textId="77777777" w:rsidR="0077458D" w:rsidRPr="004F6DAA" w:rsidRDefault="0077458D" w:rsidP="00F46E90">
      <w:pPr>
        <w:pStyle w:val="Sous-titreobjet"/>
        <w:rPr>
          <w:noProof/>
        </w:rPr>
      </w:pPr>
      <w:r w:rsidRPr="004F6DAA">
        <w:rPr>
          <w:noProof/>
        </w:rPr>
        <w:t>Obowiązki podmiotów</w:t>
      </w:r>
    </w:p>
    <w:p w14:paraId="21F137BD" w14:textId="77777777" w:rsidR="00E12554" w:rsidRPr="004F6DAA" w:rsidRDefault="007B7EB7" w:rsidP="007B7EB7">
      <w:pPr>
        <w:pStyle w:val="ManualNumPar1"/>
        <w:rPr>
          <w:noProof/>
        </w:rPr>
      </w:pPr>
      <w:r w:rsidRPr="007B7EB7">
        <w:t>1.</w:t>
      </w:r>
      <w:r w:rsidRPr="007B7EB7">
        <w:tab/>
      </w:r>
      <w:r w:rsidR="00E12554" w:rsidRPr="004F6DAA">
        <w:rPr>
          <w:noProof/>
        </w:rPr>
        <w:t>Przed wprowadzeniem odnośnych towarów</w:t>
      </w:r>
      <w:r w:rsidR="00062BFA" w:rsidRPr="004F6DAA">
        <w:rPr>
          <w:noProof/>
        </w:rPr>
        <w:t xml:space="preserve"> i</w:t>
      </w:r>
      <w:r w:rsidR="00062BFA">
        <w:rPr>
          <w:noProof/>
        </w:rPr>
        <w:t> </w:t>
      </w:r>
      <w:r w:rsidR="00062BFA" w:rsidRPr="004F6DAA">
        <w:rPr>
          <w:noProof/>
        </w:rPr>
        <w:t>pro</w:t>
      </w:r>
      <w:r w:rsidR="00E12554" w:rsidRPr="004F6DAA">
        <w:rPr>
          <w:noProof/>
        </w:rPr>
        <w:t>duktów do obrotu</w:t>
      </w:r>
      <w:r w:rsidR="00062BFA" w:rsidRPr="004F6DAA">
        <w:rPr>
          <w:noProof/>
        </w:rPr>
        <w:t xml:space="preserve"> w</w:t>
      </w:r>
      <w:r w:rsidR="00062BFA">
        <w:rPr>
          <w:noProof/>
        </w:rPr>
        <w:t> </w:t>
      </w:r>
      <w:r w:rsidR="00062BFA" w:rsidRPr="004F6DAA">
        <w:rPr>
          <w:noProof/>
        </w:rPr>
        <w:t>Uni</w:t>
      </w:r>
      <w:r w:rsidR="00E12554" w:rsidRPr="004F6DAA">
        <w:rPr>
          <w:noProof/>
        </w:rPr>
        <w:t>i lub przed ich wywiezieniem</w:t>
      </w:r>
      <w:r w:rsidR="00062BFA" w:rsidRPr="004F6DAA">
        <w:rPr>
          <w:noProof/>
        </w:rPr>
        <w:t xml:space="preserve"> z</w:t>
      </w:r>
      <w:r w:rsidR="00062BFA">
        <w:rPr>
          <w:noProof/>
        </w:rPr>
        <w:t> </w:t>
      </w:r>
      <w:r w:rsidR="00062BFA" w:rsidRPr="004F6DAA">
        <w:rPr>
          <w:noProof/>
        </w:rPr>
        <w:t>ryn</w:t>
      </w:r>
      <w:r w:rsidR="00E12554" w:rsidRPr="004F6DAA">
        <w:rPr>
          <w:noProof/>
        </w:rPr>
        <w:t>ku unijnego podmioty zachowują należytą staranność, aby zapewnić ich zgodność</w:t>
      </w:r>
      <w:r w:rsidR="00062BFA" w:rsidRPr="004F6DAA">
        <w:rPr>
          <w:noProof/>
        </w:rPr>
        <w:t xml:space="preserve"> z</w:t>
      </w:r>
      <w:r w:rsidR="00062BFA">
        <w:rPr>
          <w:noProof/>
        </w:rPr>
        <w:t> </w:t>
      </w:r>
      <w:r w:rsidR="00062BFA" w:rsidRPr="00062BFA">
        <w:rPr>
          <w:noProof/>
        </w:rPr>
        <w:t>art</w:t>
      </w:r>
      <w:r w:rsidR="00E12554" w:rsidRPr="00062BFA">
        <w:rPr>
          <w:noProof/>
        </w:rPr>
        <w:t>.</w:t>
      </w:r>
      <w:r w:rsidR="00062BFA" w:rsidRPr="00062BFA">
        <w:rPr>
          <w:noProof/>
        </w:rPr>
        <w:t> </w:t>
      </w:r>
      <w:r w:rsidR="00E12554" w:rsidRPr="00062BFA">
        <w:rPr>
          <w:noProof/>
        </w:rPr>
        <w:t>3</w:t>
      </w:r>
      <w:r w:rsidR="00E12554" w:rsidRPr="004F6DAA">
        <w:rPr>
          <w:noProof/>
        </w:rPr>
        <w:t xml:space="preserve"> </w:t>
      </w:r>
      <w:r w:rsidR="00E12554" w:rsidRPr="00062BFA">
        <w:rPr>
          <w:noProof/>
        </w:rPr>
        <w:t>lit.</w:t>
      </w:r>
      <w:r w:rsidR="00062BFA" w:rsidRPr="00062BFA">
        <w:rPr>
          <w:noProof/>
        </w:rPr>
        <w:t> </w:t>
      </w:r>
      <w:r w:rsidR="00E12554" w:rsidRPr="00062BFA">
        <w:rPr>
          <w:noProof/>
        </w:rPr>
        <w:t>a)</w:t>
      </w:r>
      <w:r w:rsidR="00E12554" w:rsidRPr="004F6DAA">
        <w:rPr>
          <w:noProof/>
        </w:rPr>
        <w:t xml:space="preserve"> i b)</w:t>
      </w:r>
      <w:r w:rsidR="00062BFA" w:rsidRPr="004F6DAA">
        <w:rPr>
          <w:noProof/>
        </w:rPr>
        <w:t>. W</w:t>
      </w:r>
      <w:r w:rsidR="00062BFA">
        <w:rPr>
          <w:noProof/>
        </w:rPr>
        <w:t> </w:t>
      </w:r>
      <w:r w:rsidR="00062BFA" w:rsidRPr="004F6DAA">
        <w:rPr>
          <w:noProof/>
        </w:rPr>
        <w:t>tym</w:t>
      </w:r>
      <w:r w:rsidR="00E12554" w:rsidRPr="004F6DAA">
        <w:rPr>
          <w:noProof/>
        </w:rPr>
        <w:t xml:space="preserve"> celu stosują one zestaw procedur</w:t>
      </w:r>
      <w:r w:rsidR="00062BFA" w:rsidRPr="004F6DAA">
        <w:rPr>
          <w:noProof/>
        </w:rPr>
        <w:t xml:space="preserve"> i</w:t>
      </w:r>
      <w:r w:rsidR="00062BFA">
        <w:rPr>
          <w:noProof/>
        </w:rPr>
        <w:t> </w:t>
      </w:r>
      <w:r w:rsidR="00062BFA" w:rsidRPr="004F6DAA">
        <w:rPr>
          <w:noProof/>
        </w:rPr>
        <w:t>śro</w:t>
      </w:r>
      <w:r w:rsidR="00E12554" w:rsidRPr="004F6DAA">
        <w:rPr>
          <w:noProof/>
        </w:rPr>
        <w:t>dków zwany dalej „należytą starannością”, określony</w:t>
      </w:r>
      <w:r w:rsidR="00062BFA" w:rsidRPr="004F6DAA">
        <w:rPr>
          <w:noProof/>
        </w:rPr>
        <w:t xml:space="preserve"> w</w:t>
      </w:r>
      <w:r w:rsidR="00062BFA">
        <w:rPr>
          <w:noProof/>
        </w:rPr>
        <w:t> </w:t>
      </w:r>
      <w:r w:rsidR="00062BFA" w:rsidRPr="00062BFA">
        <w:rPr>
          <w:noProof/>
        </w:rPr>
        <w:t>art</w:t>
      </w:r>
      <w:r w:rsidR="00E12554" w:rsidRPr="00062BFA">
        <w:rPr>
          <w:noProof/>
        </w:rPr>
        <w:t>.</w:t>
      </w:r>
      <w:r w:rsidR="00062BFA" w:rsidRPr="00062BFA">
        <w:rPr>
          <w:noProof/>
        </w:rPr>
        <w:t> </w:t>
      </w:r>
      <w:r w:rsidR="00E12554" w:rsidRPr="00062BFA">
        <w:rPr>
          <w:noProof/>
        </w:rPr>
        <w:t>8</w:t>
      </w:r>
      <w:r w:rsidR="00E12554" w:rsidRPr="004F6DAA">
        <w:rPr>
          <w:noProof/>
        </w:rPr>
        <w:t>.</w:t>
      </w:r>
    </w:p>
    <w:p w14:paraId="3DF4107F" w14:textId="77777777" w:rsidR="0077458D" w:rsidRPr="004F6DAA" w:rsidRDefault="007B7EB7" w:rsidP="007B7EB7">
      <w:pPr>
        <w:pStyle w:val="ManualNumPar1"/>
        <w:rPr>
          <w:noProof/>
        </w:rPr>
      </w:pPr>
      <w:r w:rsidRPr="007B7EB7">
        <w:t>2.</w:t>
      </w:r>
      <w:r w:rsidRPr="007B7EB7">
        <w:tab/>
      </w:r>
      <w:r w:rsidR="00E12554" w:rsidRPr="004F6DAA">
        <w:rPr>
          <w:noProof/>
        </w:rPr>
        <w:t>Podmioty, które, zachowując należytą staranność określoną</w:t>
      </w:r>
      <w:r w:rsidR="00062BFA" w:rsidRPr="004F6DAA">
        <w:rPr>
          <w:noProof/>
        </w:rPr>
        <w:t xml:space="preserve"> w</w:t>
      </w:r>
      <w:r w:rsidR="00062BFA">
        <w:rPr>
          <w:noProof/>
        </w:rPr>
        <w:t> </w:t>
      </w:r>
      <w:r w:rsidR="00062BFA" w:rsidRPr="00062BFA">
        <w:rPr>
          <w:noProof/>
        </w:rPr>
        <w:t>art</w:t>
      </w:r>
      <w:r w:rsidR="00E12554" w:rsidRPr="00062BFA">
        <w:rPr>
          <w:noProof/>
        </w:rPr>
        <w:t>.</w:t>
      </w:r>
      <w:r w:rsidR="00062BFA" w:rsidRPr="00062BFA">
        <w:rPr>
          <w:noProof/>
        </w:rPr>
        <w:t> </w:t>
      </w:r>
      <w:r w:rsidR="00E12554" w:rsidRPr="00062BFA">
        <w:rPr>
          <w:noProof/>
        </w:rPr>
        <w:t>8</w:t>
      </w:r>
      <w:r w:rsidR="00E12554" w:rsidRPr="004F6DAA">
        <w:rPr>
          <w:noProof/>
        </w:rPr>
        <w:t>, stwierdzą, że odnośne towary</w:t>
      </w:r>
      <w:r w:rsidR="00062BFA" w:rsidRPr="004F6DAA">
        <w:rPr>
          <w:noProof/>
        </w:rPr>
        <w:t xml:space="preserve"> i</w:t>
      </w:r>
      <w:r w:rsidR="00062BFA">
        <w:rPr>
          <w:noProof/>
        </w:rPr>
        <w:t> </w:t>
      </w:r>
      <w:r w:rsidR="00062BFA" w:rsidRPr="004F6DAA">
        <w:rPr>
          <w:noProof/>
        </w:rPr>
        <w:t>pro</w:t>
      </w:r>
      <w:r w:rsidR="00E12554" w:rsidRPr="004F6DAA">
        <w:rPr>
          <w:noProof/>
        </w:rPr>
        <w:t>dukty są zgodne</w:t>
      </w:r>
      <w:r w:rsidR="00062BFA" w:rsidRPr="004F6DAA">
        <w:rPr>
          <w:noProof/>
        </w:rPr>
        <w:t xml:space="preserve"> z</w:t>
      </w:r>
      <w:r w:rsidR="00062BFA">
        <w:rPr>
          <w:noProof/>
        </w:rPr>
        <w:t> </w:t>
      </w:r>
      <w:r w:rsidR="00062BFA" w:rsidRPr="004F6DAA">
        <w:rPr>
          <w:noProof/>
        </w:rPr>
        <w:t>wym</w:t>
      </w:r>
      <w:r w:rsidR="00E12554" w:rsidRPr="004F6DAA">
        <w:rPr>
          <w:noProof/>
        </w:rPr>
        <w:t>ogami niniejszego rozporządzenia, przed wprowadzeniem odnośnych towarów</w:t>
      </w:r>
      <w:r w:rsidR="00062BFA" w:rsidRPr="004F6DAA">
        <w:rPr>
          <w:noProof/>
        </w:rPr>
        <w:t xml:space="preserve"> i</w:t>
      </w:r>
      <w:r w:rsidR="00062BFA">
        <w:rPr>
          <w:noProof/>
        </w:rPr>
        <w:t> </w:t>
      </w:r>
      <w:r w:rsidR="00062BFA" w:rsidRPr="004F6DAA">
        <w:rPr>
          <w:noProof/>
        </w:rPr>
        <w:t>pro</w:t>
      </w:r>
      <w:r w:rsidR="00E12554" w:rsidRPr="004F6DAA">
        <w:rPr>
          <w:noProof/>
        </w:rPr>
        <w:t>duktów do obrotu</w:t>
      </w:r>
      <w:r w:rsidR="00062BFA" w:rsidRPr="004F6DAA">
        <w:rPr>
          <w:noProof/>
        </w:rPr>
        <w:t xml:space="preserve"> w</w:t>
      </w:r>
      <w:r w:rsidR="00062BFA">
        <w:rPr>
          <w:noProof/>
        </w:rPr>
        <w:t> </w:t>
      </w:r>
      <w:r w:rsidR="00062BFA" w:rsidRPr="004F6DAA">
        <w:rPr>
          <w:noProof/>
        </w:rPr>
        <w:t>Uni</w:t>
      </w:r>
      <w:r w:rsidR="00E12554" w:rsidRPr="004F6DAA">
        <w:rPr>
          <w:noProof/>
        </w:rPr>
        <w:t>i lub wywiezieniem ich</w:t>
      </w:r>
      <w:r w:rsidR="00062BFA" w:rsidRPr="004F6DAA">
        <w:rPr>
          <w:noProof/>
        </w:rPr>
        <w:t xml:space="preserve"> z</w:t>
      </w:r>
      <w:r w:rsidR="00062BFA">
        <w:rPr>
          <w:noProof/>
        </w:rPr>
        <w:t> </w:t>
      </w:r>
      <w:r w:rsidR="00062BFA" w:rsidRPr="004F6DAA">
        <w:rPr>
          <w:noProof/>
        </w:rPr>
        <w:t>ryn</w:t>
      </w:r>
      <w:r w:rsidR="00E12554" w:rsidRPr="004F6DAA">
        <w:rPr>
          <w:noProof/>
        </w:rPr>
        <w:t>ku unijnego udostępniają właściwym organom oświadczenie</w:t>
      </w:r>
      <w:r w:rsidR="00062BFA" w:rsidRPr="004F6DAA">
        <w:rPr>
          <w:noProof/>
        </w:rPr>
        <w:t xml:space="preserve"> o</w:t>
      </w:r>
      <w:r w:rsidR="00062BFA">
        <w:rPr>
          <w:noProof/>
        </w:rPr>
        <w:t> </w:t>
      </w:r>
      <w:r w:rsidR="00062BFA" w:rsidRPr="004F6DAA">
        <w:rPr>
          <w:noProof/>
        </w:rPr>
        <w:t>zac</w:t>
      </w:r>
      <w:r w:rsidR="00E12554" w:rsidRPr="004F6DAA">
        <w:rPr>
          <w:noProof/>
        </w:rPr>
        <w:t>howaniu należytej staranności, korzystając</w:t>
      </w:r>
      <w:r w:rsidR="00062BFA" w:rsidRPr="004F6DAA">
        <w:rPr>
          <w:noProof/>
        </w:rPr>
        <w:t xml:space="preserve"> z</w:t>
      </w:r>
      <w:r w:rsidR="00062BFA">
        <w:rPr>
          <w:noProof/>
        </w:rPr>
        <w:t> </w:t>
      </w:r>
      <w:r w:rsidR="00062BFA" w:rsidRPr="004F6DAA">
        <w:rPr>
          <w:noProof/>
        </w:rPr>
        <w:t>sys</w:t>
      </w:r>
      <w:r w:rsidR="00E12554" w:rsidRPr="004F6DAA">
        <w:rPr>
          <w:noProof/>
        </w:rPr>
        <w:t>temu informacyjnego,</w:t>
      </w:r>
      <w:r w:rsidR="00062BFA" w:rsidRPr="004F6DAA">
        <w:rPr>
          <w:noProof/>
        </w:rPr>
        <w:t xml:space="preserve"> o</w:t>
      </w:r>
      <w:r w:rsidR="00062BFA">
        <w:rPr>
          <w:noProof/>
        </w:rPr>
        <w:t> </w:t>
      </w:r>
      <w:r w:rsidR="00062BFA" w:rsidRPr="004F6DAA">
        <w:rPr>
          <w:noProof/>
        </w:rPr>
        <w:t>któ</w:t>
      </w:r>
      <w:r w:rsidR="00E12554" w:rsidRPr="004F6DAA">
        <w:rPr>
          <w:noProof/>
        </w:rPr>
        <w:t>rym mowa</w:t>
      </w:r>
      <w:r w:rsidR="00062BFA" w:rsidRPr="004F6DAA">
        <w:rPr>
          <w:noProof/>
        </w:rPr>
        <w:t xml:space="preserve"> w</w:t>
      </w:r>
      <w:r w:rsidR="00062BFA">
        <w:rPr>
          <w:noProof/>
        </w:rPr>
        <w:t> </w:t>
      </w:r>
      <w:r w:rsidR="00062BFA" w:rsidRPr="00062BFA">
        <w:rPr>
          <w:noProof/>
        </w:rPr>
        <w:t>art</w:t>
      </w:r>
      <w:r w:rsidR="00E12554" w:rsidRPr="00062BFA">
        <w:rPr>
          <w:noProof/>
        </w:rPr>
        <w:t>.</w:t>
      </w:r>
      <w:r w:rsidR="00062BFA" w:rsidRPr="00062BFA">
        <w:rPr>
          <w:noProof/>
        </w:rPr>
        <w:t> </w:t>
      </w:r>
      <w:r w:rsidR="00E12554" w:rsidRPr="00062BFA">
        <w:rPr>
          <w:noProof/>
        </w:rPr>
        <w:t>3</w:t>
      </w:r>
      <w:r w:rsidR="00E12554" w:rsidRPr="004F6DAA">
        <w:rPr>
          <w:noProof/>
        </w:rPr>
        <w:t>1. Oświadczenie to służy potwierdzeniu, że zachowano należytą staranność, oraz że nie istnieje ryzyko lub istniejące ryzyko jest znikome,</w:t>
      </w:r>
      <w:r w:rsidR="00062BFA" w:rsidRPr="004F6DAA">
        <w:rPr>
          <w:noProof/>
        </w:rPr>
        <w:t xml:space="preserve"> i</w:t>
      </w:r>
      <w:r w:rsidR="00062BFA">
        <w:rPr>
          <w:noProof/>
        </w:rPr>
        <w:t> </w:t>
      </w:r>
      <w:r w:rsidR="00062BFA" w:rsidRPr="004F6DAA">
        <w:rPr>
          <w:noProof/>
        </w:rPr>
        <w:t>zaw</w:t>
      </w:r>
      <w:r w:rsidR="00E12554" w:rsidRPr="004F6DAA">
        <w:rPr>
          <w:noProof/>
        </w:rPr>
        <w:t>iera informacje określone</w:t>
      </w:r>
      <w:r w:rsidR="00062BFA" w:rsidRPr="004F6DAA">
        <w:rPr>
          <w:noProof/>
        </w:rPr>
        <w:t xml:space="preserve"> w</w:t>
      </w:r>
      <w:r w:rsidR="00062BFA">
        <w:rPr>
          <w:noProof/>
        </w:rPr>
        <w:t> </w:t>
      </w:r>
      <w:r w:rsidR="00062BFA" w:rsidRPr="004F6DAA">
        <w:rPr>
          <w:noProof/>
        </w:rPr>
        <w:t>zał</w:t>
      </w:r>
      <w:r w:rsidR="00E12554" w:rsidRPr="004F6DAA">
        <w:rPr>
          <w:noProof/>
        </w:rPr>
        <w:t>ączniku II dotyczące odnośnych towarów</w:t>
      </w:r>
      <w:r w:rsidR="00062BFA" w:rsidRPr="004F6DAA">
        <w:rPr>
          <w:noProof/>
        </w:rPr>
        <w:t xml:space="preserve"> i</w:t>
      </w:r>
      <w:r w:rsidR="00062BFA">
        <w:rPr>
          <w:noProof/>
        </w:rPr>
        <w:t> </w:t>
      </w:r>
      <w:r w:rsidR="00062BFA" w:rsidRPr="004F6DAA">
        <w:rPr>
          <w:noProof/>
        </w:rPr>
        <w:t>pro</w:t>
      </w:r>
      <w:r w:rsidR="00E12554" w:rsidRPr="004F6DAA">
        <w:rPr>
          <w:noProof/>
        </w:rPr>
        <w:t>duktów.</w:t>
      </w:r>
    </w:p>
    <w:p w14:paraId="5729B2E0" w14:textId="77777777" w:rsidR="0077458D" w:rsidRPr="004F6DAA" w:rsidRDefault="007B7EB7" w:rsidP="007B7EB7">
      <w:pPr>
        <w:pStyle w:val="ManualNumPar1"/>
        <w:rPr>
          <w:noProof/>
        </w:rPr>
      </w:pPr>
      <w:r w:rsidRPr="007B7EB7">
        <w:t>3.</w:t>
      </w:r>
      <w:r w:rsidRPr="007B7EB7">
        <w:tab/>
      </w:r>
      <w:r w:rsidR="00E12554" w:rsidRPr="004F6DAA">
        <w:rPr>
          <w:noProof/>
        </w:rPr>
        <w:t>Udostępniając oświadczenie</w:t>
      </w:r>
      <w:r w:rsidR="00062BFA" w:rsidRPr="004F6DAA">
        <w:rPr>
          <w:noProof/>
        </w:rPr>
        <w:t xml:space="preserve"> o</w:t>
      </w:r>
      <w:r w:rsidR="00062BFA">
        <w:rPr>
          <w:noProof/>
        </w:rPr>
        <w:t> </w:t>
      </w:r>
      <w:r w:rsidR="00062BFA" w:rsidRPr="004F6DAA">
        <w:rPr>
          <w:noProof/>
        </w:rPr>
        <w:t>zac</w:t>
      </w:r>
      <w:r w:rsidR="00E12554" w:rsidRPr="004F6DAA">
        <w:rPr>
          <w:noProof/>
        </w:rPr>
        <w:t>howaniu należytej staranności, podmiot przyjmuje odpowiedzialność za zgodność odnośnego towaru lub produktu</w:t>
      </w:r>
      <w:r w:rsidR="00062BFA" w:rsidRPr="004F6DAA">
        <w:rPr>
          <w:noProof/>
        </w:rPr>
        <w:t xml:space="preserve"> z</w:t>
      </w:r>
      <w:r w:rsidR="00062BFA">
        <w:rPr>
          <w:noProof/>
        </w:rPr>
        <w:t> </w:t>
      </w:r>
      <w:r w:rsidR="00062BFA" w:rsidRPr="004F6DAA">
        <w:rPr>
          <w:noProof/>
        </w:rPr>
        <w:t>wym</w:t>
      </w:r>
      <w:r w:rsidR="00E12554" w:rsidRPr="004F6DAA">
        <w:rPr>
          <w:noProof/>
        </w:rPr>
        <w:t>ogami niniejszego rozporządzenia. Podmioty rejestrują oświadczenia</w:t>
      </w:r>
      <w:r w:rsidR="00062BFA" w:rsidRPr="004F6DAA">
        <w:rPr>
          <w:noProof/>
        </w:rPr>
        <w:t xml:space="preserve"> o</w:t>
      </w:r>
      <w:r w:rsidR="00062BFA">
        <w:rPr>
          <w:noProof/>
        </w:rPr>
        <w:t> </w:t>
      </w:r>
      <w:r w:rsidR="00062BFA" w:rsidRPr="004F6DAA">
        <w:rPr>
          <w:noProof/>
        </w:rPr>
        <w:t>zac</w:t>
      </w:r>
      <w:r w:rsidR="00E12554" w:rsidRPr="004F6DAA">
        <w:rPr>
          <w:noProof/>
        </w:rPr>
        <w:t>howaniu należytej staranności przez okres 5 lat od dnia ich udostępnienia, za pośrednictwem systemu informacyjnego,</w:t>
      </w:r>
      <w:r w:rsidR="00062BFA" w:rsidRPr="004F6DAA">
        <w:rPr>
          <w:noProof/>
        </w:rPr>
        <w:t xml:space="preserve"> o</w:t>
      </w:r>
      <w:r w:rsidR="00062BFA">
        <w:rPr>
          <w:noProof/>
        </w:rPr>
        <w:t> </w:t>
      </w:r>
      <w:r w:rsidR="00062BFA" w:rsidRPr="004F6DAA">
        <w:rPr>
          <w:noProof/>
        </w:rPr>
        <w:t>któ</w:t>
      </w:r>
      <w:r w:rsidR="00E12554" w:rsidRPr="004F6DAA">
        <w:rPr>
          <w:noProof/>
        </w:rPr>
        <w:t>rym mowa</w:t>
      </w:r>
      <w:r w:rsidR="00062BFA" w:rsidRPr="004F6DAA">
        <w:rPr>
          <w:noProof/>
        </w:rPr>
        <w:t xml:space="preserve"> w</w:t>
      </w:r>
      <w:r w:rsidR="00062BFA">
        <w:rPr>
          <w:noProof/>
        </w:rPr>
        <w:t> </w:t>
      </w:r>
      <w:r w:rsidR="00062BFA" w:rsidRPr="00062BFA">
        <w:rPr>
          <w:noProof/>
        </w:rPr>
        <w:t>art</w:t>
      </w:r>
      <w:r w:rsidR="00E12554" w:rsidRPr="00062BFA">
        <w:rPr>
          <w:noProof/>
        </w:rPr>
        <w:t>.</w:t>
      </w:r>
      <w:r w:rsidR="00062BFA" w:rsidRPr="00062BFA">
        <w:rPr>
          <w:noProof/>
        </w:rPr>
        <w:t> </w:t>
      </w:r>
      <w:r w:rsidR="00E12554" w:rsidRPr="00062BFA">
        <w:rPr>
          <w:noProof/>
        </w:rPr>
        <w:t>3</w:t>
      </w:r>
      <w:r w:rsidR="00E12554" w:rsidRPr="004F6DAA">
        <w:rPr>
          <w:noProof/>
        </w:rPr>
        <w:t>1.</w:t>
      </w:r>
    </w:p>
    <w:p w14:paraId="75C013F0" w14:textId="77777777" w:rsidR="00E12554" w:rsidRPr="004F6DAA" w:rsidRDefault="007B7EB7" w:rsidP="007B7EB7">
      <w:pPr>
        <w:pStyle w:val="ManualNumPar1"/>
        <w:rPr>
          <w:noProof/>
        </w:rPr>
      </w:pPr>
      <w:r w:rsidRPr="007B7EB7">
        <w:t>4.</w:t>
      </w:r>
      <w:r w:rsidRPr="007B7EB7">
        <w:tab/>
      </w:r>
      <w:r w:rsidR="00E12554" w:rsidRPr="004F6DAA">
        <w:rPr>
          <w:noProof/>
        </w:rPr>
        <w:t>Podmioty nie mogą wprowadzać odnośnych towarów</w:t>
      </w:r>
      <w:r w:rsidR="00062BFA" w:rsidRPr="004F6DAA">
        <w:rPr>
          <w:noProof/>
        </w:rPr>
        <w:t xml:space="preserve"> i</w:t>
      </w:r>
      <w:r w:rsidR="00062BFA">
        <w:rPr>
          <w:noProof/>
        </w:rPr>
        <w:t> </w:t>
      </w:r>
      <w:r w:rsidR="00062BFA" w:rsidRPr="004F6DAA">
        <w:rPr>
          <w:noProof/>
        </w:rPr>
        <w:t>pro</w:t>
      </w:r>
      <w:r w:rsidR="00E12554" w:rsidRPr="004F6DAA">
        <w:rPr>
          <w:noProof/>
        </w:rPr>
        <w:t>duktów do obrotu</w:t>
      </w:r>
      <w:r w:rsidR="00062BFA" w:rsidRPr="004F6DAA">
        <w:rPr>
          <w:noProof/>
        </w:rPr>
        <w:t xml:space="preserve"> w</w:t>
      </w:r>
      <w:r w:rsidR="00062BFA">
        <w:rPr>
          <w:noProof/>
        </w:rPr>
        <w:t> </w:t>
      </w:r>
      <w:r w:rsidR="00062BFA" w:rsidRPr="004F6DAA">
        <w:rPr>
          <w:noProof/>
        </w:rPr>
        <w:t>Uni</w:t>
      </w:r>
      <w:r w:rsidR="00E12554" w:rsidRPr="004F6DAA">
        <w:rPr>
          <w:noProof/>
        </w:rPr>
        <w:t>i ani ich wywozić, jeżeli nie złożą wcześniej oświadczenia</w:t>
      </w:r>
      <w:r w:rsidR="00062BFA" w:rsidRPr="004F6DAA">
        <w:rPr>
          <w:noProof/>
        </w:rPr>
        <w:t xml:space="preserve"> o</w:t>
      </w:r>
      <w:r w:rsidR="00062BFA">
        <w:rPr>
          <w:noProof/>
        </w:rPr>
        <w:t> </w:t>
      </w:r>
      <w:r w:rsidR="00062BFA" w:rsidRPr="004F6DAA">
        <w:rPr>
          <w:noProof/>
        </w:rPr>
        <w:t>zac</w:t>
      </w:r>
      <w:r w:rsidR="00E12554" w:rsidRPr="004F6DAA">
        <w:rPr>
          <w:noProof/>
        </w:rPr>
        <w:t xml:space="preserve">howaniu należytej staranności. </w:t>
      </w:r>
    </w:p>
    <w:p w14:paraId="64C9D2D9" w14:textId="77777777" w:rsidR="00E12554" w:rsidRPr="004F6DAA" w:rsidRDefault="007B7EB7" w:rsidP="007B7EB7">
      <w:pPr>
        <w:pStyle w:val="ManualNumPar1"/>
        <w:rPr>
          <w:noProof/>
        </w:rPr>
      </w:pPr>
      <w:r w:rsidRPr="007B7EB7">
        <w:t>5.</w:t>
      </w:r>
      <w:r w:rsidRPr="007B7EB7">
        <w:tab/>
      </w:r>
      <w:r w:rsidR="00E12554" w:rsidRPr="004F6DAA">
        <w:rPr>
          <w:noProof/>
        </w:rPr>
        <w:t>Podmiot nie może wprowadzać odnośnych towarów</w:t>
      </w:r>
      <w:r w:rsidR="00062BFA" w:rsidRPr="004F6DAA">
        <w:rPr>
          <w:noProof/>
        </w:rPr>
        <w:t xml:space="preserve"> i</w:t>
      </w:r>
      <w:r w:rsidR="00062BFA">
        <w:rPr>
          <w:noProof/>
        </w:rPr>
        <w:t> </w:t>
      </w:r>
      <w:r w:rsidR="00062BFA" w:rsidRPr="004F6DAA">
        <w:rPr>
          <w:noProof/>
        </w:rPr>
        <w:t>pro</w:t>
      </w:r>
      <w:r w:rsidR="00E12554" w:rsidRPr="004F6DAA">
        <w:rPr>
          <w:noProof/>
        </w:rPr>
        <w:t>duktów do obrotu ani ich wywozić, jeżeli występuje co najmniej jedna</w:t>
      </w:r>
      <w:r w:rsidR="00062BFA" w:rsidRPr="004F6DAA">
        <w:rPr>
          <w:noProof/>
        </w:rPr>
        <w:t xml:space="preserve"> z</w:t>
      </w:r>
      <w:r w:rsidR="00062BFA">
        <w:rPr>
          <w:noProof/>
        </w:rPr>
        <w:t> </w:t>
      </w:r>
      <w:r w:rsidR="00062BFA" w:rsidRPr="004F6DAA">
        <w:rPr>
          <w:noProof/>
        </w:rPr>
        <w:t>nas</w:t>
      </w:r>
      <w:r w:rsidR="00E12554" w:rsidRPr="004F6DAA">
        <w:rPr>
          <w:noProof/>
        </w:rPr>
        <w:t>tępujących przesłanek:</w:t>
      </w:r>
    </w:p>
    <w:p w14:paraId="2DAAC7FE" w14:textId="77777777" w:rsidR="00E12554" w:rsidRPr="004F6DAA" w:rsidRDefault="00062BFA" w:rsidP="00062BFA">
      <w:pPr>
        <w:pStyle w:val="Point1"/>
        <w:rPr>
          <w:noProof/>
        </w:rPr>
      </w:pPr>
      <w:r w:rsidRPr="00062BFA">
        <w:rPr>
          <w:noProof/>
        </w:rPr>
        <w:t>a)</w:t>
      </w:r>
      <w:r w:rsidRPr="00062BFA">
        <w:rPr>
          <w:noProof/>
        </w:rPr>
        <w:tab/>
      </w:r>
      <w:r w:rsidR="00E12554" w:rsidRPr="004F6DAA">
        <w:rPr>
          <w:noProof/>
        </w:rPr>
        <w:tab/>
        <w:t>odnośne towary</w:t>
      </w:r>
      <w:r w:rsidRPr="004F6DAA">
        <w:rPr>
          <w:noProof/>
        </w:rPr>
        <w:t xml:space="preserve"> i</w:t>
      </w:r>
      <w:r>
        <w:rPr>
          <w:noProof/>
        </w:rPr>
        <w:t> </w:t>
      </w:r>
      <w:r w:rsidRPr="004F6DAA">
        <w:rPr>
          <w:noProof/>
        </w:rPr>
        <w:t>pro</w:t>
      </w:r>
      <w:r w:rsidR="00E12554" w:rsidRPr="004F6DAA">
        <w:rPr>
          <w:noProof/>
        </w:rPr>
        <w:t>dukty są niezgodne</w:t>
      </w:r>
      <w:r w:rsidRPr="004F6DAA">
        <w:rPr>
          <w:noProof/>
        </w:rPr>
        <w:t xml:space="preserve"> z</w:t>
      </w:r>
      <w:r>
        <w:rPr>
          <w:noProof/>
        </w:rPr>
        <w:t> </w:t>
      </w:r>
      <w:r w:rsidRPr="00062BFA">
        <w:rPr>
          <w:noProof/>
        </w:rPr>
        <w:t>art</w:t>
      </w:r>
      <w:r w:rsidR="00E12554" w:rsidRPr="00062BFA">
        <w:rPr>
          <w:noProof/>
        </w:rPr>
        <w:t>.</w:t>
      </w:r>
      <w:r w:rsidRPr="00062BFA">
        <w:rPr>
          <w:noProof/>
        </w:rPr>
        <w:t> </w:t>
      </w:r>
      <w:r w:rsidR="00E12554" w:rsidRPr="00062BFA">
        <w:rPr>
          <w:noProof/>
        </w:rPr>
        <w:t>3</w:t>
      </w:r>
      <w:r w:rsidR="00E12554" w:rsidRPr="004F6DAA">
        <w:rPr>
          <w:noProof/>
        </w:rPr>
        <w:t xml:space="preserve"> </w:t>
      </w:r>
      <w:r w:rsidR="00E12554" w:rsidRPr="00062BFA">
        <w:rPr>
          <w:noProof/>
        </w:rPr>
        <w:t>lit.</w:t>
      </w:r>
      <w:r w:rsidRPr="00062BFA">
        <w:rPr>
          <w:noProof/>
        </w:rPr>
        <w:t> </w:t>
      </w:r>
      <w:r w:rsidR="00E12554" w:rsidRPr="00062BFA">
        <w:rPr>
          <w:noProof/>
        </w:rPr>
        <w:t>a)</w:t>
      </w:r>
      <w:r w:rsidR="00E12554" w:rsidRPr="004F6DAA">
        <w:rPr>
          <w:noProof/>
        </w:rPr>
        <w:t xml:space="preserve"> lub b);</w:t>
      </w:r>
    </w:p>
    <w:p w14:paraId="0BC72A1A" w14:textId="77777777" w:rsidR="00E12554" w:rsidRPr="004F6DAA" w:rsidRDefault="00062BFA" w:rsidP="00062BFA">
      <w:pPr>
        <w:pStyle w:val="Point1"/>
        <w:rPr>
          <w:noProof/>
        </w:rPr>
      </w:pPr>
      <w:r w:rsidRPr="00062BFA">
        <w:rPr>
          <w:noProof/>
        </w:rPr>
        <w:t>b)</w:t>
      </w:r>
      <w:r w:rsidRPr="00062BFA">
        <w:rPr>
          <w:noProof/>
        </w:rPr>
        <w:tab/>
      </w:r>
      <w:r w:rsidR="00E12554" w:rsidRPr="004F6DAA">
        <w:rPr>
          <w:noProof/>
        </w:rPr>
        <w:tab/>
        <w:t>zachowując należytą staranność, stwierdzono istnienie znacznego ryzyka, że odnośne towary</w:t>
      </w:r>
      <w:r w:rsidRPr="004F6DAA">
        <w:rPr>
          <w:noProof/>
        </w:rPr>
        <w:t xml:space="preserve"> i</w:t>
      </w:r>
      <w:r>
        <w:rPr>
          <w:noProof/>
        </w:rPr>
        <w:t> </w:t>
      </w:r>
      <w:r w:rsidRPr="004F6DAA">
        <w:rPr>
          <w:noProof/>
        </w:rPr>
        <w:t>pro</w:t>
      </w:r>
      <w:r w:rsidR="00E12554" w:rsidRPr="004F6DAA">
        <w:rPr>
          <w:noProof/>
        </w:rPr>
        <w:t>dukty są niezgodne</w:t>
      </w:r>
      <w:r w:rsidRPr="004F6DAA">
        <w:rPr>
          <w:noProof/>
        </w:rPr>
        <w:t xml:space="preserve"> z</w:t>
      </w:r>
      <w:r>
        <w:rPr>
          <w:noProof/>
        </w:rPr>
        <w:t> </w:t>
      </w:r>
      <w:r w:rsidRPr="00062BFA">
        <w:rPr>
          <w:noProof/>
        </w:rPr>
        <w:t>art</w:t>
      </w:r>
      <w:r w:rsidR="00E12554" w:rsidRPr="00062BFA">
        <w:rPr>
          <w:noProof/>
        </w:rPr>
        <w:t>.</w:t>
      </w:r>
      <w:r w:rsidRPr="00062BFA">
        <w:rPr>
          <w:noProof/>
        </w:rPr>
        <w:t> </w:t>
      </w:r>
      <w:r w:rsidR="00E12554" w:rsidRPr="00062BFA">
        <w:rPr>
          <w:noProof/>
        </w:rPr>
        <w:t>3</w:t>
      </w:r>
      <w:r w:rsidR="00E12554" w:rsidRPr="004F6DAA">
        <w:rPr>
          <w:noProof/>
        </w:rPr>
        <w:t xml:space="preserve"> </w:t>
      </w:r>
      <w:r w:rsidR="00E12554" w:rsidRPr="00062BFA">
        <w:rPr>
          <w:noProof/>
        </w:rPr>
        <w:t>lit.</w:t>
      </w:r>
      <w:r w:rsidRPr="00062BFA">
        <w:rPr>
          <w:noProof/>
        </w:rPr>
        <w:t> </w:t>
      </w:r>
      <w:r w:rsidR="00E12554" w:rsidRPr="00062BFA">
        <w:rPr>
          <w:noProof/>
        </w:rPr>
        <w:t>a)</w:t>
      </w:r>
      <w:r w:rsidR="00E12554" w:rsidRPr="004F6DAA">
        <w:rPr>
          <w:noProof/>
        </w:rPr>
        <w:t xml:space="preserve"> lub b); </w:t>
      </w:r>
    </w:p>
    <w:p w14:paraId="72A6DE37" w14:textId="77777777" w:rsidR="00E12554" w:rsidRPr="004F6DAA" w:rsidRDefault="00062BFA" w:rsidP="00062BFA">
      <w:pPr>
        <w:pStyle w:val="Point1"/>
        <w:rPr>
          <w:noProof/>
        </w:rPr>
      </w:pPr>
      <w:r w:rsidRPr="00062BFA">
        <w:rPr>
          <w:noProof/>
        </w:rPr>
        <w:t>c)</w:t>
      </w:r>
      <w:r w:rsidRPr="00062BFA">
        <w:rPr>
          <w:noProof/>
        </w:rPr>
        <w:tab/>
      </w:r>
      <w:r w:rsidR="00E12554" w:rsidRPr="004F6DAA">
        <w:rPr>
          <w:noProof/>
        </w:rPr>
        <w:tab/>
        <w:t>podmiot nie był</w:t>
      </w:r>
      <w:r w:rsidRPr="004F6DAA">
        <w:rPr>
          <w:noProof/>
        </w:rPr>
        <w:t xml:space="preserve"> w</w:t>
      </w:r>
      <w:r>
        <w:rPr>
          <w:noProof/>
        </w:rPr>
        <w:t> </w:t>
      </w:r>
      <w:r w:rsidRPr="004F6DAA">
        <w:rPr>
          <w:noProof/>
        </w:rPr>
        <w:t>sta</w:t>
      </w:r>
      <w:r w:rsidR="00E12554" w:rsidRPr="004F6DAA">
        <w:rPr>
          <w:noProof/>
        </w:rPr>
        <w:t>nie przeprowadzić procedury należytej staranności zgodnej</w:t>
      </w:r>
      <w:r w:rsidRPr="004F6DAA">
        <w:rPr>
          <w:noProof/>
        </w:rPr>
        <w:t xml:space="preserve"> z</w:t>
      </w:r>
      <w:r>
        <w:rPr>
          <w:noProof/>
        </w:rPr>
        <w:t> </w:t>
      </w:r>
      <w:r w:rsidRPr="00062BFA">
        <w:rPr>
          <w:noProof/>
        </w:rPr>
        <w:t>ust</w:t>
      </w:r>
      <w:r w:rsidR="00E12554" w:rsidRPr="00062BFA">
        <w:rPr>
          <w:noProof/>
        </w:rPr>
        <w:t>.</w:t>
      </w:r>
      <w:r w:rsidRPr="00062BFA">
        <w:rPr>
          <w:noProof/>
        </w:rPr>
        <w:t> </w:t>
      </w:r>
      <w:r w:rsidR="00E12554" w:rsidRPr="00062BFA">
        <w:rPr>
          <w:noProof/>
        </w:rPr>
        <w:t>1</w:t>
      </w:r>
      <w:r w:rsidRPr="004F6DAA">
        <w:rPr>
          <w:noProof/>
        </w:rPr>
        <w:t xml:space="preserve"> i</w:t>
      </w:r>
      <w:r>
        <w:rPr>
          <w:noProof/>
        </w:rPr>
        <w:t> </w:t>
      </w:r>
      <w:r w:rsidRPr="004F6DAA">
        <w:rPr>
          <w:noProof/>
        </w:rPr>
        <w:t>2</w:t>
      </w:r>
      <w:r w:rsidR="00E12554" w:rsidRPr="004F6DAA">
        <w:rPr>
          <w:noProof/>
        </w:rPr>
        <w:t>.</w:t>
      </w:r>
    </w:p>
    <w:p w14:paraId="06A7DBB8" w14:textId="77777777" w:rsidR="00E12554" w:rsidRPr="004F6DAA" w:rsidRDefault="007B7EB7" w:rsidP="007B7EB7">
      <w:pPr>
        <w:pStyle w:val="ManualNumPar1"/>
        <w:rPr>
          <w:noProof/>
        </w:rPr>
      </w:pPr>
      <w:r w:rsidRPr="007B7EB7">
        <w:t>6.</w:t>
      </w:r>
      <w:r w:rsidRPr="007B7EB7">
        <w:tab/>
      </w:r>
      <w:r w:rsidR="00E12554" w:rsidRPr="004F6DAA">
        <w:rPr>
          <w:noProof/>
        </w:rPr>
        <w:t>Podmioty, które otrzymały nowe informacje,</w:t>
      </w:r>
      <w:r w:rsidR="00062BFA" w:rsidRPr="004F6DAA">
        <w:rPr>
          <w:noProof/>
        </w:rPr>
        <w:t xml:space="preserve"> w</w:t>
      </w:r>
      <w:r w:rsidR="00062BFA">
        <w:rPr>
          <w:noProof/>
        </w:rPr>
        <w:t> </w:t>
      </w:r>
      <w:r w:rsidR="00062BFA" w:rsidRPr="004F6DAA">
        <w:rPr>
          <w:noProof/>
        </w:rPr>
        <w:t>tym</w:t>
      </w:r>
      <w:r w:rsidR="00E12554" w:rsidRPr="004F6DAA">
        <w:rPr>
          <w:noProof/>
        </w:rPr>
        <w:t xml:space="preserve"> uzasadnione zastrzeżenia, że odnośny towar lub produkt, który wprowadziły już do obrotu, nie jest zgodny</w:t>
      </w:r>
      <w:r w:rsidR="00062BFA" w:rsidRPr="004F6DAA">
        <w:rPr>
          <w:noProof/>
        </w:rPr>
        <w:t xml:space="preserve"> z</w:t>
      </w:r>
      <w:r w:rsidR="00062BFA">
        <w:rPr>
          <w:noProof/>
        </w:rPr>
        <w:t> </w:t>
      </w:r>
      <w:r w:rsidR="00062BFA" w:rsidRPr="004F6DAA">
        <w:rPr>
          <w:noProof/>
        </w:rPr>
        <w:t>wym</w:t>
      </w:r>
      <w:r w:rsidR="00E12554" w:rsidRPr="004F6DAA">
        <w:rPr>
          <w:noProof/>
        </w:rPr>
        <w:t>ogami niniejszego rozporządzenia, niezwłocznie informują</w:t>
      </w:r>
      <w:r w:rsidR="00062BFA" w:rsidRPr="004F6DAA">
        <w:rPr>
          <w:noProof/>
        </w:rPr>
        <w:t xml:space="preserve"> o</w:t>
      </w:r>
      <w:r w:rsidR="00062BFA">
        <w:rPr>
          <w:noProof/>
        </w:rPr>
        <w:t> </w:t>
      </w:r>
      <w:r w:rsidR="00062BFA" w:rsidRPr="004F6DAA">
        <w:rPr>
          <w:noProof/>
        </w:rPr>
        <w:t>tym</w:t>
      </w:r>
      <w:r w:rsidR="00E12554" w:rsidRPr="004F6DAA">
        <w:rPr>
          <w:noProof/>
        </w:rPr>
        <w:t xml:space="preserve"> właściwe organy państw członkowskich,</w:t>
      </w:r>
      <w:r w:rsidR="00062BFA" w:rsidRPr="004F6DAA">
        <w:rPr>
          <w:noProof/>
        </w:rPr>
        <w:t xml:space="preserve"> w</w:t>
      </w:r>
      <w:r w:rsidR="00062BFA">
        <w:rPr>
          <w:noProof/>
        </w:rPr>
        <w:t> </w:t>
      </w:r>
      <w:r w:rsidR="00062BFA" w:rsidRPr="004F6DAA">
        <w:rPr>
          <w:noProof/>
        </w:rPr>
        <w:t>któ</w:t>
      </w:r>
      <w:r w:rsidR="00E12554" w:rsidRPr="004F6DAA">
        <w:rPr>
          <w:noProof/>
        </w:rPr>
        <w:t>rych wprowadziły odnośny towar lub produkt do obrotu</w:t>
      </w:r>
      <w:r w:rsidR="00062BFA" w:rsidRPr="004F6DAA">
        <w:rPr>
          <w:noProof/>
        </w:rPr>
        <w:t>. W</w:t>
      </w:r>
      <w:r w:rsidR="00062BFA">
        <w:rPr>
          <w:noProof/>
        </w:rPr>
        <w:t> </w:t>
      </w:r>
      <w:r w:rsidR="00062BFA" w:rsidRPr="004F6DAA">
        <w:rPr>
          <w:noProof/>
        </w:rPr>
        <w:t>prz</w:t>
      </w:r>
      <w:r w:rsidR="00E12554" w:rsidRPr="004F6DAA">
        <w:rPr>
          <w:noProof/>
        </w:rPr>
        <w:t>ypadku wywozu</w:t>
      </w:r>
      <w:r w:rsidR="00062BFA" w:rsidRPr="004F6DAA">
        <w:rPr>
          <w:noProof/>
        </w:rPr>
        <w:t xml:space="preserve"> z</w:t>
      </w:r>
      <w:r w:rsidR="00062BFA">
        <w:rPr>
          <w:noProof/>
        </w:rPr>
        <w:t> </w:t>
      </w:r>
      <w:r w:rsidR="00062BFA" w:rsidRPr="004F6DAA">
        <w:rPr>
          <w:noProof/>
        </w:rPr>
        <w:t>ryn</w:t>
      </w:r>
      <w:r w:rsidR="00E12554" w:rsidRPr="004F6DAA">
        <w:rPr>
          <w:noProof/>
        </w:rPr>
        <w:t>ku unijnego podmioty informują właściwy organ państwa członkowskiego, które jest krajem produkcji.</w:t>
      </w:r>
    </w:p>
    <w:p w14:paraId="70A4DF82" w14:textId="77777777" w:rsidR="00E12554" w:rsidRPr="004F6DAA" w:rsidRDefault="007B7EB7" w:rsidP="007B7EB7">
      <w:pPr>
        <w:pStyle w:val="ManualNumPar1"/>
        <w:rPr>
          <w:noProof/>
        </w:rPr>
      </w:pPr>
      <w:r w:rsidRPr="007B7EB7">
        <w:t>7.</w:t>
      </w:r>
      <w:r w:rsidRPr="007B7EB7">
        <w:tab/>
      </w:r>
      <w:r w:rsidR="00E12554" w:rsidRPr="004F6DAA">
        <w:rPr>
          <w:noProof/>
        </w:rPr>
        <w:t xml:space="preserve">Podmioty udzielają wszelkiej pomocy koniecznej do ułatwienia właściwym organom przeprowadzenia kontroli na podstawie </w:t>
      </w:r>
      <w:r w:rsidR="00E12554" w:rsidRPr="00062BFA">
        <w:rPr>
          <w:noProof/>
        </w:rPr>
        <w:t>art.</w:t>
      </w:r>
      <w:r w:rsidR="00062BFA" w:rsidRPr="00062BFA">
        <w:rPr>
          <w:noProof/>
        </w:rPr>
        <w:t> </w:t>
      </w:r>
      <w:r w:rsidR="00E12554" w:rsidRPr="00062BFA">
        <w:rPr>
          <w:noProof/>
        </w:rPr>
        <w:t>1</w:t>
      </w:r>
      <w:r w:rsidR="00E12554" w:rsidRPr="004F6DAA">
        <w:rPr>
          <w:noProof/>
        </w:rPr>
        <w:t>5,</w:t>
      </w:r>
      <w:r w:rsidR="00062BFA" w:rsidRPr="004F6DAA">
        <w:rPr>
          <w:noProof/>
        </w:rPr>
        <w:t xml:space="preserve"> w</w:t>
      </w:r>
      <w:r w:rsidR="00062BFA">
        <w:rPr>
          <w:noProof/>
        </w:rPr>
        <w:t> </w:t>
      </w:r>
      <w:r w:rsidR="00062BFA" w:rsidRPr="004F6DAA">
        <w:rPr>
          <w:noProof/>
        </w:rPr>
        <w:t>tym w</w:t>
      </w:r>
      <w:r w:rsidR="00062BFA">
        <w:rPr>
          <w:noProof/>
        </w:rPr>
        <w:t> </w:t>
      </w:r>
      <w:r w:rsidR="00062BFA" w:rsidRPr="004F6DAA">
        <w:rPr>
          <w:noProof/>
        </w:rPr>
        <w:t>zak</w:t>
      </w:r>
      <w:r w:rsidR="00E12554" w:rsidRPr="004F6DAA">
        <w:rPr>
          <w:noProof/>
        </w:rPr>
        <w:t>resie dostępu do budynków</w:t>
      </w:r>
      <w:r w:rsidR="00062BFA" w:rsidRPr="004F6DAA">
        <w:rPr>
          <w:noProof/>
        </w:rPr>
        <w:t xml:space="preserve"> i</w:t>
      </w:r>
      <w:r w:rsidR="00062BFA">
        <w:rPr>
          <w:noProof/>
        </w:rPr>
        <w:t> </w:t>
      </w:r>
      <w:r w:rsidR="00062BFA" w:rsidRPr="004F6DAA">
        <w:rPr>
          <w:noProof/>
        </w:rPr>
        <w:t>prz</w:t>
      </w:r>
      <w:r w:rsidR="00E12554" w:rsidRPr="004F6DAA">
        <w:rPr>
          <w:noProof/>
        </w:rPr>
        <w:t>edstawiania dokumentacji lub zapisów.</w:t>
      </w:r>
    </w:p>
    <w:p w14:paraId="001F6AE0" w14:textId="77777777" w:rsidR="00F46E90" w:rsidRPr="004F6DAA" w:rsidRDefault="004E30E9" w:rsidP="00AA07FA">
      <w:pPr>
        <w:pStyle w:val="Titrearticle"/>
        <w:rPr>
          <w:noProof/>
        </w:rPr>
      </w:pPr>
      <w:r w:rsidRPr="004F6DAA">
        <w:rPr>
          <w:noProof/>
        </w:rPr>
        <w:t>Artykuł 5</w:t>
      </w:r>
    </w:p>
    <w:p w14:paraId="5053D589" w14:textId="77777777" w:rsidR="004E30E9" w:rsidRPr="004F6DAA" w:rsidRDefault="004E30E9" w:rsidP="00F46E90">
      <w:pPr>
        <w:pStyle w:val="Sous-titreobjet"/>
        <w:rPr>
          <w:noProof/>
        </w:rPr>
      </w:pPr>
      <w:r w:rsidRPr="004F6DAA">
        <w:rPr>
          <w:noProof/>
        </w:rPr>
        <w:t>Upoważnieni przedstawiciele</w:t>
      </w:r>
    </w:p>
    <w:p w14:paraId="3B33D185" w14:textId="77777777" w:rsidR="002163C3" w:rsidRPr="004F6DAA" w:rsidRDefault="007B7EB7" w:rsidP="007B7EB7">
      <w:pPr>
        <w:pStyle w:val="ManualNumPar1"/>
        <w:rPr>
          <w:noProof/>
        </w:rPr>
      </w:pPr>
      <w:r w:rsidRPr="007B7EB7">
        <w:t>1.</w:t>
      </w:r>
      <w:r w:rsidRPr="007B7EB7">
        <w:tab/>
      </w:r>
      <w:r w:rsidR="002163C3" w:rsidRPr="004F6DAA">
        <w:rPr>
          <w:noProof/>
        </w:rPr>
        <w:t>Podmioty lub podmioty handlowe mogą upoważnić przedstawiciela do udostępnienia</w:t>
      </w:r>
      <w:r w:rsidR="00062BFA" w:rsidRPr="004F6DAA">
        <w:rPr>
          <w:noProof/>
        </w:rPr>
        <w:t xml:space="preserve"> w</w:t>
      </w:r>
      <w:r w:rsidR="00062BFA">
        <w:rPr>
          <w:noProof/>
        </w:rPr>
        <w:t> </w:t>
      </w:r>
      <w:r w:rsidR="00062BFA" w:rsidRPr="004F6DAA">
        <w:rPr>
          <w:noProof/>
        </w:rPr>
        <w:t>ich</w:t>
      </w:r>
      <w:r w:rsidR="002163C3" w:rsidRPr="004F6DAA">
        <w:rPr>
          <w:noProof/>
        </w:rPr>
        <w:t xml:space="preserve"> imieniu oświadczenia</w:t>
      </w:r>
      <w:r w:rsidR="00062BFA" w:rsidRPr="004F6DAA">
        <w:rPr>
          <w:noProof/>
        </w:rPr>
        <w:t xml:space="preserve"> o</w:t>
      </w:r>
      <w:r w:rsidR="00062BFA">
        <w:rPr>
          <w:noProof/>
        </w:rPr>
        <w:t> </w:t>
      </w:r>
      <w:r w:rsidR="00062BFA" w:rsidRPr="004F6DAA">
        <w:rPr>
          <w:noProof/>
        </w:rPr>
        <w:t>zac</w:t>
      </w:r>
      <w:r w:rsidR="002163C3" w:rsidRPr="004F6DAA">
        <w:rPr>
          <w:noProof/>
        </w:rPr>
        <w:t>howaniu należytej staranności zgodnie</w:t>
      </w:r>
      <w:r w:rsidR="00062BFA" w:rsidRPr="004F6DAA">
        <w:rPr>
          <w:noProof/>
        </w:rPr>
        <w:t xml:space="preserve"> z</w:t>
      </w:r>
      <w:r w:rsidR="00062BFA">
        <w:rPr>
          <w:noProof/>
        </w:rPr>
        <w:t> </w:t>
      </w:r>
      <w:r w:rsidR="00062BFA" w:rsidRPr="00062BFA">
        <w:rPr>
          <w:noProof/>
        </w:rPr>
        <w:t>art</w:t>
      </w:r>
      <w:r w:rsidR="002163C3" w:rsidRPr="00062BFA">
        <w:rPr>
          <w:noProof/>
        </w:rPr>
        <w:t>.</w:t>
      </w:r>
      <w:r w:rsidR="00062BFA" w:rsidRPr="00062BFA">
        <w:rPr>
          <w:noProof/>
        </w:rPr>
        <w:t> </w:t>
      </w:r>
      <w:r w:rsidR="002163C3" w:rsidRPr="00062BFA">
        <w:rPr>
          <w:noProof/>
        </w:rPr>
        <w:t>4</w:t>
      </w:r>
      <w:r w:rsidR="002163C3" w:rsidRPr="004F6DAA">
        <w:rPr>
          <w:noProof/>
        </w:rPr>
        <w:t xml:space="preserve"> </w:t>
      </w:r>
      <w:r w:rsidR="002163C3" w:rsidRPr="00062BFA">
        <w:rPr>
          <w:noProof/>
        </w:rPr>
        <w:t>ust.</w:t>
      </w:r>
      <w:r w:rsidR="00062BFA" w:rsidRPr="00062BFA">
        <w:rPr>
          <w:noProof/>
        </w:rPr>
        <w:t> </w:t>
      </w:r>
      <w:r w:rsidR="002163C3" w:rsidRPr="00062BFA">
        <w:rPr>
          <w:noProof/>
        </w:rPr>
        <w:t>2</w:t>
      </w:r>
      <w:r w:rsidR="002163C3" w:rsidRPr="004F6DAA">
        <w:rPr>
          <w:noProof/>
        </w:rPr>
        <w:t>. Podmiot lub podmiot handlowy zachowuje</w:t>
      </w:r>
      <w:r w:rsidR="00062BFA" w:rsidRPr="004F6DAA">
        <w:rPr>
          <w:noProof/>
        </w:rPr>
        <w:t xml:space="preserve"> w</w:t>
      </w:r>
      <w:r w:rsidR="00062BFA">
        <w:rPr>
          <w:noProof/>
        </w:rPr>
        <w:t> </w:t>
      </w:r>
      <w:r w:rsidR="00062BFA" w:rsidRPr="004F6DAA">
        <w:rPr>
          <w:noProof/>
        </w:rPr>
        <w:t>tak</w:t>
      </w:r>
      <w:r w:rsidR="002163C3" w:rsidRPr="004F6DAA">
        <w:rPr>
          <w:noProof/>
        </w:rPr>
        <w:t>im wypadku odpowiedzialność za zgodność odnośnego towaru lub produktu</w:t>
      </w:r>
      <w:r w:rsidR="00062BFA" w:rsidRPr="004F6DAA">
        <w:rPr>
          <w:noProof/>
        </w:rPr>
        <w:t xml:space="preserve"> z</w:t>
      </w:r>
      <w:r w:rsidR="00062BFA">
        <w:rPr>
          <w:noProof/>
        </w:rPr>
        <w:t> </w:t>
      </w:r>
      <w:r w:rsidR="00062BFA" w:rsidRPr="004F6DAA">
        <w:rPr>
          <w:noProof/>
        </w:rPr>
        <w:t>wym</w:t>
      </w:r>
      <w:r w:rsidR="002163C3" w:rsidRPr="004F6DAA">
        <w:rPr>
          <w:noProof/>
        </w:rPr>
        <w:t>ogami niniejszego rozporządzenia.</w:t>
      </w:r>
    </w:p>
    <w:p w14:paraId="4DF9C0FE" w14:textId="77777777" w:rsidR="002163C3" w:rsidRPr="004F6DAA" w:rsidRDefault="007B7EB7" w:rsidP="007B7EB7">
      <w:pPr>
        <w:pStyle w:val="ManualNumPar1"/>
        <w:rPr>
          <w:noProof/>
        </w:rPr>
      </w:pPr>
      <w:r w:rsidRPr="007B7EB7">
        <w:t>2.</w:t>
      </w:r>
      <w:r w:rsidRPr="007B7EB7">
        <w:tab/>
      </w:r>
      <w:r w:rsidR="002163C3" w:rsidRPr="004F6DAA">
        <w:rPr>
          <w:noProof/>
        </w:rPr>
        <w:t>Upoważniony przedstawiciel na żądanie właściwego organu przedstawia mu kopię swojego upoważnienia</w:t>
      </w:r>
      <w:r w:rsidR="00062BFA" w:rsidRPr="004F6DAA">
        <w:rPr>
          <w:noProof/>
        </w:rPr>
        <w:t xml:space="preserve"> w</w:t>
      </w:r>
      <w:r w:rsidR="00062BFA">
        <w:rPr>
          <w:noProof/>
        </w:rPr>
        <w:t> </w:t>
      </w:r>
      <w:r w:rsidR="00062BFA" w:rsidRPr="004F6DAA">
        <w:rPr>
          <w:noProof/>
        </w:rPr>
        <w:t>jęz</w:t>
      </w:r>
      <w:r w:rsidR="002163C3" w:rsidRPr="004F6DAA">
        <w:rPr>
          <w:noProof/>
        </w:rPr>
        <w:t xml:space="preserve">yku urzędowym Unii Europejskiej. </w:t>
      </w:r>
    </w:p>
    <w:p w14:paraId="016DBCC6" w14:textId="77777777" w:rsidR="00F46E90" w:rsidRPr="004F6DAA" w:rsidRDefault="004E30E9" w:rsidP="004E30E9">
      <w:pPr>
        <w:pStyle w:val="Titrearticle"/>
        <w:rPr>
          <w:noProof/>
        </w:rPr>
      </w:pPr>
      <w:r w:rsidRPr="004F6DAA">
        <w:rPr>
          <w:noProof/>
        </w:rPr>
        <w:t>Artykuł 6</w:t>
      </w:r>
    </w:p>
    <w:p w14:paraId="69EFAC01" w14:textId="77777777" w:rsidR="004E30E9" w:rsidRPr="004F6DAA" w:rsidRDefault="004E30E9" w:rsidP="00F46E90">
      <w:pPr>
        <w:pStyle w:val="Sous-titreobjet"/>
        <w:rPr>
          <w:noProof/>
        </w:rPr>
      </w:pPr>
      <w:r w:rsidRPr="004F6DAA">
        <w:rPr>
          <w:noProof/>
        </w:rPr>
        <w:t xml:space="preserve">Obowiązki podmiotów handlowych </w:t>
      </w:r>
    </w:p>
    <w:p w14:paraId="2AA6856C" w14:textId="77777777" w:rsidR="00B76F27" w:rsidRPr="004F6DAA" w:rsidRDefault="007B7EB7" w:rsidP="007B7EB7">
      <w:pPr>
        <w:pStyle w:val="ManualNumPar1"/>
        <w:rPr>
          <w:rFonts w:eastAsia="Times New Roman"/>
          <w:noProof/>
        </w:rPr>
      </w:pPr>
      <w:r w:rsidRPr="007B7EB7">
        <w:t>1.</w:t>
      </w:r>
      <w:r w:rsidRPr="007B7EB7">
        <w:tab/>
      </w:r>
      <w:r w:rsidR="00B76F27" w:rsidRPr="004F6DAA">
        <w:rPr>
          <w:noProof/>
        </w:rPr>
        <w:t>Podmioty handlowe będące MŚP mogą udostępniać na rynku odnośne towary</w:t>
      </w:r>
      <w:r w:rsidR="00062BFA" w:rsidRPr="004F6DAA">
        <w:rPr>
          <w:noProof/>
        </w:rPr>
        <w:t xml:space="preserve"> i</w:t>
      </w:r>
      <w:r w:rsidR="00062BFA">
        <w:rPr>
          <w:noProof/>
        </w:rPr>
        <w:t> </w:t>
      </w:r>
      <w:r w:rsidR="00062BFA" w:rsidRPr="004F6DAA">
        <w:rPr>
          <w:noProof/>
        </w:rPr>
        <w:t>pro</w:t>
      </w:r>
      <w:r w:rsidR="00B76F27" w:rsidRPr="004F6DAA">
        <w:rPr>
          <w:noProof/>
        </w:rPr>
        <w:t xml:space="preserve">dukty wyłącznie wówczas, gdy posiadają informacje wymagane na podstawie </w:t>
      </w:r>
      <w:r w:rsidR="00B76F27" w:rsidRPr="00062BFA">
        <w:rPr>
          <w:noProof/>
        </w:rPr>
        <w:t>ust.</w:t>
      </w:r>
      <w:r w:rsidR="00062BFA" w:rsidRPr="00062BFA">
        <w:rPr>
          <w:noProof/>
        </w:rPr>
        <w:t> </w:t>
      </w:r>
      <w:r w:rsidR="00B76F27" w:rsidRPr="00062BFA">
        <w:rPr>
          <w:noProof/>
        </w:rPr>
        <w:t>2</w:t>
      </w:r>
      <w:r w:rsidR="00B76F27" w:rsidRPr="004F6DAA">
        <w:rPr>
          <w:noProof/>
        </w:rPr>
        <w:t>.</w:t>
      </w:r>
    </w:p>
    <w:p w14:paraId="5159441E" w14:textId="77777777" w:rsidR="00B76F27" w:rsidRPr="004F6DAA" w:rsidRDefault="007B7EB7" w:rsidP="007B7EB7">
      <w:pPr>
        <w:pStyle w:val="ManualNumPar1"/>
        <w:rPr>
          <w:noProof/>
        </w:rPr>
      </w:pPr>
      <w:r w:rsidRPr="007B7EB7">
        <w:t>2.</w:t>
      </w:r>
      <w:r w:rsidRPr="007B7EB7">
        <w:tab/>
      </w:r>
      <w:r w:rsidR="00B76F27" w:rsidRPr="004F6DAA">
        <w:rPr>
          <w:noProof/>
        </w:rPr>
        <w:t>Podmioty handlowe będące MŚP gromadzą</w:t>
      </w:r>
      <w:r w:rsidR="00062BFA" w:rsidRPr="004F6DAA">
        <w:rPr>
          <w:noProof/>
        </w:rPr>
        <w:t xml:space="preserve"> i</w:t>
      </w:r>
      <w:r w:rsidR="00062BFA">
        <w:rPr>
          <w:noProof/>
        </w:rPr>
        <w:t> </w:t>
      </w:r>
      <w:r w:rsidR="00062BFA" w:rsidRPr="004F6DAA">
        <w:rPr>
          <w:noProof/>
        </w:rPr>
        <w:t>prz</w:t>
      </w:r>
      <w:r w:rsidR="00B76F27" w:rsidRPr="004F6DAA">
        <w:rPr>
          <w:noProof/>
        </w:rPr>
        <w:t>echowują następujące informacje dotyczące odnośnych towarów</w:t>
      </w:r>
      <w:r w:rsidR="00062BFA" w:rsidRPr="004F6DAA">
        <w:rPr>
          <w:noProof/>
        </w:rPr>
        <w:t xml:space="preserve"> i</w:t>
      </w:r>
      <w:r w:rsidR="00062BFA">
        <w:rPr>
          <w:noProof/>
        </w:rPr>
        <w:t> </w:t>
      </w:r>
      <w:r w:rsidR="00062BFA" w:rsidRPr="004F6DAA">
        <w:rPr>
          <w:noProof/>
        </w:rPr>
        <w:t>pro</w:t>
      </w:r>
      <w:r w:rsidR="00B76F27" w:rsidRPr="004F6DAA">
        <w:rPr>
          <w:noProof/>
        </w:rPr>
        <w:t>duktów, które chcą udostępnić na rynku:</w:t>
      </w:r>
    </w:p>
    <w:p w14:paraId="68972277" w14:textId="77777777" w:rsidR="00710619" w:rsidRPr="004F6DAA" w:rsidRDefault="00062BFA" w:rsidP="00062BFA">
      <w:pPr>
        <w:pStyle w:val="Point1"/>
        <w:rPr>
          <w:noProof/>
        </w:rPr>
      </w:pPr>
      <w:r w:rsidRPr="00062BFA">
        <w:rPr>
          <w:noProof/>
        </w:rPr>
        <w:t>a)</w:t>
      </w:r>
      <w:r w:rsidRPr="00062BFA">
        <w:rPr>
          <w:noProof/>
        </w:rPr>
        <w:tab/>
      </w:r>
      <w:r w:rsidR="00710619" w:rsidRPr="004F6DAA">
        <w:rPr>
          <w:noProof/>
        </w:rPr>
        <w:t>nazwę, zarejestrowaną nazwę handlową lub zarejestrowany znak towarowy, adres pocztowy, adres e-mail i, jeżeli jest dostępny, adres strony internetowej podmiotów lub podmiotów handlowych, które dostarczyły im odnośne towary</w:t>
      </w:r>
      <w:r w:rsidRPr="004F6DAA">
        <w:rPr>
          <w:noProof/>
        </w:rPr>
        <w:t xml:space="preserve"> i</w:t>
      </w:r>
      <w:r>
        <w:rPr>
          <w:noProof/>
        </w:rPr>
        <w:t> </w:t>
      </w:r>
      <w:r w:rsidRPr="004F6DAA">
        <w:rPr>
          <w:noProof/>
        </w:rPr>
        <w:t>pro</w:t>
      </w:r>
      <w:r w:rsidR="00710619" w:rsidRPr="004F6DAA">
        <w:rPr>
          <w:noProof/>
        </w:rPr>
        <w:t>dukty;</w:t>
      </w:r>
    </w:p>
    <w:p w14:paraId="09121AD5" w14:textId="77777777" w:rsidR="00710619" w:rsidRPr="004F6DAA" w:rsidRDefault="00062BFA" w:rsidP="00062BFA">
      <w:pPr>
        <w:pStyle w:val="Point1"/>
        <w:rPr>
          <w:noProof/>
        </w:rPr>
      </w:pPr>
      <w:r w:rsidRPr="00062BFA">
        <w:rPr>
          <w:noProof/>
        </w:rPr>
        <w:t>b)</w:t>
      </w:r>
      <w:r w:rsidRPr="00062BFA">
        <w:rPr>
          <w:noProof/>
        </w:rPr>
        <w:tab/>
      </w:r>
      <w:r w:rsidR="00710619" w:rsidRPr="004F6DAA">
        <w:rPr>
          <w:noProof/>
        </w:rPr>
        <w:t>nazwę, zarejestrowaną nazwę handlową lub zarejestrowany znak towarowy, adres pocztowy, adres e-mail i, jeżeli jest dostępny, adres strony internetowej podmiotów handlowych, którym dostarczyły one odnośne towary</w:t>
      </w:r>
      <w:r w:rsidRPr="004F6DAA">
        <w:rPr>
          <w:noProof/>
        </w:rPr>
        <w:t xml:space="preserve"> i</w:t>
      </w:r>
      <w:r>
        <w:rPr>
          <w:noProof/>
        </w:rPr>
        <w:t> </w:t>
      </w:r>
      <w:r w:rsidRPr="004F6DAA">
        <w:rPr>
          <w:noProof/>
        </w:rPr>
        <w:t>pro</w:t>
      </w:r>
      <w:r w:rsidR="00710619" w:rsidRPr="004F6DAA">
        <w:rPr>
          <w:noProof/>
        </w:rPr>
        <w:t>dukty.</w:t>
      </w:r>
    </w:p>
    <w:p w14:paraId="169C0A90" w14:textId="77777777" w:rsidR="00B76F27" w:rsidRPr="004F6DAA" w:rsidRDefault="007B7EB7" w:rsidP="007B7EB7">
      <w:pPr>
        <w:pStyle w:val="ManualNumPar1"/>
        <w:rPr>
          <w:noProof/>
          <w:szCs w:val="24"/>
        </w:rPr>
      </w:pPr>
      <w:r w:rsidRPr="007B7EB7">
        <w:t>3.</w:t>
      </w:r>
      <w:r w:rsidRPr="007B7EB7">
        <w:tab/>
      </w:r>
      <w:r w:rsidR="00B76F27" w:rsidRPr="004F6DAA">
        <w:rPr>
          <w:noProof/>
        </w:rPr>
        <w:t>Podmioty handlowe będące MŚP przechowują informacje,</w:t>
      </w:r>
      <w:r w:rsidR="00062BFA" w:rsidRPr="004F6DAA">
        <w:rPr>
          <w:noProof/>
        </w:rPr>
        <w:t xml:space="preserve"> o</w:t>
      </w:r>
      <w:r w:rsidR="00062BFA">
        <w:rPr>
          <w:noProof/>
        </w:rPr>
        <w:t> </w:t>
      </w:r>
      <w:r w:rsidR="00062BFA" w:rsidRPr="004F6DAA">
        <w:rPr>
          <w:noProof/>
        </w:rPr>
        <w:t>któ</w:t>
      </w:r>
      <w:r w:rsidR="00B76F27" w:rsidRPr="004F6DAA">
        <w:rPr>
          <w:noProof/>
        </w:rPr>
        <w:t>rych mowa</w:t>
      </w:r>
      <w:r w:rsidR="00062BFA" w:rsidRPr="004F6DAA">
        <w:rPr>
          <w:noProof/>
        </w:rPr>
        <w:t xml:space="preserve"> w</w:t>
      </w:r>
      <w:r w:rsidR="00062BFA">
        <w:rPr>
          <w:noProof/>
        </w:rPr>
        <w:t> </w:t>
      </w:r>
      <w:r w:rsidR="00062BFA" w:rsidRPr="004F6DAA">
        <w:rPr>
          <w:noProof/>
        </w:rPr>
        <w:t>nin</w:t>
      </w:r>
      <w:r w:rsidR="00B76F27" w:rsidRPr="004F6DAA">
        <w:rPr>
          <w:noProof/>
        </w:rPr>
        <w:t>iejszym artykule, przez co najmniej 5 lat</w:t>
      </w:r>
      <w:r w:rsidR="00062BFA" w:rsidRPr="004F6DAA">
        <w:rPr>
          <w:noProof/>
        </w:rPr>
        <w:t xml:space="preserve"> i</w:t>
      </w:r>
      <w:r w:rsidR="00062BFA">
        <w:rPr>
          <w:noProof/>
        </w:rPr>
        <w:t> </w:t>
      </w:r>
      <w:r w:rsidR="00062BFA" w:rsidRPr="004F6DAA">
        <w:rPr>
          <w:noProof/>
        </w:rPr>
        <w:t>prz</w:t>
      </w:r>
      <w:r w:rsidR="00B76F27" w:rsidRPr="004F6DAA">
        <w:rPr>
          <w:noProof/>
        </w:rPr>
        <w:t>ekazują te informacje właściwym organom na ich wniosek.</w:t>
      </w:r>
    </w:p>
    <w:p w14:paraId="7B4DFE17" w14:textId="77777777" w:rsidR="00B76F27" w:rsidRPr="004F6DAA" w:rsidRDefault="007B7EB7" w:rsidP="007B7EB7">
      <w:pPr>
        <w:pStyle w:val="ManualNumPar1"/>
        <w:rPr>
          <w:noProof/>
        </w:rPr>
      </w:pPr>
      <w:r w:rsidRPr="007B7EB7">
        <w:t>4.</w:t>
      </w:r>
      <w:r w:rsidRPr="007B7EB7">
        <w:tab/>
      </w:r>
      <w:r w:rsidR="00B76F27" w:rsidRPr="004F6DAA">
        <w:rPr>
          <w:noProof/>
        </w:rPr>
        <w:t>Podmioty handlowe będące MŚP, które otrzymały nowe informacje,</w:t>
      </w:r>
      <w:r w:rsidR="00062BFA" w:rsidRPr="004F6DAA">
        <w:rPr>
          <w:noProof/>
        </w:rPr>
        <w:t xml:space="preserve"> w</w:t>
      </w:r>
      <w:r w:rsidR="00062BFA">
        <w:rPr>
          <w:noProof/>
        </w:rPr>
        <w:t> </w:t>
      </w:r>
      <w:r w:rsidR="00062BFA" w:rsidRPr="004F6DAA">
        <w:rPr>
          <w:noProof/>
        </w:rPr>
        <w:t>tym</w:t>
      </w:r>
      <w:r w:rsidR="00B76F27" w:rsidRPr="004F6DAA">
        <w:rPr>
          <w:noProof/>
        </w:rPr>
        <w:t xml:space="preserve"> uzasadnione zastrzeżenia, że odnośny towar lub produkt, który udostępniły już na rynku, nie jest zgodny</w:t>
      </w:r>
      <w:r w:rsidR="00062BFA" w:rsidRPr="004F6DAA">
        <w:rPr>
          <w:noProof/>
        </w:rPr>
        <w:t xml:space="preserve"> z</w:t>
      </w:r>
      <w:r w:rsidR="00062BFA">
        <w:rPr>
          <w:noProof/>
        </w:rPr>
        <w:t> </w:t>
      </w:r>
      <w:r w:rsidR="00062BFA" w:rsidRPr="004F6DAA">
        <w:rPr>
          <w:noProof/>
        </w:rPr>
        <w:t>wym</w:t>
      </w:r>
      <w:r w:rsidR="00B76F27" w:rsidRPr="004F6DAA">
        <w:rPr>
          <w:noProof/>
        </w:rPr>
        <w:t>ogami wynikającymi</w:t>
      </w:r>
      <w:r w:rsidR="00062BFA" w:rsidRPr="004F6DAA">
        <w:rPr>
          <w:noProof/>
        </w:rPr>
        <w:t xml:space="preserve"> z</w:t>
      </w:r>
      <w:r w:rsidR="00062BFA">
        <w:rPr>
          <w:noProof/>
        </w:rPr>
        <w:t> </w:t>
      </w:r>
      <w:r w:rsidR="00062BFA" w:rsidRPr="004F6DAA">
        <w:rPr>
          <w:noProof/>
        </w:rPr>
        <w:t>nin</w:t>
      </w:r>
      <w:r w:rsidR="00B76F27" w:rsidRPr="004F6DAA">
        <w:rPr>
          <w:noProof/>
        </w:rPr>
        <w:t>iejszego rozporządzenia, niezwłocznie informują</w:t>
      </w:r>
      <w:r w:rsidR="00062BFA" w:rsidRPr="004F6DAA">
        <w:rPr>
          <w:noProof/>
        </w:rPr>
        <w:t xml:space="preserve"> o</w:t>
      </w:r>
      <w:r w:rsidR="00062BFA">
        <w:rPr>
          <w:noProof/>
        </w:rPr>
        <w:t> </w:t>
      </w:r>
      <w:r w:rsidR="00062BFA" w:rsidRPr="004F6DAA">
        <w:rPr>
          <w:noProof/>
        </w:rPr>
        <w:t>tym</w:t>
      </w:r>
      <w:r w:rsidR="00B76F27" w:rsidRPr="004F6DAA">
        <w:rPr>
          <w:noProof/>
        </w:rPr>
        <w:t xml:space="preserve"> właściwe organy państw członkowskich,</w:t>
      </w:r>
      <w:r w:rsidR="00062BFA" w:rsidRPr="004F6DAA">
        <w:rPr>
          <w:noProof/>
        </w:rPr>
        <w:t xml:space="preserve"> w</w:t>
      </w:r>
      <w:r w:rsidR="00062BFA">
        <w:rPr>
          <w:noProof/>
        </w:rPr>
        <w:t> </w:t>
      </w:r>
      <w:r w:rsidR="00062BFA" w:rsidRPr="004F6DAA">
        <w:rPr>
          <w:noProof/>
        </w:rPr>
        <w:t>któ</w:t>
      </w:r>
      <w:r w:rsidR="00B76F27" w:rsidRPr="004F6DAA">
        <w:rPr>
          <w:noProof/>
        </w:rPr>
        <w:t>rych udostępniły odnośny towar lub produkt na rynku.</w:t>
      </w:r>
    </w:p>
    <w:p w14:paraId="7A19B901" w14:textId="77777777" w:rsidR="00B76F27" w:rsidRPr="004F6DAA" w:rsidRDefault="007B7EB7" w:rsidP="007B7EB7">
      <w:pPr>
        <w:pStyle w:val="ManualNumPar1"/>
        <w:rPr>
          <w:noProof/>
        </w:rPr>
      </w:pPr>
      <w:r w:rsidRPr="007B7EB7">
        <w:t>5.</w:t>
      </w:r>
      <w:r w:rsidRPr="007B7EB7">
        <w:tab/>
      </w:r>
      <w:r w:rsidR="00B76F27" w:rsidRPr="004F6DAA">
        <w:rPr>
          <w:noProof/>
        </w:rPr>
        <w:t>Podmioty handlowe niebędące MŚP uznaje się za podmioty</w:t>
      </w:r>
      <w:r w:rsidR="00062BFA" w:rsidRPr="004F6DAA">
        <w:rPr>
          <w:noProof/>
        </w:rPr>
        <w:t xml:space="preserve"> i</w:t>
      </w:r>
      <w:r w:rsidR="00062BFA">
        <w:rPr>
          <w:noProof/>
        </w:rPr>
        <w:t> </w:t>
      </w:r>
      <w:r w:rsidR="00062BFA" w:rsidRPr="004F6DAA">
        <w:rPr>
          <w:noProof/>
        </w:rPr>
        <w:t>pod</w:t>
      </w:r>
      <w:r w:rsidR="00B76F27" w:rsidRPr="004F6DAA">
        <w:rPr>
          <w:noProof/>
        </w:rPr>
        <w:t>legają one obowiązkom</w:t>
      </w:r>
      <w:r w:rsidR="00062BFA" w:rsidRPr="004F6DAA">
        <w:rPr>
          <w:noProof/>
        </w:rPr>
        <w:t xml:space="preserve"> i</w:t>
      </w:r>
      <w:r w:rsidR="00062BFA">
        <w:rPr>
          <w:noProof/>
        </w:rPr>
        <w:t> </w:t>
      </w:r>
      <w:r w:rsidR="00062BFA" w:rsidRPr="004F6DAA">
        <w:rPr>
          <w:noProof/>
        </w:rPr>
        <w:t>prz</w:t>
      </w:r>
      <w:r w:rsidR="00B76F27" w:rsidRPr="004F6DAA">
        <w:rPr>
          <w:noProof/>
        </w:rPr>
        <w:t>episom określonym</w:t>
      </w:r>
      <w:r w:rsidR="00062BFA" w:rsidRPr="004F6DAA">
        <w:rPr>
          <w:noProof/>
        </w:rPr>
        <w:t xml:space="preserve"> w</w:t>
      </w:r>
      <w:r w:rsidR="00062BFA">
        <w:rPr>
          <w:noProof/>
        </w:rPr>
        <w:t> </w:t>
      </w:r>
      <w:r w:rsidR="00062BFA" w:rsidRPr="00062BFA">
        <w:rPr>
          <w:noProof/>
        </w:rPr>
        <w:t>art</w:t>
      </w:r>
      <w:r w:rsidR="00B76F27" w:rsidRPr="00062BFA">
        <w:rPr>
          <w:noProof/>
        </w:rPr>
        <w:t>.</w:t>
      </w:r>
      <w:r w:rsidR="00062BFA" w:rsidRPr="00062BFA">
        <w:rPr>
          <w:noProof/>
        </w:rPr>
        <w:t> </w:t>
      </w:r>
      <w:r w:rsidR="00B76F27" w:rsidRPr="00062BFA">
        <w:rPr>
          <w:noProof/>
        </w:rPr>
        <w:t>3</w:t>
      </w:r>
      <w:r w:rsidR="00B76F27" w:rsidRPr="004F6DAA">
        <w:rPr>
          <w:noProof/>
        </w:rPr>
        <w:t xml:space="preserve">, 4, 5, 8–12, </w:t>
      </w:r>
      <w:r w:rsidR="00B76F27" w:rsidRPr="00062BFA">
        <w:rPr>
          <w:noProof/>
        </w:rPr>
        <w:t>art.</w:t>
      </w:r>
      <w:r w:rsidR="00062BFA" w:rsidRPr="00062BFA">
        <w:rPr>
          <w:noProof/>
        </w:rPr>
        <w:t> </w:t>
      </w:r>
      <w:r w:rsidR="00B76F27" w:rsidRPr="00062BFA">
        <w:rPr>
          <w:noProof/>
        </w:rPr>
        <w:t>1</w:t>
      </w:r>
      <w:r w:rsidR="00B76F27" w:rsidRPr="004F6DAA">
        <w:rPr>
          <w:noProof/>
        </w:rPr>
        <w:t xml:space="preserve">4 </w:t>
      </w:r>
      <w:r w:rsidR="00B76F27" w:rsidRPr="00062BFA">
        <w:rPr>
          <w:noProof/>
        </w:rPr>
        <w:t>ust.</w:t>
      </w:r>
      <w:r w:rsidR="00062BFA" w:rsidRPr="00062BFA">
        <w:rPr>
          <w:noProof/>
        </w:rPr>
        <w:t> </w:t>
      </w:r>
      <w:r w:rsidR="00B76F27" w:rsidRPr="00062BFA">
        <w:rPr>
          <w:noProof/>
        </w:rPr>
        <w:t>9</w:t>
      </w:r>
      <w:r w:rsidR="00B76F27" w:rsidRPr="004F6DAA">
        <w:rPr>
          <w:noProof/>
        </w:rPr>
        <w:t xml:space="preserve">, </w:t>
      </w:r>
      <w:r w:rsidR="00B76F27" w:rsidRPr="00062BFA">
        <w:rPr>
          <w:noProof/>
        </w:rPr>
        <w:t>art.</w:t>
      </w:r>
      <w:r w:rsidR="00062BFA" w:rsidRPr="00062BFA">
        <w:rPr>
          <w:noProof/>
        </w:rPr>
        <w:t> </w:t>
      </w:r>
      <w:r w:rsidR="00B76F27" w:rsidRPr="00062BFA">
        <w:rPr>
          <w:noProof/>
        </w:rPr>
        <w:t>1</w:t>
      </w:r>
      <w:r w:rsidR="00B76F27" w:rsidRPr="004F6DAA">
        <w:rPr>
          <w:noProof/>
        </w:rPr>
        <w:t>5</w:t>
      </w:r>
      <w:r w:rsidR="00062BFA" w:rsidRPr="004F6DAA">
        <w:rPr>
          <w:noProof/>
        </w:rPr>
        <w:t xml:space="preserve"> i</w:t>
      </w:r>
      <w:r w:rsidR="00062BFA">
        <w:rPr>
          <w:noProof/>
        </w:rPr>
        <w:t> </w:t>
      </w:r>
      <w:r w:rsidR="00062BFA" w:rsidRPr="004F6DAA">
        <w:rPr>
          <w:noProof/>
        </w:rPr>
        <w:t>2</w:t>
      </w:r>
      <w:r w:rsidR="00B76F27" w:rsidRPr="004F6DAA">
        <w:rPr>
          <w:noProof/>
        </w:rPr>
        <w:t>0 niniejszego rozporządzenia</w:t>
      </w:r>
      <w:r w:rsidR="00062BFA" w:rsidRPr="004F6DAA">
        <w:rPr>
          <w:noProof/>
        </w:rPr>
        <w:t xml:space="preserve"> w</w:t>
      </w:r>
      <w:r w:rsidR="00062BFA">
        <w:rPr>
          <w:noProof/>
        </w:rPr>
        <w:t> </w:t>
      </w:r>
      <w:r w:rsidR="00062BFA" w:rsidRPr="004F6DAA">
        <w:rPr>
          <w:noProof/>
        </w:rPr>
        <w:t>odn</w:t>
      </w:r>
      <w:r w:rsidR="00B76F27" w:rsidRPr="004F6DAA">
        <w:rPr>
          <w:noProof/>
        </w:rPr>
        <w:t>iesieniu do odnośnych towarów</w:t>
      </w:r>
      <w:r w:rsidR="00062BFA" w:rsidRPr="004F6DAA">
        <w:rPr>
          <w:noProof/>
        </w:rPr>
        <w:t xml:space="preserve"> i</w:t>
      </w:r>
      <w:r w:rsidR="00062BFA">
        <w:rPr>
          <w:noProof/>
        </w:rPr>
        <w:t> </w:t>
      </w:r>
      <w:r w:rsidR="00062BFA" w:rsidRPr="004F6DAA">
        <w:rPr>
          <w:noProof/>
        </w:rPr>
        <w:t>pro</w:t>
      </w:r>
      <w:r w:rsidR="00B76F27" w:rsidRPr="004F6DAA">
        <w:rPr>
          <w:noProof/>
        </w:rPr>
        <w:t>duktów, które udostępniają na rynku unijnym.</w:t>
      </w:r>
    </w:p>
    <w:p w14:paraId="47DB56EB" w14:textId="77777777" w:rsidR="00B76F27" w:rsidRPr="004F6DAA" w:rsidRDefault="007B7EB7" w:rsidP="007B7EB7">
      <w:pPr>
        <w:pStyle w:val="ManualNumPar1"/>
        <w:rPr>
          <w:noProof/>
        </w:rPr>
      </w:pPr>
      <w:r w:rsidRPr="007B7EB7">
        <w:t>6.</w:t>
      </w:r>
      <w:r w:rsidRPr="007B7EB7">
        <w:tab/>
      </w:r>
      <w:r w:rsidR="00B76F27" w:rsidRPr="004F6DAA">
        <w:rPr>
          <w:noProof/>
        </w:rPr>
        <w:t xml:space="preserve">Podmioty handlowe udzielają wszelkiej pomocy koniecznej do ułatwienia właściwym organom przeprowadzenia kontroli na podstawie </w:t>
      </w:r>
      <w:r w:rsidR="00B76F27" w:rsidRPr="00062BFA">
        <w:rPr>
          <w:noProof/>
        </w:rPr>
        <w:t>art.</w:t>
      </w:r>
      <w:r w:rsidR="00062BFA" w:rsidRPr="00062BFA">
        <w:rPr>
          <w:noProof/>
        </w:rPr>
        <w:t> </w:t>
      </w:r>
      <w:r w:rsidR="00B76F27" w:rsidRPr="00062BFA">
        <w:rPr>
          <w:noProof/>
        </w:rPr>
        <w:t>1</w:t>
      </w:r>
      <w:r w:rsidR="00B76F27" w:rsidRPr="004F6DAA">
        <w:rPr>
          <w:noProof/>
        </w:rPr>
        <w:t>6,</w:t>
      </w:r>
      <w:r w:rsidR="00062BFA" w:rsidRPr="004F6DAA">
        <w:rPr>
          <w:noProof/>
        </w:rPr>
        <w:t xml:space="preserve"> w</w:t>
      </w:r>
      <w:r w:rsidR="00062BFA">
        <w:rPr>
          <w:noProof/>
        </w:rPr>
        <w:t> </w:t>
      </w:r>
      <w:r w:rsidR="00062BFA" w:rsidRPr="004F6DAA">
        <w:rPr>
          <w:noProof/>
        </w:rPr>
        <w:t>tym w</w:t>
      </w:r>
      <w:r w:rsidR="00062BFA">
        <w:rPr>
          <w:noProof/>
        </w:rPr>
        <w:t> </w:t>
      </w:r>
      <w:r w:rsidR="00062BFA" w:rsidRPr="004F6DAA">
        <w:rPr>
          <w:noProof/>
        </w:rPr>
        <w:t>zak</w:t>
      </w:r>
      <w:r w:rsidR="00B76F27" w:rsidRPr="004F6DAA">
        <w:rPr>
          <w:noProof/>
        </w:rPr>
        <w:t>resie dostępu do budynków</w:t>
      </w:r>
      <w:r w:rsidR="00062BFA" w:rsidRPr="004F6DAA">
        <w:rPr>
          <w:noProof/>
        </w:rPr>
        <w:t xml:space="preserve"> i</w:t>
      </w:r>
      <w:r w:rsidR="00062BFA">
        <w:rPr>
          <w:noProof/>
        </w:rPr>
        <w:t> </w:t>
      </w:r>
      <w:r w:rsidR="00062BFA" w:rsidRPr="004F6DAA">
        <w:rPr>
          <w:noProof/>
        </w:rPr>
        <w:t>prz</w:t>
      </w:r>
      <w:r w:rsidR="00B76F27" w:rsidRPr="004F6DAA">
        <w:rPr>
          <w:noProof/>
        </w:rPr>
        <w:t>edstawiania dokumentacji lub zapisów.</w:t>
      </w:r>
    </w:p>
    <w:p w14:paraId="44A26371" w14:textId="77777777" w:rsidR="00F46E90" w:rsidRPr="004F6DAA" w:rsidRDefault="004E30E9" w:rsidP="00D51C83">
      <w:pPr>
        <w:pStyle w:val="Titrearticle"/>
        <w:rPr>
          <w:noProof/>
        </w:rPr>
      </w:pPr>
      <w:r w:rsidRPr="004F6DAA">
        <w:rPr>
          <w:noProof/>
        </w:rPr>
        <w:t>Artykuł 7</w:t>
      </w:r>
    </w:p>
    <w:p w14:paraId="24CDB95F" w14:textId="77777777" w:rsidR="004E30E9" w:rsidRPr="004F6DAA" w:rsidRDefault="00D51C83" w:rsidP="00F46E90">
      <w:pPr>
        <w:pStyle w:val="Sous-titreobjet"/>
        <w:rPr>
          <w:noProof/>
        </w:rPr>
      </w:pPr>
      <w:r w:rsidRPr="004F6DAA">
        <w:rPr>
          <w:noProof/>
        </w:rPr>
        <w:t>Wprowadzanie do obrotu przez podmioty, które mają siedzibę</w:t>
      </w:r>
      <w:r w:rsidR="00062BFA" w:rsidRPr="004F6DAA">
        <w:rPr>
          <w:noProof/>
        </w:rPr>
        <w:t xml:space="preserve"> w</w:t>
      </w:r>
      <w:r w:rsidR="00062BFA">
        <w:rPr>
          <w:noProof/>
        </w:rPr>
        <w:t> </w:t>
      </w:r>
      <w:r w:rsidR="00062BFA" w:rsidRPr="004F6DAA">
        <w:rPr>
          <w:noProof/>
        </w:rPr>
        <w:t>pań</w:t>
      </w:r>
      <w:r w:rsidRPr="004F6DAA">
        <w:rPr>
          <w:noProof/>
        </w:rPr>
        <w:t>stwach trzecich</w:t>
      </w:r>
    </w:p>
    <w:p w14:paraId="034D4AC1" w14:textId="77777777" w:rsidR="00D51C83" w:rsidRPr="004F6DAA" w:rsidRDefault="00D51C83" w:rsidP="00D51C83">
      <w:pPr>
        <w:rPr>
          <w:noProof/>
        </w:rPr>
      </w:pPr>
      <w:r w:rsidRPr="004F6DAA">
        <w:rPr>
          <w:noProof/>
        </w:rPr>
        <w:t>W przypadku gdy osoba fizyczna lub prawna, która ma siedzibę poza Unią, wprowadzi odnośne towary</w:t>
      </w:r>
      <w:r w:rsidR="00062BFA" w:rsidRPr="004F6DAA">
        <w:rPr>
          <w:noProof/>
        </w:rPr>
        <w:t xml:space="preserve"> i</w:t>
      </w:r>
      <w:r w:rsidR="00062BFA">
        <w:rPr>
          <w:noProof/>
        </w:rPr>
        <w:t> </w:t>
      </w:r>
      <w:r w:rsidR="00062BFA" w:rsidRPr="004F6DAA">
        <w:rPr>
          <w:noProof/>
        </w:rPr>
        <w:t>pro</w:t>
      </w:r>
      <w:r w:rsidRPr="004F6DAA">
        <w:rPr>
          <w:noProof/>
        </w:rPr>
        <w:t>dukty do obrotu</w:t>
      </w:r>
      <w:r w:rsidR="00062BFA" w:rsidRPr="004F6DAA">
        <w:rPr>
          <w:noProof/>
        </w:rPr>
        <w:t xml:space="preserve"> w</w:t>
      </w:r>
      <w:r w:rsidR="00062BFA">
        <w:rPr>
          <w:noProof/>
        </w:rPr>
        <w:t> </w:t>
      </w:r>
      <w:r w:rsidR="00062BFA" w:rsidRPr="004F6DAA">
        <w:rPr>
          <w:noProof/>
        </w:rPr>
        <w:t>Uni</w:t>
      </w:r>
      <w:r w:rsidRPr="004F6DAA">
        <w:rPr>
          <w:noProof/>
        </w:rPr>
        <w:t>i, pierwszą osobę fizyczną lub prawną mającą siedzibę</w:t>
      </w:r>
      <w:r w:rsidR="00062BFA" w:rsidRPr="004F6DAA">
        <w:rPr>
          <w:noProof/>
        </w:rPr>
        <w:t xml:space="preserve"> w</w:t>
      </w:r>
      <w:r w:rsidR="00062BFA">
        <w:rPr>
          <w:noProof/>
        </w:rPr>
        <w:t> </w:t>
      </w:r>
      <w:r w:rsidR="00062BFA" w:rsidRPr="004F6DAA">
        <w:rPr>
          <w:noProof/>
        </w:rPr>
        <w:t>Uni</w:t>
      </w:r>
      <w:r w:rsidRPr="004F6DAA">
        <w:rPr>
          <w:noProof/>
        </w:rPr>
        <w:t>i, która nabędzie lub obejmie</w:t>
      </w:r>
      <w:r w:rsidR="00062BFA" w:rsidRPr="004F6DAA">
        <w:rPr>
          <w:noProof/>
        </w:rPr>
        <w:t xml:space="preserve"> w</w:t>
      </w:r>
      <w:r w:rsidR="00062BFA">
        <w:rPr>
          <w:noProof/>
        </w:rPr>
        <w:t> </w:t>
      </w:r>
      <w:r w:rsidR="00062BFA" w:rsidRPr="004F6DAA">
        <w:rPr>
          <w:noProof/>
        </w:rPr>
        <w:t>pos</w:t>
      </w:r>
      <w:r w:rsidRPr="004F6DAA">
        <w:rPr>
          <w:noProof/>
        </w:rPr>
        <w:t>iadanie takie odnośne towary</w:t>
      </w:r>
      <w:r w:rsidR="00062BFA" w:rsidRPr="004F6DAA">
        <w:rPr>
          <w:noProof/>
        </w:rPr>
        <w:t xml:space="preserve"> i</w:t>
      </w:r>
      <w:r w:rsidR="00062BFA">
        <w:rPr>
          <w:noProof/>
        </w:rPr>
        <w:t> </w:t>
      </w:r>
      <w:r w:rsidR="00062BFA" w:rsidRPr="004F6DAA">
        <w:rPr>
          <w:noProof/>
        </w:rPr>
        <w:t>pro</w:t>
      </w:r>
      <w:r w:rsidRPr="004F6DAA">
        <w:rPr>
          <w:noProof/>
        </w:rPr>
        <w:t>dukty, uznaje się za podmiot</w:t>
      </w:r>
      <w:r w:rsidR="00062BFA" w:rsidRPr="004F6DAA">
        <w:rPr>
          <w:noProof/>
        </w:rPr>
        <w:t xml:space="preserve"> w</w:t>
      </w:r>
      <w:r w:rsidR="00062BFA">
        <w:rPr>
          <w:noProof/>
        </w:rPr>
        <w:t> </w:t>
      </w:r>
      <w:r w:rsidR="00062BFA" w:rsidRPr="004F6DAA">
        <w:rPr>
          <w:noProof/>
        </w:rPr>
        <w:t>zna</w:t>
      </w:r>
      <w:r w:rsidRPr="004F6DAA">
        <w:rPr>
          <w:noProof/>
        </w:rPr>
        <w:t>czeniu niniejszego rozporządzenia.</w:t>
      </w:r>
    </w:p>
    <w:p w14:paraId="47398E67" w14:textId="77777777" w:rsidR="00F46E90" w:rsidRPr="004F6DAA" w:rsidRDefault="004E30E9" w:rsidP="001F6CED">
      <w:pPr>
        <w:pStyle w:val="Titrearticle"/>
        <w:rPr>
          <w:noProof/>
        </w:rPr>
      </w:pPr>
      <w:r w:rsidRPr="004F6DAA">
        <w:rPr>
          <w:noProof/>
        </w:rPr>
        <w:t>Artykuł 8</w:t>
      </w:r>
    </w:p>
    <w:p w14:paraId="0618D96B" w14:textId="77777777" w:rsidR="004E30E9" w:rsidRPr="004F6DAA" w:rsidRDefault="004E30E9" w:rsidP="00F46E90">
      <w:pPr>
        <w:pStyle w:val="Sous-titreobjet"/>
        <w:rPr>
          <w:noProof/>
        </w:rPr>
      </w:pPr>
      <w:r w:rsidRPr="004F6DAA">
        <w:rPr>
          <w:noProof/>
        </w:rPr>
        <w:t>Należyta staranność</w:t>
      </w:r>
    </w:p>
    <w:p w14:paraId="025999BE" w14:textId="77777777" w:rsidR="004E30E9" w:rsidRPr="004F6DAA" w:rsidRDefault="007B7EB7" w:rsidP="007B7EB7">
      <w:pPr>
        <w:pStyle w:val="ManualNumPar1"/>
        <w:rPr>
          <w:noProof/>
        </w:rPr>
      </w:pPr>
      <w:r w:rsidRPr="007B7EB7">
        <w:t>1.</w:t>
      </w:r>
      <w:r w:rsidRPr="007B7EB7">
        <w:tab/>
      </w:r>
      <w:r w:rsidR="001F6CED" w:rsidRPr="004F6DAA">
        <w:rPr>
          <w:noProof/>
        </w:rPr>
        <w:t>Przed wprowadzeniem odnośnych towarów</w:t>
      </w:r>
      <w:r w:rsidR="00062BFA" w:rsidRPr="004F6DAA">
        <w:rPr>
          <w:noProof/>
        </w:rPr>
        <w:t xml:space="preserve"> i</w:t>
      </w:r>
      <w:r w:rsidR="00062BFA">
        <w:rPr>
          <w:noProof/>
        </w:rPr>
        <w:t> </w:t>
      </w:r>
      <w:r w:rsidR="00062BFA" w:rsidRPr="004F6DAA">
        <w:rPr>
          <w:noProof/>
        </w:rPr>
        <w:t>pro</w:t>
      </w:r>
      <w:r w:rsidR="001F6CED" w:rsidRPr="004F6DAA">
        <w:rPr>
          <w:noProof/>
        </w:rPr>
        <w:t>duktów do obrotu lub przed ich wywozem podmioty zachowują należytą staranność względem wszystkich odnośnych towarów</w:t>
      </w:r>
      <w:r w:rsidR="00062BFA" w:rsidRPr="004F6DAA">
        <w:rPr>
          <w:noProof/>
        </w:rPr>
        <w:t xml:space="preserve"> i</w:t>
      </w:r>
      <w:r w:rsidR="00062BFA">
        <w:rPr>
          <w:noProof/>
        </w:rPr>
        <w:t> </w:t>
      </w:r>
      <w:r w:rsidR="00062BFA" w:rsidRPr="004F6DAA">
        <w:rPr>
          <w:noProof/>
        </w:rPr>
        <w:t>pro</w:t>
      </w:r>
      <w:r w:rsidR="001F6CED" w:rsidRPr="004F6DAA">
        <w:rPr>
          <w:noProof/>
        </w:rPr>
        <w:t>duktów dostarczanych przez każdego konkretnego dostawcę.</w:t>
      </w:r>
    </w:p>
    <w:p w14:paraId="426BC685" w14:textId="77777777" w:rsidR="004E30E9" w:rsidRPr="004F6DAA" w:rsidRDefault="007B7EB7" w:rsidP="007B7EB7">
      <w:pPr>
        <w:pStyle w:val="ManualNumPar1"/>
        <w:rPr>
          <w:noProof/>
        </w:rPr>
      </w:pPr>
      <w:r w:rsidRPr="007B7EB7">
        <w:t>2.</w:t>
      </w:r>
      <w:r w:rsidRPr="007B7EB7">
        <w:tab/>
      </w:r>
      <w:r w:rsidR="00BD6C50" w:rsidRPr="004F6DAA">
        <w:rPr>
          <w:noProof/>
        </w:rPr>
        <w:t>Do celów niniejszego rozporządzenia należyta staranność obejmuje:</w:t>
      </w:r>
    </w:p>
    <w:p w14:paraId="3BABB483" w14:textId="77777777" w:rsidR="004E30E9" w:rsidRPr="004F6DAA" w:rsidRDefault="00062BFA" w:rsidP="00062BFA">
      <w:pPr>
        <w:pStyle w:val="Point1"/>
        <w:rPr>
          <w:noProof/>
        </w:rPr>
      </w:pPr>
      <w:r w:rsidRPr="00062BFA">
        <w:rPr>
          <w:noProof/>
        </w:rPr>
        <w:t>a)</w:t>
      </w:r>
      <w:r w:rsidRPr="00062BFA">
        <w:rPr>
          <w:noProof/>
        </w:rPr>
        <w:tab/>
      </w:r>
      <w:r w:rsidR="00BD6C50" w:rsidRPr="004F6DAA">
        <w:rPr>
          <w:noProof/>
        </w:rPr>
        <w:t>gromadzenie informacji</w:t>
      </w:r>
      <w:r w:rsidRPr="004F6DAA">
        <w:rPr>
          <w:noProof/>
        </w:rPr>
        <w:t xml:space="preserve"> i</w:t>
      </w:r>
      <w:r>
        <w:rPr>
          <w:noProof/>
        </w:rPr>
        <w:t> </w:t>
      </w:r>
      <w:r w:rsidRPr="004F6DAA">
        <w:rPr>
          <w:noProof/>
        </w:rPr>
        <w:t>dok</w:t>
      </w:r>
      <w:r w:rsidR="00BD6C50" w:rsidRPr="004F6DAA">
        <w:rPr>
          <w:noProof/>
        </w:rPr>
        <w:t>umentów koniecznych do spełnienia wymogów określonych</w:t>
      </w:r>
      <w:r w:rsidRPr="004F6DAA">
        <w:rPr>
          <w:noProof/>
        </w:rPr>
        <w:t xml:space="preserve"> w</w:t>
      </w:r>
      <w:r>
        <w:rPr>
          <w:noProof/>
        </w:rPr>
        <w:t> </w:t>
      </w:r>
      <w:r w:rsidRPr="00062BFA">
        <w:rPr>
          <w:noProof/>
        </w:rPr>
        <w:t>art</w:t>
      </w:r>
      <w:r w:rsidR="00BD6C50" w:rsidRPr="00062BFA">
        <w:rPr>
          <w:noProof/>
        </w:rPr>
        <w:t>.</w:t>
      </w:r>
      <w:r w:rsidRPr="00062BFA">
        <w:rPr>
          <w:noProof/>
        </w:rPr>
        <w:t> </w:t>
      </w:r>
      <w:r w:rsidR="00BD6C50" w:rsidRPr="00062BFA">
        <w:rPr>
          <w:noProof/>
        </w:rPr>
        <w:t>9</w:t>
      </w:r>
      <w:r w:rsidR="00BD6C50" w:rsidRPr="004F6DAA">
        <w:rPr>
          <w:noProof/>
        </w:rPr>
        <w:t>;</w:t>
      </w:r>
    </w:p>
    <w:p w14:paraId="4538C80D" w14:textId="77777777" w:rsidR="004E30E9" w:rsidRPr="004F6DAA" w:rsidRDefault="00062BFA" w:rsidP="00062BFA">
      <w:pPr>
        <w:pStyle w:val="Point1"/>
        <w:rPr>
          <w:noProof/>
        </w:rPr>
      </w:pPr>
      <w:r w:rsidRPr="00062BFA">
        <w:rPr>
          <w:noProof/>
        </w:rPr>
        <w:t>b)</w:t>
      </w:r>
      <w:r w:rsidRPr="00062BFA">
        <w:rPr>
          <w:noProof/>
        </w:rPr>
        <w:tab/>
      </w:r>
      <w:r w:rsidR="00BD6C50" w:rsidRPr="004F6DAA">
        <w:rPr>
          <w:noProof/>
        </w:rPr>
        <w:t>środki oceny ryzyka,</w:t>
      </w:r>
      <w:r w:rsidRPr="004F6DAA">
        <w:rPr>
          <w:noProof/>
        </w:rPr>
        <w:t xml:space="preserve"> o</w:t>
      </w:r>
      <w:r>
        <w:rPr>
          <w:noProof/>
        </w:rPr>
        <w:t> </w:t>
      </w:r>
      <w:r w:rsidRPr="004F6DAA">
        <w:rPr>
          <w:noProof/>
        </w:rPr>
        <w:t>któ</w:t>
      </w:r>
      <w:r w:rsidR="00BD6C50" w:rsidRPr="004F6DAA">
        <w:rPr>
          <w:noProof/>
        </w:rPr>
        <w:t>rych mowa</w:t>
      </w:r>
      <w:r w:rsidRPr="004F6DAA">
        <w:rPr>
          <w:noProof/>
        </w:rPr>
        <w:t xml:space="preserve"> w</w:t>
      </w:r>
      <w:r>
        <w:rPr>
          <w:noProof/>
        </w:rPr>
        <w:t> </w:t>
      </w:r>
      <w:r w:rsidRPr="00062BFA">
        <w:rPr>
          <w:noProof/>
        </w:rPr>
        <w:t>art</w:t>
      </w:r>
      <w:r w:rsidR="00BD6C50" w:rsidRPr="00062BFA">
        <w:rPr>
          <w:noProof/>
        </w:rPr>
        <w:t>.</w:t>
      </w:r>
      <w:r w:rsidRPr="00062BFA">
        <w:rPr>
          <w:noProof/>
        </w:rPr>
        <w:t> </w:t>
      </w:r>
      <w:r w:rsidR="00BD6C50" w:rsidRPr="00062BFA">
        <w:rPr>
          <w:noProof/>
        </w:rPr>
        <w:t>1</w:t>
      </w:r>
      <w:r w:rsidR="00BD6C50" w:rsidRPr="004F6DAA">
        <w:rPr>
          <w:noProof/>
        </w:rPr>
        <w:t>0;</w:t>
      </w:r>
    </w:p>
    <w:p w14:paraId="2E5F78FC" w14:textId="77777777" w:rsidR="004E30E9" w:rsidRPr="004F6DAA" w:rsidRDefault="00062BFA" w:rsidP="00062BFA">
      <w:pPr>
        <w:pStyle w:val="Point1"/>
        <w:rPr>
          <w:noProof/>
        </w:rPr>
      </w:pPr>
      <w:r w:rsidRPr="00062BFA">
        <w:rPr>
          <w:noProof/>
        </w:rPr>
        <w:t>c)</w:t>
      </w:r>
      <w:r w:rsidRPr="00062BFA">
        <w:rPr>
          <w:noProof/>
        </w:rPr>
        <w:tab/>
      </w:r>
      <w:r w:rsidR="00BD6C50" w:rsidRPr="004F6DAA">
        <w:rPr>
          <w:noProof/>
        </w:rPr>
        <w:t>środki zmniejszające ryzyko,</w:t>
      </w:r>
      <w:r w:rsidRPr="004F6DAA">
        <w:rPr>
          <w:noProof/>
        </w:rPr>
        <w:t xml:space="preserve"> o</w:t>
      </w:r>
      <w:r>
        <w:rPr>
          <w:noProof/>
        </w:rPr>
        <w:t> </w:t>
      </w:r>
      <w:r w:rsidRPr="004F6DAA">
        <w:rPr>
          <w:noProof/>
        </w:rPr>
        <w:t>któ</w:t>
      </w:r>
      <w:r w:rsidR="00BD6C50" w:rsidRPr="004F6DAA">
        <w:rPr>
          <w:noProof/>
        </w:rPr>
        <w:t>rych mowa</w:t>
      </w:r>
      <w:r w:rsidRPr="004F6DAA">
        <w:rPr>
          <w:noProof/>
        </w:rPr>
        <w:t xml:space="preserve"> w</w:t>
      </w:r>
      <w:r>
        <w:rPr>
          <w:noProof/>
        </w:rPr>
        <w:t> </w:t>
      </w:r>
      <w:r w:rsidRPr="00062BFA">
        <w:rPr>
          <w:noProof/>
        </w:rPr>
        <w:t>art</w:t>
      </w:r>
      <w:r w:rsidR="00BD6C50" w:rsidRPr="00062BFA">
        <w:rPr>
          <w:noProof/>
        </w:rPr>
        <w:t>.</w:t>
      </w:r>
      <w:r w:rsidRPr="00062BFA">
        <w:rPr>
          <w:noProof/>
        </w:rPr>
        <w:t> </w:t>
      </w:r>
      <w:r w:rsidR="00BD6C50" w:rsidRPr="00062BFA">
        <w:rPr>
          <w:noProof/>
        </w:rPr>
        <w:t>1</w:t>
      </w:r>
      <w:r w:rsidR="00BD6C50" w:rsidRPr="004F6DAA">
        <w:rPr>
          <w:noProof/>
        </w:rPr>
        <w:t>0.</w:t>
      </w:r>
    </w:p>
    <w:p w14:paraId="1FB1225B" w14:textId="77777777" w:rsidR="00F46E90" w:rsidRPr="004F6DAA" w:rsidRDefault="004E30E9" w:rsidP="004E30E9">
      <w:pPr>
        <w:pStyle w:val="Titrearticle"/>
        <w:rPr>
          <w:noProof/>
        </w:rPr>
      </w:pPr>
      <w:r w:rsidRPr="004F6DAA">
        <w:rPr>
          <w:noProof/>
        </w:rPr>
        <w:t>Artykuł 9</w:t>
      </w:r>
    </w:p>
    <w:p w14:paraId="697FC97C" w14:textId="77777777" w:rsidR="004E30E9" w:rsidRPr="004F6DAA" w:rsidRDefault="004E30E9" w:rsidP="00F46E90">
      <w:pPr>
        <w:pStyle w:val="Sous-titreobjet"/>
        <w:rPr>
          <w:noProof/>
        </w:rPr>
      </w:pPr>
      <w:r w:rsidRPr="004F6DAA">
        <w:rPr>
          <w:noProof/>
        </w:rPr>
        <w:t xml:space="preserve">Wymogi informacyjne </w:t>
      </w:r>
    </w:p>
    <w:p w14:paraId="66617E60" w14:textId="77777777" w:rsidR="009C6FE9" w:rsidRPr="004F6DAA" w:rsidRDefault="007B7EB7" w:rsidP="007B7EB7">
      <w:pPr>
        <w:pStyle w:val="ManualNumPar1"/>
        <w:rPr>
          <w:noProof/>
        </w:rPr>
      </w:pPr>
      <w:r w:rsidRPr="007B7EB7">
        <w:t>1.</w:t>
      </w:r>
      <w:r w:rsidRPr="007B7EB7">
        <w:tab/>
      </w:r>
      <w:r w:rsidR="009C6FE9" w:rsidRPr="004F6DAA">
        <w:rPr>
          <w:noProof/>
        </w:rPr>
        <w:t>Podmioty gromadzą informacje, dokumenty</w:t>
      </w:r>
      <w:r w:rsidR="00062BFA" w:rsidRPr="004F6DAA">
        <w:rPr>
          <w:noProof/>
        </w:rPr>
        <w:t xml:space="preserve"> i</w:t>
      </w:r>
      <w:r w:rsidR="00062BFA">
        <w:rPr>
          <w:noProof/>
        </w:rPr>
        <w:t> </w:t>
      </w:r>
      <w:r w:rsidR="00062BFA" w:rsidRPr="004F6DAA">
        <w:rPr>
          <w:noProof/>
        </w:rPr>
        <w:t>dan</w:t>
      </w:r>
      <w:r w:rsidR="009C6FE9" w:rsidRPr="004F6DAA">
        <w:rPr>
          <w:noProof/>
        </w:rPr>
        <w:t>e wskazujące, że odnośne towary</w:t>
      </w:r>
      <w:r w:rsidR="00062BFA" w:rsidRPr="004F6DAA">
        <w:rPr>
          <w:noProof/>
        </w:rPr>
        <w:t xml:space="preserve"> i</w:t>
      </w:r>
      <w:r w:rsidR="00062BFA">
        <w:rPr>
          <w:noProof/>
        </w:rPr>
        <w:t> </w:t>
      </w:r>
      <w:r w:rsidR="00062BFA" w:rsidRPr="004F6DAA">
        <w:rPr>
          <w:noProof/>
        </w:rPr>
        <w:t>pro</w:t>
      </w:r>
      <w:r w:rsidR="009C6FE9" w:rsidRPr="004F6DAA">
        <w:rPr>
          <w:noProof/>
        </w:rPr>
        <w:t>dukty są zgodne</w:t>
      </w:r>
      <w:r w:rsidR="00062BFA" w:rsidRPr="004F6DAA">
        <w:rPr>
          <w:noProof/>
        </w:rPr>
        <w:t xml:space="preserve"> z</w:t>
      </w:r>
      <w:r w:rsidR="00062BFA">
        <w:rPr>
          <w:noProof/>
        </w:rPr>
        <w:t> </w:t>
      </w:r>
      <w:r w:rsidR="00062BFA" w:rsidRPr="00062BFA">
        <w:rPr>
          <w:noProof/>
        </w:rPr>
        <w:t>art</w:t>
      </w:r>
      <w:r w:rsidR="009C6FE9" w:rsidRPr="00062BFA">
        <w:rPr>
          <w:noProof/>
        </w:rPr>
        <w:t>.</w:t>
      </w:r>
      <w:r w:rsidR="00062BFA" w:rsidRPr="00062BFA">
        <w:rPr>
          <w:noProof/>
        </w:rPr>
        <w:t> </w:t>
      </w:r>
      <w:r w:rsidR="009C6FE9" w:rsidRPr="00062BFA">
        <w:rPr>
          <w:noProof/>
        </w:rPr>
        <w:t>3</w:t>
      </w:r>
      <w:r w:rsidR="00062BFA" w:rsidRPr="004F6DAA">
        <w:rPr>
          <w:noProof/>
        </w:rPr>
        <w:t>. W</w:t>
      </w:r>
      <w:r w:rsidR="00062BFA">
        <w:rPr>
          <w:noProof/>
        </w:rPr>
        <w:t> </w:t>
      </w:r>
      <w:r w:rsidR="00062BFA" w:rsidRPr="004F6DAA">
        <w:rPr>
          <w:noProof/>
        </w:rPr>
        <w:t>tym</w:t>
      </w:r>
      <w:r w:rsidR="009C6FE9" w:rsidRPr="004F6DAA">
        <w:rPr>
          <w:noProof/>
        </w:rPr>
        <w:t xml:space="preserve"> celu podmiot gromadzi, organizuje</w:t>
      </w:r>
      <w:r w:rsidR="00062BFA" w:rsidRPr="004F6DAA">
        <w:rPr>
          <w:noProof/>
        </w:rPr>
        <w:t xml:space="preserve"> i</w:t>
      </w:r>
      <w:r w:rsidR="00062BFA">
        <w:rPr>
          <w:noProof/>
        </w:rPr>
        <w:t> </w:t>
      </w:r>
      <w:r w:rsidR="00062BFA" w:rsidRPr="004F6DAA">
        <w:rPr>
          <w:noProof/>
        </w:rPr>
        <w:t>prz</w:t>
      </w:r>
      <w:r w:rsidR="009C6FE9" w:rsidRPr="004F6DAA">
        <w:rPr>
          <w:noProof/>
        </w:rPr>
        <w:t>echowuje przez okres 5 lat następujące informacje dotyczące odnośnych towarów lub produktów, poparte dowodami:</w:t>
      </w:r>
    </w:p>
    <w:p w14:paraId="453A0B08" w14:textId="77777777" w:rsidR="009C6FE9" w:rsidRPr="004F6DAA" w:rsidRDefault="00062BFA" w:rsidP="00062BFA">
      <w:pPr>
        <w:pStyle w:val="Point1"/>
        <w:rPr>
          <w:noProof/>
        </w:rPr>
      </w:pPr>
      <w:r w:rsidRPr="00062BFA">
        <w:rPr>
          <w:noProof/>
        </w:rPr>
        <w:t>a)</w:t>
      </w:r>
      <w:r w:rsidRPr="00062BFA">
        <w:rPr>
          <w:noProof/>
        </w:rPr>
        <w:tab/>
      </w:r>
      <w:r w:rsidR="009C6FE9" w:rsidRPr="004F6DAA">
        <w:rPr>
          <w:noProof/>
        </w:rPr>
        <w:t>opis,</w:t>
      </w:r>
      <w:r w:rsidRPr="004F6DAA">
        <w:rPr>
          <w:noProof/>
        </w:rPr>
        <w:t xml:space="preserve"> w</w:t>
      </w:r>
      <w:r>
        <w:rPr>
          <w:noProof/>
        </w:rPr>
        <w:t> </w:t>
      </w:r>
      <w:r w:rsidRPr="004F6DAA">
        <w:rPr>
          <w:noProof/>
        </w:rPr>
        <w:t>tym</w:t>
      </w:r>
      <w:r w:rsidR="009C6FE9" w:rsidRPr="004F6DAA">
        <w:rPr>
          <w:noProof/>
        </w:rPr>
        <w:t xml:space="preserve"> nazwę handlową</w:t>
      </w:r>
      <w:r w:rsidRPr="004F6DAA">
        <w:rPr>
          <w:noProof/>
        </w:rPr>
        <w:t xml:space="preserve"> i</w:t>
      </w:r>
      <w:r>
        <w:rPr>
          <w:noProof/>
        </w:rPr>
        <w:t> </w:t>
      </w:r>
      <w:r w:rsidRPr="004F6DAA">
        <w:rPr>
          <w:noProof/>
        </w:rPr>
        <w:t>rod</w:t>
      </w:r>
      <w:r w:rsidR="009C6FE9" w:rsidRPr="004F6DAA">
        <w:rPr>
          <w:noProof/>
        </w:rPr>
        <w:t>zaj odnośnych towarów</w:t>
      </w:r>
      <w:r w:rsidRPr="004F6DAA">
        <w:rPr>
          <w:noProof/>
        </w:rPr>
        <w:t xml:space="preserve"> i</w:t>
      </w:r>
      <w:r>
        <w:rPr>
          <w:noProof/>
        </w:rPr>
        <w:t> </w:t>
      </w:r>
      <w:r w:rsidRPr="004F6DAA">
        <w:rPr>
          <w:noProof/>
        </w:rPr>
        <w:t>pro</w:t>
      </w:r>
      <w:r w:rsidR="009C6FE9" w:rsidRPr="004F6DAA">
        <w:rPr>
          <w:noProof/>
        </w:rPr>
        <w:t>duktów, jak również,</w:t>
      </w:r>
      <w:r w:rsidRPr="004F6DAA">
        <w:rPr>
          <w:noProof/>
        </w:rPr>
        <w:t xml:space="preserve"> w</w:t>
      </w:r>
      <w:r>
        <w:rPr>
          <w:noProof/>
        </w:rPr>
        <w:t> </w:t>
      </w:r>
      <w:r w:rsidRPr="004F6DAA">
        <w:rPr>
          <w:noProof/>
        </w:rPr>
        <w:t>sto</w:t>
      </w:r>
      <w:r w:rsidR="009C6FE9" w:rsidRPr="004F6DAA">
        <w:rPr>
          <w:noProof/>
        </w:rPr>
        <w:t>sownych przypadkach, nazwę zwyczajową gatunku</w:t>
      </w:r>
      <w:r w:rsidRPr="004F6DAA">
        <w:rPr>
          <w:noProof/>
        </w:rPr>
        <w:t xml:space="preserve"> i</w:t>
      </w:r>
      <w:r>
        <w:rPr>
          <w:noProof/>
        </w:rPr>
        <w:t> </w:t>
      </w:r>
      <w:r w:rsidRPr="004F6DAA">
        <w:rPr>
          <w:noProof/>
        </w:rPr>
        <w:t>jeg</w:t>
      </w:r>
      <w:r w:rsidR="009C6FE9" w:rsidRPr="004F6DAA">
        <w:rPr>
          <w:noProof/>
        </w:rPr>
        <w:t>o pełną nazwę naukową;</w:t>
      </w:r>
    </w:p>
    <w:p w14:paraId="5EC609CC" w14:textId="77777777" w:rsidR="009C6FE9" w:rsidRPr="004F6DAA" w:rsidRDefault="00062BFA" w:rsidP="00062BFA">
      <w:pPr>
        <w:pStyle w:val="Point1"/>
        <w:rPr>
          <w:noProof/>
        </w:rPr>
      </w:pPr>
      <w:r w:rsidRPr="00062BFA">
        <w:rPr>
          <w:noProof/>
        </w:rPr>
        <w:t>b)</w:t>
      </w:r>
      <w:r w:rsidRPr="00062BFA">
        <w:rPr>
          <w:noProof/>
        </w:rPr>
        <w:tab/>
      </w:r>
      <w:r w:rsidR="009C6FE9" w:rsidRPr="004F6DAA">
        <w:rPr>
          <w:noProof/>
        </w:rPr>
        <w:t>ilość (wyrażoną</w:t>
      </w:r>
      <w:r w:rsidRPr="004F6DAA">
        <w:rPr>
          <w:noProof/>
        </w:rPr>
        <w:t xml:space="preserve"> w</w:t>
      </w:r>
      <w:r>
        <w:rPr>
          <w:noProof/>
        </w:rPr>
        <w:t> </w:t>
      </w:r>
      <w:r w:rsidRPr="004F6DAA">
        <w:rPr>
          <w:noProof/>
        </w:rPr>
        <w:t>mas</w:t>
      </w:r>
      <w:r w:rsidR="009C6FE9" w:rsidRPr="004F6DAA">
        <w:rPr>
          <w:noProof/>
        </w:rPr>
        <w:t>ie netto</w:t>
      </w:r>
      <w:r w:rsidRPr="004F6DAA">
        <w:rPr>
          <w:noProof/>
        </w:rPr>
        <w:t xml:space="preserve"> i</w:t>
      </w:r>
      <w:r>
        <w:rPr>
          <w:noProof/>
        </w:rPr>
        <w:t> </w:t>
      </w:r>
      <w:r w:rsidRPr="004F6DAA">
        <w:rPr>
          <w:noProof/>
        </w:rPr>
        <w:t>obj</w:t>
      </w:r>
      <w:r w:rsidR="009C6FE9" w:rsidRPr="004F6DAA">
        <w:rPr>
          <w:noProof/>
        </w:rPr>
        <w:t>ętości lub liczbie jednostek) odnośnych towarów</w:t>
      </w:r>
      <w:r w:rsidRPr="004F6DAA">
        <w:rPr>
          <w:noProof/>
        </w:rPr>
        <w:t xml:space="preserve"> i</w:t>
      </w:r>
      <w:r>
        <w:rPr>
          <w:noProof/>
        </w:rPr>
        <w:t> </w:t>
      </w:r>
      <w:r w:rsidRPr="004F6DAA">
        <w:rPr>
          <w:noProof/>
        </w:rPr>
        <w:t>pro</w:t>
      </w:r>
      <w:r w:rsidR="009C6FE9" w:rsidRPr="004F6DAA">
        <w:rPr>
          <w:noProof/>
        </w:rPr>
        <w:t>duktów;</w:t>
      </w:r>
    </w:p>
    <w:p w14:paraId="6E72B36B" w14:textId="77777777" w:rsidR="009C6FE9" w:rsidRPr="004F6DAA" w:rsidRDefault="00062BFA" w:rsidP="00062BFA">
      <w:pPr>
        <w:pStyle w:val="Point1"/>
        <w:rPr>
          <w:noProof/>
        </w:rPr>
      </w:pPr>
      <w:r w:rsidRPr="00062BFA">
        <w:rPr>
          <w:noProof/>
        </w:rPr>
        <w:t>c)</w:t>
      </w:r>
      <w:r w:rsidRPr="00062BFA">
        <w:rPr>
          <w:noProof/>
        </w:rPr>
        <w:tab/>
      </w:r>
      <w:r w:rsidR="009C6FE9" w:rsidRPr="004F6DAA">
        <w:rPr>
          <w:noProof/>
        </w:rPr>
        <w:t xml:space="preserve">identyfikację kraju produkcji; </w:t>
      </w:r>
    </w:p>
    <w:p w14:paraId="415A07AF" w14:textId="77777777" w:rsidR="009C6FE9" w:rsidRPr="004F6DAA" w:rsidRDefault="00062BFA" w:rsidP="00062BFA">
      <w:pPr>
        <w:pStyle w:val="Point1"/>
        <w:rPr>
          <w:noProof/>
        </w:rPr>
      </w:pPr>
      <w:r w:rsidRPr="00062BFA">
        <w:rPr>
          <w:noProof/>
        </w:rPr>
        <w:t>d)</w:t>
      </w:r>
      <w:r w:rsidRPr="00062BFA">
        <w:rPr>
          <w:noProof/>
        </w:rPr>
        <w:tab/>
      </w:r>
      <w:r w:rsidR="009C6FE9" w:rsidRPr="004F6DAA">
        <w:rPr>
          <w:noProof/>
        </w:rPr>
        <w:t>współrzędne geolokalizacyjne, szerokość</w:t>
      </w:r>
      <w:r w:rsidRPr="004F6DAA">
        <w:rPr>
          <w:noProof/>
        </w:rPr>
        <w:t xml:space="preserve"> i</w:t>
      </w:r>
      <w:r>
        <w:rPr>
          <w:noProof/>
        </w:rPr>
        <w:t> </w:t>
      </w:r>
      <w:r w:rsidRPr="004F6DAA">
        <w:rPr>
          <w:noProof/>
        </w:rPr>
        <w:t>dłu</w:t>
      </w:r>
      <w:r w:rsidR="009C6FE9" w:rsidRPr="004F6DAA">
        <w:rPr>
          <w:noProof/>
        </w:rPr>
        <w:t>gość geograficzną wszystkich działek, na których wyprodukowano odnośne towary</w:t>
      </w:r>
      <w:r w:rsidRPr="004F6DAA">
        <w:rPr>
          <w:noProof/>
        </w:rPr>
        <w:t xml:space="preserve"> i</w:t>
      </w:r>
      <w:r>
        <w:rPr>
          <w:noProof/>
        </w:rPr>
        <w:t> </w:t>
      </w:r>
      <w:r w:rsidRPr="004F6DAA">
        <w:rPr>
          <w:noProof/>
        </w:rPr>
        <w:t>pro</w:t>
      </w:r>
      <w:r w:rsidR="009C6FE9" w:rsidRPr="004F6DAA">
        <w:rPr>
          <w:noProof/>
        </w:rPr>
        <w:t>dukty,</w:t>
      </w:r>
      <w:r w:rsidRPr="004F6DAA">
        <w:rPr>
          <w:noProof/>
        </w:rPr>
        <w:t xml:space="preserve"> a</w:t>
      </w:r>
      <w:r>
        <w:rPr>
          <w:noProof/>
        </w:rPr>
        <w:t> </w:t>
      </w:r>
      <w:r w:rsidRPr="004F6DAA">
        <w:rPr>
          <w:noProof/>
        </w:rPr>
        <w:t>tak</w:t>
      </w:r>
      <w:r w:rsidR="009C6FE9" w:rsidRPr="004F6DAA">
        <w:rPr>
          <w:noProof/>
        </w:rPr>
        <w:t>że datę lub przedział czasowy produkcji;</w:t>
      </w:r>
    </w:p>
    <w:p w14:paraId="35E58922" w14:textId="77777777" w:rsidR="009C6FE9" w:rsidRPr="004F6DAA" w:rsidRDefault="00062BFA" w:rsidP="00062BFA">
      <w:pPr>
        <w:pStyle w:val="Point1"/>
        <w:rPr>
          <w:noProof/>
        </w:rPr>
      </w:pPr>
      <w:r w:rsidRPr="00062BFA">
        <w:rPr>
          <w:noProof/>
        </w:rPr>
        <w:t>e)</w:t>
      </w:r>
      <w:r w:rsidRPr="00062BFA">
        <w:rPr>
          <w:noProof/>
        </w:rPr>
        <w:tab/>
      </w:r>
      <w:r w:rsidR="009C6FE9" w:rsidRPr="004F6DAA">
        <w:rPr>
          <w:noProof/>
        </w:rPr>
        <w:t>nazwę, adres e-mail</w:t>
      </w:r>
      <w:r w:rsidRPr="004F6DAA">
        <w:rPr>
          <w:noProof/>
        </w:rPr>
        <w:t xml:space="preserve"> i</w:t>
      </w:r>
      <w:r>
        <w:rPr>
          <w:noProof/>
        </w:rPr>
        <w:t> </w:t>
      </w:r>
      <w:r w:rsidRPr="004F6DAA">
        <w:rPr>
          <w:noProof/>
        </w:rPr>
        <w:t>adr</w:t>
      </w:r>
      <w:r w:rsidR="009C6FE9" w:rsidRPr="004F6DAA">
        <w:rPr>
          <w:noProof/>
        </w:rPr>
        <w:t>es każdego przedsiębiorstwa lub każdej osoby, od których pochodziły dostawy odnośnych towarów lub produktów;</w:t>
      </w:r>
    </w:p>
    <w:p w14:paraId="41CABEE9" w14:textId="77777777" w:rsidR="009C6FE9" w:rsidRPr="004F6DAA" w:rsidRDefault="00062BFA" w:rsidP="00062BFA">
      <w:pPr>
        <w:pStyle w:val="Point1"/>
        <w:rPr>
          <w:noProof/>
        </w:rPr>
      </w:pPr>
      <w:r w:rsidRPr="00062BFA">
        <w:rPr>
          <w:noProof/>
        </w:rPr>
        <w:t>f)</w:t>
      </w:r>
      <w:r w:rsidRPr="00062BFA">
        <w:rPr>
          <w:noProof/>
        </w:rPr>
        <w:tab/>
      </w:r>
      <w:r w:rsidR="009C6FE9" w:rsidRPr="004F6DAA">
        <w:rPr>
          <w:noProof/>
        </w:rPr>
        <w:t>nazwę, adres e-mail</w:t>
      </w:r>
      <w:r w:rsidRPr="004F6DAA">
        <w:rPr>
          <w:noProof/>
        </w:rPr>
        <w:t xml:space="preserve"> i</w:t>
      </w:r>
      <w:r>
        <w:rPr>
          <w:noProof/>
        </w:rPr>
        <w:t> </w:t>
      </w:r>
      <w:r w:rsidRPr="004F6DAA">
        <w:rPr>
          <w:noProof/>
        </w:rPr>
        <w:t>adr</w:t>
      </w:r>
      <w:r w:rsidR="009C6FE9" w:rsidRPr="004F6DAA">
        <w:rPr>
          <w:noProof/>
        </w:rPr>
        <w:t xml:space="preserve">es każdego przedsiębiorstwa lub każdej osoby, którym dostarczał odnośne towary lub produkty; </w:t>
      </w:r>
    </w:p>
    <w:p w14:paraId="1A0AB728" w14:textId="77777777" w:rsidR="009C6FE9" w:rsidRPr="004F6DAA" w:rsidRDefault="00062BFA" w:rsidP="00062BFA">
      <w:pPr>
        <w:pStyle w:val="Point1"/>
        <w:rPr>
          <w:noProof/>
        </w:rPr>
      </w:pPr>
      <w:r w:rsidRPr="00062BFA">
        <w:rPr>
          <w:noProof/>
        </w:rPr>
        <w:t>g)</w:t>
      </w:r>
      <w:r w:rsidRPr="00062BFA">
        <w:rPr>
          <w:noProof/>
        </w:rPr>
        <w:tab/>
      </w:r>
      <w:r w:rsidR="009C6FE9" w:rsidRPr="004F6DAA">
        <w:rPr>
          <w:noProof/>
        </w:rPr>
        <w:t>odpowiednie</w:t>
      </w:r>
      <w:r w:rsidRPr="004F6DAA">
        <w:rPr>
          <w:noProof/>
        </w:rPr>
        <w:t xml:space="preserve"> i</w:t>
      </w:r>
      <w:r>
        <w:rPr>
          <w:noProof/>
        </w:rPr>
        <w:t> </w:t>
      </w:r>
      <w:r w:rsidRPr="004F6DAA">
        <w:rPr>
          <w:noProof/>
        </w:rPr>
        <w:t>moż</w:t>
      </w:r>
      <w:r w:rsidR="009C6FE9" w:rsidRPr="004F6DAA">
        <w:rPr>
          <w:noProof/>
        </w:rPr>
        <w:t>liwe do zweryfikowania informacje świadczące</w:t>
      </w:r>
      <w:r w:rsidRPr="004F6DAA">
        <w:rPr>
          <w:noProof/>
        </w:rPr>
        <w:t xml:space="preserve"> o</w:t>
      </w:r>
      <w:r>
        <w:rPr>
          <w:noProof/>
        </w:rPr>
        <w:t> </w:t>
      </w:r>
      <w:r w:rsidRPr="004F6DAA">
        <w:rPr>
          <w:noProof/>
        </w:rPr>
        <w:t>tym</w:t>
      </w:r>
      <w:r w:rsidR="009C6FE9" w:rsidRPr="004F6DAA">
        <w:rPr>
          <w:noProof/>
        </w:rPr>
        <w:t>, że odnośne towary</w:t>
      </w:r>
      <w:r w:rsidRPr="004F6DAA">
        <w:rPr>
          <w:noProof/>
        </w:rPr>
        <w:t xml:space="preserve"> i</w:t>
      </w:r>
      <w:r>
        <w:rPr>
          <w:noProof/>
        </w:rPr>
        <w:t> </w:t>
      </w:r>
      <w:r w:rsidRPr="004F6DAA">
        <w:rPr>
          <w:noProof/>
        </w:rPr>
        <w:t>pro</w:t>
      </w:r>
      <w:r w:rsidR="009C6FE9" w:rsidRPr="004F6DAA">
        <w:rPr>
          <w:noProof/>
        </w:rPr>
        <w:t>dukty są niepowodujące wylesiania;</w:t>
      </w:r>
    </w:p>
    <w:p w14:paraId="28212A16" w14:textId="77777777" w:rsidR="009C6FE9" w:rsidRPr="004F6DAA" w:rsidRDefault="00062BFA" w:rsidP="00062BFA">
      <w:pPr>
        <w:pStyle w:val="Point1"/>
        <w:rPr>
          <w:noProof/>
        </w:rPr>
      </w:pPr>
      <w:r w:rsidRPr="00062BFA">
        <w:rPr>
          <w:noProof/>
        </w:rPr>
        <w:t>h)</w:t>
      </w:r>
      <w:r w:rsidRPr="00062BFA">
        <w:rPr>
          <w:noProof/>
        </w:rPr>
        <w:tab/>
      </w:r>
      <w:r w:rsidR="009C6FE9" w:rsidRPr="004F6DAA">
        <w:rPr>
          <w:noProof/>
        </w:rPr>
        <w:t>odpowiednie</w:t>
      </w:r>
      <w:r w:rsidRPr="004F6DAA">
        <w:rPr>
          <w:noProof/>
        </w:rPr>
        <w:t xml:space="preserve"> i</w:t>
      </w:r>
      <w:r>
        <w:rPr>
          <w:noProof/>
        </w:rPr>
        <w:t> </w:t>
      </w:r>
      <w:r w:rsidRPr="004F6DAA">
        <w:rPr>
          <w:noProof/>
        </w:rPr>
        <w:t>moż</w:t>
      </w:r>
      <w:r w:rsidR="009C6FE9" w:rsidRPr="004F6DAA">
        <w:rPr>
          <w:noProof/>
        </w:rPr>
        <w:t>liwe do zweryfikowania informacje świadczące</w:t>
      </w:r>
      <w:r w:rsidRPr="004F6DAA">
        <w:rPr>
          <w:noProof/>
        </w:rPr>
        <w:t xml:space="preserve"> o</w:t>
      </w:r>
      <w:r>
        <w:rPr>
          <w:noProof/>
        </w:rPr>
        <w:t> </w:t>
      </w:r>
      <w:r w:rsidRPr="004F6DAA">
        <w:rPr>
          <w:noProof/>
        </w:rPr>
        <w:t>tym</w:t>
      </w:r>
      <w:r w:rsidR="009C6FE9" w:rsidRPr="004F6DAA">
        <w:rPr>
          <w:noProof/>
        </w:rPr>
        <w:t>, że produkcję prowadzono zgodnie</w:t>
      </w:r>
      <w:r w:rsidRPr="004F6DAA">
        <w:rPr>
          <w:noProof/>
        </w:rPr>
        <w:t xml:space="preserve"> z</w:t>
      </w:r>
      <w:r>
        <w:rPr>
          <w:noProof/>
        </w:rPr>
        <w:t> </w:t>
      </w:r>
      <w:r w:rsidRPr="004F6DAA">
        <w:rPr>
          <w:noProof/>
        </w:rPr>
        <w:t>wła</w:t>
      </w:r>
      <w:r w:rsidR="009C6FE9" w:rsidRPr="004F6DAA">
        <w:rPr>
          <w:noProof/>
        </w:rPr>
        <w:t>ściwymi przepisami kraju produkcji,</w:t>
      </w:r>
      <w:r w:rsidRPr="004F6DAA">
        <w:rPr>
          <w:noProof/>
        </w:rPr>
        <w:t xml:space="preserve"> w</w:t>
      </w:r>
      <w:r>
        <w:rPr>
          <w:noProof/>
        </w:rPr>
        <w:t> </w:t>
      </w:r>
      <w:r w:rsidRPr="004F6DAA">
        <w:rPr>
          <w:noProof/>
        </w:rPr>
        <w:t>tym</w:t>
      </w:r>
      <w:r w:rsidR="009C6FE9" w:rsidRPr="004F6DAA">
        <w:rPr>
          <w:noProof/>
        </w:rPr>
        <w:t xml:space="preserve"> wszelkie uzgodnienia przyznające prawo do użytkowania danego obszaru do celów produkcji odnośnego towaru.</w:t>
      </w:r>
    </w:p>
    <w:p w14:paraId="1B585C72" w14:textId="77777777" w:rsidR="009C6FE9" w:rsidRPr="004F6DAA" w:rsidRDefault="007B7EB7" w:rsidP="007B7EB7">
      <w:pPr>
        <w:pStyle w:val="ManualNumPar1"/>
        <w:rPr>
          <w:noProof/>
        </w:rPr>
      </w:pPr>
      <w:r w:rsidRPr="007B7EB7">
        <w:t>2.</w:t>
      </w:r>
      <w:r w:rsidRPr="007B7EB7">
        <w:tab/>
      </w:r>
      <w:r w:rsidR="009C6FE9" w:rsidRPr="004F6DAA">
        <w:rPr>
          <w:noProof/>
        </w:rPr>
        <w:t>Podmiot udostępnia na wniosek właściwych organów informacje, dokumenty</w:t>
      </w:r>
      <w:r w:rsidR="00062BFA" w:rsidRPr="004F6DAA">
        <w:rPr>
          <w:noProof/>
        </w:rPr>
        <w:t xml:space="preserve"> i</w:t>
      </w:r>
      <w:r w:rsidR="00062BFA">
        <w:rPr>
          <w:noProof/>
        </w:rPr>
        <w:t> </w:t>
      </w:r>
      <w:r w:rsidR="00062BFA" w:rsidRPr="004F6DAA">
        <w:rPr>
          <w:noProof/>
        </w:rPr>
        <w:t>dan</w:t>
      </w:r>
      <w:r w:rsidR="009C6FE9" w:rsidRPr="004F6DAA">
        <w:rPr>
          <w:noProof/>
        </w:rPr>
        <w:t>e zgromadzone na podstawie niniejszego artykułu.</w:t>
      </w:r>
    </w:p>
    <w:p w14:paraId="27DF3BB6" w14:textId="77777777" w:rsidR="009C6FE9" w:rsidRPr="004F6DAA" w:rsidRDefault="007B7EB7" w:rsidP="007B7EB7">
      <w:pPr>
        <w:pStyle w:val="ManualNumPar1"/>
        <w:rPr>
          <w:rFonts w:eastAsia="Times New Roman"/>
          <w:noProof/>
        </w:rPr>
      </w:pPr>
      <w:r w:rsidRPr="007B7EB7">
        <w:t>3.</w:t>
      </w:r>
      <w:r w:rsidRPr="007B7EB7">
        <w:tab/>
      </w:r>
      <w:r w:rsidR="009C6FE9" w:rsidRPr="004F6DAA">
        <w:rPr>
          <w:noProof/>
        </w:rPr>
        <w:t xml:space="preserve">Aby uzupełnić </w:t>
      </w:r>
      <w:r w:rsidR="009C6FE9" w:rsidRPr="00062BFA">
        <w:rPr>
          <w:noProof/>
        </w:rPr>
        <w:t>ust.</w:t>
      </w:r>
      <w:r w:rsidR="00062BFA" w:rsidRPr="00062BFA">
        <w:rPr>
          <w:noProof/>
        </w:rPr>
        <w:t> </w:t>
      </w:r>
      <w:r w:rsidR="009C6FE9" w:rsidRPr="00062BFA">
        <w:rPr>
          <w:noProof/>
        </w:rPr>
        <w:t>1</w:t>
      </w:r>
      <w:r w:rsidR="009C6FE9" w:rsidRPr="004F6DAA">
        <w:rPr>
          <w:noProof/>
        </w:rPr>
        <w:t>, Komisja może zgodnie</w:t>
      </w:r>
      <w:r w:rsidR="00062BFA" w:rsidRPr="004F6DAA">
        <w:rPr>
          <w:noProof/>
        </w:rPr>
        <w:t xml:space="preserve"> z</w:t>
      </w:r>
      <w:r w:rsidR="00062BFA">
        <w:rPr>
          <w:noProof/>
        </w:rPr>
        <w:t> </w:t>
      </w:r>
      <w:r w:rsidR="00062BFA" w:rsidRPr="00062BFA">
        <w:rPr>
          <w:noProof/>
        </w:rPr>
        <w:t>art</w:t>
      </w:r>
      <w:r w:rsidR="009C6FE9" w:rsidRPr="00062BFA">
        <w:rPr>
          <w:noProof/>
        </w:rPr>
        <w:t>.</w:t>
      </w:r>
      <w:r w:rsidR="00062BFA" w:rsidRPr="00062BFA">
        <w:rPr>
          <w:noProof/>
        </w:rPr>
        <w:t> </w:t>
      </w:r>
      <w:r w:rsidR="009C6FE9" w:rsidRPr="00062BFA">
        <w:rPr>
          <w:noProof/>
        </w:rPr>
        <w:t>3</w:t>
      </w:r>
      <w:r w:rsidR="009C6FE9" w:rsidRPr="004F6DAA">
        <w:rPr>
          <w:noProof/>
        </w:rPr>
        <w:t>3 przyjmować akty delegowane dotyczące dodatkowych istotnych informacji, które należy uzyskać</w:t>
      </w:r>
      <w:r w:rsidR="00062BFA" w:rsidRPr="004F6DAA">
        <w:rPr>
          <w:noProof/>
        </w:rPr>
        <w:t xml:space="preserve"> i</w:t>
      </w:r>
      <w:r w:rsidR="00062BFA">
        <w:rPr>
          <w:noProof/>
        </w:rPr>
        <w:t> </w:t>
      </w:r>
      <w:r w:rsidR="00062BFA" w:rsidRPr="004F6DAA">
        <w:rPr>
          <w:noProof/>
        </w:rPr>
        <w:t>któ</w:t>
      </w:r>
      <w:r w:rsidR="009C6FE9" w:rsidRPr="004F6DAA">
        <w:rPr>
          <w:noProof/>
        </w:rPr>
        <w:t>re mogą być konieczne do zapewnienia skuteczności systemu zasad należytej staranności.</w:t>
      </w:r>
    </w:p>
    <w:p w14:paraId="3A0274BB" w14:textId="77777777" w:rsidR="00F46E90" w:rsidRPr="004F6DAA" w:rsidRDefault="004E30E9" w:rsidP="004E30E9">
      <w:pPr>
        <w:pStyle w:val="Titrearticle"/>
        <w:rPr>
          <w:noProof/>
        </w:rPr>
      </w:pPr>
      <w:r w:rsidRPr="004F6DAA">
        <w:rPr>
          <w:noProof/>
        </w:rPr>
        <w:t>Artykuł 10</w:t>
      </w:r>
    </w:p>
    <w:p w14:paraId="0B450BF1" w14:textId="77777777" w:rsidR="004E30E9" w:rsidRPr="004F6DAA" w:rsidRDefault="004E30E9" w:rsidP="00F46E90">
      <w:pPr>
        <w:pStyle w:val="Sous-titreobjet"/>
        <w:rPr>
          <w:noProof/>
        </w:rPr>
      </w:pPr>
      <w:r w:rsidRPr="004F6DAA">
        <w:rPr>
          <w:noProof/>
        </w:rPr>
        <w:t>Ocena</w:t>
      </w:r>
      <w:r w:rsidR="00062BFA" w:rsidRPr="004F6DAA">
        <w:rPr>
          <w:noProof/>
        </w:rPr>
        <w:t xml:space="preserve"> i</w:t>
      </w:r>
      <w:r w:rsidR="00062BFA">
        <w:rPr>
          <w:noProof/>
        </w:rPr>
        <w:t> </w:t>
      </w:r>
      <w:r w:rsidR="00062BFA" w:rsidRPr="004F6DAA">
        <w:rPr>
          <w:noProof/>
        </w:rPr>
        <w:t>zmn</w:t>
      </w:r>
      <w:r w:rsidRPr="004F6DAA">
        <w:rPr>
          <w:noProof/>
        </w:rPr>
        <w:t>iejszanie ryzyka</w:t>
      </w:r>
    </w:p>
    <w:p w14:paraId="72E7E681" w14:textId="77777777" w:rsidR="009C6FE9" w:rsidRPr="004F6DAA" w:rsidRDefault="007B7EB7" w:rsidP="007B7EB7">
      <w:pPr>
        <w:pStyle w:val="ManualNumPar1"/>
        <w:rPr>
          <w:rFonts w:eastAsia="Times New Roman"/>
          <w:noProof/>
        </w:rPr>
      </w:pPr>
      <w:r w:rsidRPr="007B7EB7">
        <w:t>1.</w:t>
      </w:r>
      <w:r w:rsidRPr="007B7EB7">
        <w:tab/>
      </w:r>
      <w:r w:rsidR="009C6FE9" w:rsidRPr="004F6DAA">
        <w:rPr>
          <w:noProof/>
        </w:rPr>
        <w:t>Podmioty weryfikują</w:t>
      </w:r>
      <w:r w:rsidR="00062BFA" w:rsidRPr="004F6DAA">
        <w:rPr>
          <w:noProof/>
        </w:rPr>
        <w:t xml:space="preserve"> i</w:t>
      </w:r>
      <w:r w:rsidR="00062BFA">
        <w:rPr>
          <w:noProof/>
        </w:rPr>
        <w:t> </w:t>
      </w:r>
      <w:r w:rsidR="00062BFA" w:rsidRPr="004F6DAA">
        <w:rPr>
          <w:noProof/>
        </w:rPr>
        <w:t>ana</w:t>
      </w:r>
      <w:r w:rsidR="009C6FE9" w:rsidRPr="004F6DAA">
        <w:rPr>
          <w:noProof/>
        </w:rPr>
        <w:t>lizują informacje zgromadzone zgodnie</w:t>
      </w:r>
      <w:r w:rsidR="00062BFA" w:rsidRPr="004F6DAA">
        <w:rPr>
          <w:noProof/>
        </w:rPr>
        <w:t xml:space="preserve"> z</w:t>
      </w:r>
      <w:r w:rsidR="00062BFA">
        <w:rPr>
          <w:noProof/>
        </w:rPr>
        <w:t> </w:t>
      </w:r>
      <w:r w:rsidR="00062BFA" w:rsidRPr="00062BFA">
        <w:rPr>
          <w:noProof/>
        </w:rPr>
        <w:t>art</w:t>
      </w:r>
      <w:r w:rsidR="009C6FE9" w:rsidRPr="00062BFA">
        <w:rPr>
          <w:noProof/>
        </w:rPr>
        <w:t>.</w:t>
      </w:r>
      <w:r w:rsidR="00062BFA" w:rsidRPr="00062BFA">
        <w:rPr>
          <w:noProof/>
        </w:rPr>
        <w:t> </w:t>
      </w:r>
      <w:r w:rsidR="009C6FE9" w:rsidRPr="00062BFA">
        <w:rPr>
          <w:noProof/>
        </w:rPr>
        <w:t>9</w:t>
      </w:r>
      <w:r w:rsidR="00062BFA" w:rsidRPr="004F6DAA">
        <w:rPr>
          <w:noProof/>
        </w:rPr>
        <w:t xml:space="preserve"> i</w:t>
      </w:r>
      <w:r w:rsidR="00062BFA">
        <w:rPr>
          <w:noProof/>
        </w:rPr>
        <w:t> </w:t>
      </w:r>
      <w:r w:rsidR="00062BFA" w:rsidRPr="004F6DAA">
        <w:rPr>
          <w:noProof/>
        </w:rPr>
        <w:t>wsz</w:t>
      </w:r>
      <w:r w:rsidR="009C6FE9" w:rsidRPr="004F6DAA">
        <w:rPr>
          <w:noProof/>
        </w:rPr>
        <w:t>elkie inne istotne dokumenty, i na tej podstawie przeprowadzają ocenę ryzyka</w:t>
      </w:r>
      <w:r w:rsidR="00062BFA" w:rsidRPr="004F6DAA">
        <w:rPr>
          <w:noProof/>
        </w:rPr>
        <w:t xml:space="preserve"> w</w:t>
      </w:r>
      <w:r w:rsidR="00062BFA">
        <w:rPr>
          <w:noProof/>
        </w:rPr>
        <w:t> </w:t>
      </w:r>
      <w:r w:rsidR="00062BFA" w:rsidRPr="004F6DAA">
        <w:rPr>
          <w:noProof/>
        </w:rPr>
        <w:t>cel</w:t>
      </w:r>
      <w:r w:rsidR="009C6FE9" w:rsidRPr="004F6DAA">
        <w:rPr>
          <w:noProof/>
        </w:rPr>
        <w:t>u ustalenia, czy istnieje ryzyko, że odnośne towary</w:t>
      </w:r>
      <w:r w:rsidR="00062BFA" w:rsidRPr="004F6DAA">
        <w:rPr>
          <w:noProof/>
        </w:rPr>
        <w:t xml:space="preserve"> i</w:t>
      </w:r>
      <w:r w:rsidR="00062BFA">
        <w:rPr>
          <w:noProof/>
        </w:rPr>
        <w:t> </w:t>
      </w:r>
      <w:r w:rsidR="00062BFA" w:rsidRPr="004F6DAA">
        <w:rPr>
          <w:noProof/>
        </w:rPr>
        <w:t>pro</w:t>
      </w:r>
      <w:r w:rsidR="009C6FE9" w:rsidRPr="004F6DAA">
        <w:rPr>
          <w:noProof/>
        </w:rPr>
        <w:t>dukty przeznaczone do wprowadzenia do obrotu</w:t>
      </w:r>
      <w:r w:rsidR="00062BFA" w:rsidRPr="004F6DAA">
        <w:rPr>
          <w:noProof/>
        </w:rPr>
        <w:t xml:space="preserve"> w</w:t>
      </w:r>
      <w:r w:rsidR="00062BFA">
        <w:rPr>
          <w:noProof/>
        </w:rPr>
        <w:t> </w:t>
      </w:r>
      <w:r w:rsidR="00062BFA" w:rsidRPr="004F6DAA">
        <w:rPr>
          <w:noProof/>
        </w:rPr>
        <w:t>Uni</w:t>
      </w:r>
      <w:r w:rsidR="009C6FE9" w:rsidRPr="004F6DAA">
        <w:rPr>
          <w:noProof/>
        </w:rPr>
        <w:t>i lub do wywozu</w:t>
      </w:r>
      <w:r w:rsidR="00062BFA" w:rsidRPr="004F6DAA">
        <w:rPr>
          <w:noProof/>
        </w:rPr>
        <w:t xml:space="preserve"> z</w:t>
      </w:r>
      <w:r w:rsidR="00062BFA">
        <w:rPr>
          <w:noProof/>
        </w:rPr>
        <w:t> </w:t>
      </w:r>
      <w:r w:rsidR="00062BFA" w:rsidRPr="004F6DAA">
        <w:rPr>
          <w:noProof/>
        </w:rPr>
        <w:t>ryn</w:t>
      </w:r>
      <w:r w:rsidR="009C6FE9" w:rsidRPr="004F6DAA">
        <w:rPr>
          <w:noProof/>
        </w:rPr>
        <w:t>ku unijnego są niezgodne</w:t>
      </w:r>
      <w:r w:rsidR="00062BFA" w:rsidRPr="004F6DAA">
        <w:rPr>
          <w:noProof/>
        </w:rPr>
        <w:t xml:space="preserve"> z</w:t>
      </w:r>
      <w:r w:rsidR="00062BFA">
        <w:rPr>
          <w:noProof/>
        </w:rPr>
        <w:t> </w:t>
      </w:r>
      <w:r w:rsidR="00062BFA" w:rsidRPr="004F6DAA">
        <w:rPr>
          <w:noProof/>
        </w:rPr>
        <w:t>wym</w:t>
      </w:r>
      <w:r w:rsidR="009C6FE9" w:rsidRPr="004F6DAA">
        <w:rPr>
          <w:noProof/>
        </w:rPr>
        <w:t>ogami wynikającymi</w:t>
      </w:r>
      <w:r w:rsidR="00062BFA" w:rsidRPr="004F6DAA">
        <w:rPr>
          <w:noProof/>
        </w:rPr>
        <w:t xml:space="preserve"> z</w:t>
      </w:r>
      <w:r w:rsidR="00062BFA">
        <w:rPr>
          <w:noProof/>
        </w:rPr>
        <w:t> </w:t>
      </w:r>
      <w:r w:rsidR="00062BFA" w:rsidRPr="004F6DAA">
        <w:rPr>
          <w:noProof/>
        </w:rPr>
        <w:t>nin</w:t>
      </w:r>
      <w:r w:rsidR="009C6FE9" w:rsidRPr="004F6DAA">
        <w:rPr>
          <w:noProof/>
        </w:rPr>
        <w:t>iejszego rozporządzenia. Jeżeli podmioty nie mogą wykazać, ze ryzyko wystąpienia niezgodności jest znikome, nie wprowadzają odnośnego towaru lub produktu do obrotu</w:t>
      </w:r>
      <w:r w:rsidR="00062BFA" w:rsidRPr="004F6DAA">
        <w:rPr>
          <w:noProof/>
        </w:rPr>
        <w:t xml:space="preserve"> w</w:t>
      </w:r>
      <w:r w:rsidR="00062BFA">
        <w:rPr>
          <w:noProof/>
        </w:rPr>
        <w:t> </w:t>
      </w:r>
      <w:r w:rsidR="00062BFA" w:rsidRPr="004F6DAA">
        <w:rPr>
          <w:noProof/>
        </w:rPr>
        <w:t>Uni</w:t>
      </w:r>
      <w:r w:rsidR="009C6FE9" w:rsidRPr="004F6DAA">
        <w:rPr>
          <w:noProof/>
        </w:rPr>
        <w:t>i ani go nie wywożą.</w:t>
      </w:r>
    </w:p>
    <w:p w14:paraId="4582C76B" w14:textId="77777777" w:rsidR="009C6FE9" w:rsidRPr="004F6DAA" w:rsidRDefault="007B7EB7" w:rsidP="007B7EB7">
      <w:pPr>
        <w:pStyle w:val="ManualNumPar1"/>
        <w:rPr>
          <w:noProof/>
        </w:rPr>
      </w:pPr>
      <w:r w:rsidRPr="007B7EB7">
        <w:t>2.</w:t>
      </w:r>
      <w:r w:rsidRPr="007B7EB7">
        <w:tab/>
      </w:r>
      <w:r w:rsidR="009C6FE9" w:rsidRPr="004F6DAA">
        <w:rPr>
          <w:noProof/>
        </w:rPr>
        <w:t>W ocenie ryzyka uwzględnia się</w:t>
      </w:r>
      <w:r w:rsidR="00062BFA" w:rsidRPr="004F6DAA">
        <w:rPr>
          <w:noProof/>
        </w:rPr>
        <w:t xml:space="preserve"> w</w:t>
      </w:r>
      <w:r w:rsidR="00062BFA">
        <w:rPr>
          <w:noProof/>
        </w:rPr>
        <w:t> </w:t>
      </w:r>
      <w:r w:rsidR="00062BFA" w:rsidRPr="004F6DAA">
        <w:rPr>
          <w:noProof/>
        </w:rPr>
        <w:t>szc</w:t>
      </w:r>
      <w:r w:rsidR="009C6FE9" w:rsidRPr="004F6DAA">
        <w:rPr>
          <w:noProof/>
        </w:rPr>
        <w:t>zególności następujące kryteria oceny ryzyka:</w:t>
      </w:r>
    </w:p>
    <w:p w14:paraId="452924B8" w14:textId="77777777" w:rsidR="009C6FE9" w:rsidRPr="004F6DAA" w:rsidRDefault="00062BFA" w:rsidP="00062BFA">
      <w:pPr>
        <w:pStyle w:val="Point1"/>
        <w:rPr>
          <w:noProof/>
        </w:rPr>
      </w:pPr>
      <w:r w:rsidRPr="00062BFA">
        <w:rPr>
          <w:noProof/>
        </w:rPr>
        <w:t>a)</w:t>
      </w:r>
      <w:r w:rsidRPr="00062BFA">
        <w:rPr>
          <w:noProof/>
        </w:rPr>
        <w:tab/>
      </w:r>
      <w:r w:rsidR="009C6FE9" w:rsidRPr="004F6DAA">
        <w:rPr>
          <w:noProof/>
        </w:rPr>
        <w:t>przypisanie ryzyka do danego kraju lub jego części zgodnie</w:t>
      </w:r>
      <w:r w:rsidRPr="004F6DAA">
        <w:rPr>
          <w:noProof/>
        </w:rPr>
        <w:t xml:space="preserve"> z</w:t>
      </w:r>
      <w:r>
        <w:rPr>
          <w:noProof/>
        </w:rPr>
        <w:t> </w:t>
      </w:r>
      <w:r w:rsidRPr="00062BFA">
        <w:rPr>
          <w:noProof/>
        </w:rPr>
        <w:t>art</w:t>
      </w:r>
      <w:r w:rsidR="009C6FE9" w:rsidRPr="00062BFA">
        <w:rPr>
          <w:noProof/>
        </w:rPr>
        <w:t>.</w:t>
      </w:r>
      <w:r w:rsidRPr="00062BFA">
        <w:rPr>
          <w:noProof/>
        </w:rPr>
        <w:t> </w:t>
      </w:r>
      <w:r w:rsidR="009C6FE9" w:rsidRPr="00062BFA">
        <w:rPr>
          <w:noProof/>
        </w:rPr>
        <w:t>2</w:t>
      </w:r>
      <w:r w:rsidR="009C6FE9" w:rsidRPr="004F6DAA">
        <w:rPr>
          <w:noProof/>
        </w:rPr>
        <w:t>7;</w:t>
      </w:r>
    </w:p>
    <w:p w14:paraId="5672804F" w14:textId="77777777" w:rsidR="009C6FE9" w:rsidRPr="004F6DAA" w:rsidRDefault="00062BFA" w:rsidP="00062BFA">
      <w:pPr>
        <w:pStyle w:val="Point1"/>
        <w:rPr>
          <w:noProof/>
        </w:rPr>
      </w:pPr>
      <w:r w:rsidRPr="00062BFA">
        <w:rPr>
          <w:noProof/>
        </w:rPr>
        <w:t>b)</w:t>
      </w:r>
      <w:r w:rsidRPr="00062BFA">
        <w:rPr>
          <w:noProof/>
        </w:rPr>
        <w:tab/>
      </w:r>
      <w:r w:rsidR="009C6FE9" w:rsidRPr="004F6DAA">
        <w:rPr>
          <w:noProof/>
        </w:rPr>
        <w:t>obecność lasów</w:t>
      </w:r>
      <w:r w:rsidRPr="004F6DAA">
        <w:rPr>
          <w:noProof/>
        </w:rPr>
        <w:t xml:space="preserve"> w</w:t>
      </w:r>
      <w:r>
        <w:rPr>
          <w:noProof/>
        </w:rPr>
        <w:t> </w:t>
      </w:r>
      <w:r w:rsidRPr="004F6DAA">
        <w:rPr>
          <w:noProof/>
        </w:rPr>
        <w:t>kra</w:t>
      </w:r>
      <w:r w:rsidR="009C6FE9" w:rsidRPr="004F6DAA">
        <w:rPr>
          <w:noProof/>
        </w:rPr>
        <w:t>ju produkcji i na obszarze produkcji odnośnego towaru lub produktu;</w:t>
      </w:r>
    </w:p>
    <w:p w14:paraId="01B12BE6" w14:textId="77777777" w:rsidR="009C6FE9" w:rsidRPr="004F6DAA" w:rsidRDefault="00062BFA" w:rsidP="00062BFA">
      <w:pPr>
        <w:pStyle w:val="Point1"/>
        <w:rPr>
          <w:noProof/>
        </w:rPr>
      </w:pPr>
      <w:r w:rsidRPr="00062BFA">
        <w:rPr>
          <w:noProof/>
        </w:rPr>
        <w:t>c)</w:t>
      </w:r>
      <w:r w:rsidRPr="00062BFA">
        <w:rPr>
          <w:noProof/>
        </w:rPr>
        <w:tab/>
      </w:r>
      <w:r w:rsidR="009C6FE9" w:rsidRPr="004F6DAA">
        <w:rPr>
          <w:noProof/>
        </w:rPr>
        <w:t>powszechność wylesiania lub degradacji lasów</w:t>
      </w:r>
      <w:r w:rsidRPr="004F6DAA">
        <w:rPr>
          <w:noProof/>
        </w:rPr>
        <w:t xml:space="preserve"> w</w:t>
      </w:r>
      <w:r>
        <w:rPr>
          <w:noProof/>
        </w:rPr>
        <w:t> </w:t>
      </w:r>
      <w:r w:rsidRPr="004F6DAA">
        <w:rPr>
          <w:noProof/>
        </w:rPr>
        <w:t>kra</w:t>
      </w:r>
      <w:r w:rsidR="009C6FE9" w:rsidRPr="004F6DAA">
        <w:rPr>
          <w:noProof/>
        </w:rPr>
        <w:t>ju</w:t>
      </w:r>
      <w:r w:rsidRPr="004F6DAA">
        <w:rPr>
          <w:noProof/>
        </w:rPr>
        <w:t xml:space="preserve"> i</w:t>
      </w:r>
      <w:r>
        <w:rPr>
          <w:noProof/>
        </w:rPr>
        <w:t> </w:t>
      </w:r>
      <w:r w:rsidRPr="004F6DAA">
        <w:rPr>
          <w:noProof/>
        </w:rPr>
        <w:t>reg</w:t>
      </w:r>
      <w:r w:rsidR="009C6FE9" w:rsidRPr="004F6DAA">
        <w:rPr>
          <w:noProof/>
        </w:rPr>
        <w:t>ionie produkcji i na obszarze produkcji odnośnego towaru lub produktu;</w:t>
      </w:r>
    </w:p>
    <w:p w14:paraId="04EDB7D4" w14:textId="77777777" w:rsidR="009C6FE9" w:rsidRPr="004F6DAA" w:rsidRDefault="00062BFA" w:rsidP="00062BFA">
      <w:pPr>
        <w:pStyle w:val="Point1"/>
        <w:rPr>
          <w:noProof/>
        </w:rPr>
      </w:pPr>
      <w:r w:rsidRPr="00062BFA">
        <w:rPr>
          <w:noProof/>
        </w:rPr>
        <w:t>d)</w:t>
      </w:r>
      <w:r w:rsidRPr="00062BFA">
        <w:rPr>
          <w:noProof/>
        </w:rPr>
        <w:tab/>
      </w:r>
      <w:r w:rsidR="009C6FE9" w:rsidRPr="004F6DAA">
        <w:rPr>
          <w:noProof/>
        </w:rPr>
        <w:t>źródło, wiarygodność, ważność</w:t>
      </w:r>
      <w:r w:rsidRPr="004F6DAA">
        <w:rPr>
          <w:noProof/>
        </w:rPr>
        <w:t xml:space="preserve"> i</w:t>
      </w:r>
      <w:r>
        <w:rPr>
          <w:noProof/>
        </w:rPr>
        <w:t> </w:t>
      </w:r>
      <w:r w:rsidRPr="004F6DAA">
        <w:rPr>
          <w:noProof/>
        </w:rPr>
        <w:t>pow</w:t>
      </w:r>
      <w:r w:rsidR="009C6FE9" w:rsidRPr="004F6DAA">
        <w:rPr>
          <w:noProof/>
        </w:rPr>
        <w:t>iązania</w:t>
      </w:r>
      <w:r w:rsidRPr="004F6DAA">
        <w:rPr>
          <w:noProof/>
        </w:rPr>
        <w:t xml:space="preserve"> z</w:t>
      </w:r>
      <w:r>
        <w:rPr>
          <w:noProof/>
        </w:rPr>
        <w:t> </w:t>
      </w:r>
      <w:r w:rsidRPr="004F6DAA">
        <w:rPr>
          <w:noProof/>
        </w:rPr>
        <w:t>inn</w:t>
      </w:r>
      <w:r w:rsidR="009C6FE9" w:rsidRPr="004F6DAA">
        <w:rPr>
          <w:noProof/>
        </w:rPr>
        <w:t>ymi dostępnymi dokumentami</w:t>
      </w:r>
      <w:r w:rsidRPr="004F6DAA">
        <w:rPr>
          <w:noProof/>
        </w:rPr>
        <w:t xml:space="preserve"> w</w:t>
      </w:r>
      <w:r>
        <w:rPr>
          <w:noProof/>
        </w:rPr>
        <w:t> </w:t>
      </w:r>
      <w:r w:rsidRPr="004F6DAA">
        <w:rPr>
          <w:noProof/>
        </w:rPr>
        <w:t>odn</w:t>
      </w:r>
      <w:r w:rsidR="009C6FE9" w:rsidRPr="004F6DAA">
        <w:rPr>
          <w:noProof/>
        </w:rPr>
        <w:t>iesieniu do informacji,</w:t>
      </w:r>
      <w:r w:rsidRPr="004F6DAA">
        <w:rPr>
          <w:noProof/>
        </w:rPr>
        <w:t xml:space="preserve"> o</w:t>
      </w:r>
      <w:r>
        <w:rPr>
          <w:noProof/>
        </w:rPr>
        <w:t> </w:t>
      </w:r>
      <w:r w:rsidRPr="004F6DAA">
        <w:rPr>
          <w:noProof/>
        </w:rPr>
        <w:t>któ</w:t>
      </w:r>
      <w:r w:rsidR="009C6FE9" w:rsidRPr="004F6DAA">
        <w:rPr>
          <w:noProof/>
        </w:rPr>
        <w:t>rych mowa</w:t>
      </w:r>
      <w:r w:rsidRPr="004F6DAA">
        <w:rPr>
          <w:noProof/>
        </w:rPr>
        <w:t xml:space="preserve"> w</w:t>
      </w:r>
      <w:r>
        <w:rPr>
          <w:noProof/>
        </w:rPr>
        <w:t> </w:t>
      </w:r>
      <w:r w:rsidRPr="00062BFA">
        <w:rPr>
          <w:noProof/>
        </w:rPr>
        <w:t>art</w:t>
      </w:r>
      <w:r w:rsidR="009C6FE9" w:rsidRPr="00062BFA">
        <w:rPr>
          <w:noProof/>
        </w:rPr>
        <w:t>.</w:t>
      </w:r>
      <w:r w:rsidRPr="00062BFA">
        <w:rPr>
          <w:noProof/>
        </w:rPr>
        <w:t> </w:t>
      </w:r>
      <w:r w:rsidR="009C6FE9" w:rsidRPr="00062BFA">
        <w:rPr>
          <w:noProof/>
        </w:rPr>
        <w:t>9</w:t>
      </w:r>
      <w:r w:rsidR="009C6FE9" w:rsidRPr="004F6DAA">
        <w:rPr>
          <w:noProof/>
        </w:rPr>
        <w:t xml:space="preserve"> </w:t>
      </w:r>
      <w:r w:rsidR="009C6FE9" w:rsidRPr="00062BFA">
        <w:rPr>
          <w:noProof/>
        </w:rPr>
        <w:t>ust.</w:t>
      </w:r>
      <w:r w:rsidRPr="00062BFA">
        <w:rPr>
          <w:noProof/>
        </w:rPr>
        <w:t> </w:t>
      </w:r>
      <w:r w:rsidR="009C6FE9" w:rsidRPr="00062BFA">
        <w:rPr>
          <w:noProof/>
        </w:rPr>
        <w:t>1</w:t>
      </w:r>
      <w:r w:rsidR="009C6FE9" w:rsidRPr="004F6DAA">
        <w:rPr>
          <w:noProof/>
        </w:rPr>
        <w:t>;</w:t>
      </w:r>
    </w:p>
    <w:p w14:paraId="2EB1E602" w14:textId="77777777" w:rsidR="009C6FE9" w:rsidRPr="004F6DAA" w:rsidRDefault="00062BFA" w:rsidP="00062BFA">
      <w:pPr>
        <w:pStyle w:val="Point1"/>
        <w:rPr>
          <w:noProof/>
        </w:rPr>
      </w:pPr>
      <w:r w:rsidRPr="00062BFA">
        <w:rPr>
          <w:noProof/>
        </w:rPr>
        <w:t>e)</w:t>
      </w:r>
      <w:r w:rsidRPr="00062BFA">
        <w:rPr>
          <w:noProof/>
        </w:rPr>
        <w:tab/>
      </w:r>
      <w:r w:rsidR="009C6FE9" w:rsidRPr="004F6DAA">
        <w:rPr>
          <w:noProof/>
        </w:rPr>
        <w:t>zastrzeżenia dotyczące kraju produkcji</w:t>
      </w:r>
      <w:r w:rsidRPr="004F6DAA">
        <w:rPr>
          <w:noProof/>
        </w:rPr>
        <w:t xml:space="preserve"> i</w:t>
      </w:r>
      <w:r>
        <w:rPr>
          <w:noProof/>
        </w:rPr>
        <w:t> </w:t>
      </w:r>
      <w:r w:rsidRPr="004F6DAA">
        <w:rPr>
          <w:noProof/>
        </w:rPr>
        <w:t>kra</w:t>
      </w:r>
      <w:r w:rsidR="009C6FE9" w:rsidRPr="004F6DAA">
        <w:rPr>
          <w:noProof/>
        </w:rPr>
        <w:t>ju pochodzenia, takie jak poziom korupcji, powszechność fałszowania dokumentów</w:t>
      </w:r>
      <w:r w:rsidRPr="004F6DAA">
        <w:rPr>
          <w:noProof/>
        </w:rPr>
        <w:t xml:space="preserve"> i</w:t>
      </w:r>
      <w:r>
        <w:rPr>
          <w:noProof/>
        </w:rPr>
        <w:t> </w:t>
      </w:r>
      <w:r w:rsidRPr="004F6DAA">
        <w:rPr>
          <w:noProof/>
        </w:rPr>
        <w:t>dan</w:t>
      </w:r>
      <w:r w:rsidR="009C6FE9" w:rsidRPr="004F6DAA">
        <w:rPr>
          <w:noProof/>
        </w:rPr>
        <w:t>ych, brak egzekwowania prawa, konflikt zbrojny lub obecność sankcji nałożonych przez Radę Bezpieczeństwa Organizacji Narodów Zjednoczonych lub Radę Unii Europejskiej;</w:t>
      </w:r>
    </w:p>
    <w:p w14:paraId="79D1A8B7" w14:textId="77777777" w:rsidR="009C6FE9" w:rsidRPr="004F6DAA" w:rsidRDefault="00062BFA" w:rsidP="00062BFA">
      <w:pPr>
        <w:pStyle w:val="Point1"/>
        <w:rPr>
          <w:noProof/>
        </w:rPr>
      </w:pPr>
      <w:r w:rsidRPr="00062BFA">
        <w:rPr>
          <w:noProof/>
        </w:rPr>
        <w:t>f)</w:t>
      </w:r>
      <w:r w:rsidRPr="00062BFA">
        <w:rPr>
          <w:noProof/>
        </w:rPr>
        <w:tab/>
      </w:r>
      <w:r w:rsidR="009C6FE9" w:rsidRPr="004F6DAA">
        <w:rPr>
          <w:noProof/>
        </w:rPr>
        <w:t>złożoność danego łańcucha dostaw, szczególnie trudności</w:t>
      </w:r>
      <w:r w:rsidRPr="004F6DAA">
        <w:rPr>
          <w:noProof/>
        </w:rPr>
        <w:t xml:space="preserve"> w</w:t>
      </w:r>
      <w:r>
        <w:rPr>
          <w:noProof/>
        </w:rPr>
        <w:t> </w:t>
      </w:r>
      <w:r w:rsidRPr="004F6DAA">
        <w:rPr>
          <w:noProof/>
        </w:rPr>
        <w:t>poł</w:t>
      </w:r>
      <w:r w:rsidR="009C6FE9" w:rsidRPr="004F6DAA">
        <w:rPr>
          <w:noProof/>
        </w:rPr>
        <w:t>ączeniu towarów lub produktów</w:t>
      </w:r>
      <w:r w:rsidRPr="004F6DAA">
        <w:rPr>
          <w:noProof/>
        </w:rPr>
        <w:t xml:space="preserve"> z</w:t>
      </w:r>
      <w:r>
        <w:rPr>
          <w:noProof/>
        </w:rPr>
        <w:t> </w:t>
      </w:r>
      <w:r w:rsidRPr="004F6DAA">
        <w:rPr>
          <w:noProof/>
        </w:rPr>
        <w:t>dzi</w:t>
      </w:r>
      <w:r w:rsidR="009C6FE9" w:rsidRPr="004F6DAA">
        <w:rPr>
          <w:noProof/>
        </w:rPr>
        <w:t>ałką, na której zostały wyprodukowane;</w:t>
      </w:r>
    </w:p>
    <w:p w14:paraId="7B4268CE" w14:textId="77777777" w:rsidR="009C6FE9" w:rsidRPr="004F6DAA" w:rsidRDefault="00062BFA" w:rsidP="00062BFA">
      <w:pPr>
        <w:pStyle w:val="Point1"/>
        <w:rPr>
          <w:noProof/>
        </w:rPr>
      </w:pPr>
      <w:r w:rsidRPr="00062BFA">
        <w:rPr>
          <w:noProof/>
        </w:rPr>
        <w:t>g)</w:t>
      </w:r>
      <w:r w:rsidRPr="00062BFA">
        <w:rPr>
          <w:noProof/>
        </w:rPr>
        <w:tab/>
      </w:r>
      <w:r w:rsidR="009C6FE9" w:rsidRPr="004F6DAA">
        <w:rPr>
          <w:noProof/>
        </w:rPr>
        <w:t>ryzyko mieszania</w:t>
      </w:r>
      <w:r w:rsidRPr="004F6DAA">
        <w:rPr>
          <w:noProof/>
        </w:rPr>
        <w:t xml:space="preserve"> z</w:t>
      </w:r>
      <w:r>
        <w:rPr>
          <w:noProof/>
        </w:rPr>
        <w:t> </w:t>
      </w:r>
      <w:r w:rsidRPr="004F6DAA">
        <w:rPr>
          <w:noProof/>
        </w:rPr>
        <w:t>pro</w:t>
      </w:r>
      <w:r w:rsidR="009C6FE9" w:rsidRPr="004F6DAA">
        <w:rPr>
          <w:noProof/>
        </w:rPr>
        <w:t>duktami nieznanego pochodzenia lub produkowanymi na obszarach, na których występowały lub występują wylesianie lub degradacja lasów;</w:t>
      </w:r>
    </w:p>
    <w:p w14:paraId="3DBB93DB" w14:textId="77777777" w:rsidR="009C6FE9" w:rsidRPr="004F6DAA" w:rsidRDefault="00062BFA" w:rsidP="00062BFA">
      <w:pPr>
        <w:pStyle w:val="Point1"/>
        <w:rPr>
          <w:noProof/>
        </w:rPr>
      </w:pPr>
      <w:r w:rsidRPr="00062BFA">
        <w:rPr>
          <w:noProof/>
        </w:rPr>
        <w:t>h)</w:t>
      </w:r>
      <w:r w:rsidRPr="00062BFA">
        <w:rPr>
          <w:noProof/>
        </w:rPr>
        <w:tab/>
      </w:r>
      <w:r w:rsidR="009C6FE9" w:rsidRPr="004F6DAA">
        <w:rPr>
          <w:noProof/>
        </w:rPr>
        <w:t>wnioski ze spotkania stosownej grupy ekspertów Komisji publikowane</w:t>
      </w:r>
      <w:r w:rsidRPr="004F6DAA">
        <w:rPr>
          <w:noProof/>
        </w:rPr>
        <w:t xml:space="preserve"> w</w:t>
      </w:r>
      <w:r>
        <w:rPr>
          <w:noProof/>
        </w:rPr>
        <w:t> </w:t>
      </w:r>
      <w:r w:rsidRPr="004F6DAA">
        <w:rPr>
          <w:noProof/>
        </w:rPr>
        <w:t>rej</w:t>
      </w:r>
      <w:r w:rsidR="009C6FE9" w:rsidRPr="004F6DAA">
        <w:rPr>
          <w:noProof/>
        </w:rPr>
        <w:t xml:space="preserve">estrze grupy ekspertów Komisji; </w:t>
      </w:r>
    </w:p>
    <w:p w14:paraId="60241D7C" w14:textId="77777777" w:rsidR="009C6FE9" w:rsidRPr="004F6DAA" w:rsidRDefault="00062BFA" w:rsidP="00062BFA">
      <w:pPr>
        <w:pStyle w:val="Point1"/>
        <w:rPr>
          <w:noProof/>
        </w:rPr>
      </w:pPr>
      <w:r w:rsidRPr="00062BFA">
        <w:rPr>
          <w:noProof/>
        </w:rPr>
        <w:t>i)</w:t>
      </w:r>
      <w:r w:rsidRPr="00062BFA">
        <w:rPr>
          <w:noProof/>
        </w:rPr>
        <w:tab/>
      </w:r>
      <w:r w:rsidR="009C6FE9" w:rsidRPr="004F6DAA">
        <w:rPr>
          <w:noProof/>
        </w:rPr>
        <w:t xml:space="preserve">uzasadnione zastrzeżenia przedłożone na podstawie </w:t>
      </w:r>
      <w:r w:rsidR="009C6FE9" w:rsidRPr="00062BFA">
        <w:rPr>
          <w:noProof/>
        </w:rPr>
        <w:t>art.</w:t>
      </w:r>
      <w:r w:rsidRPr="00062BFA">
        <w:rPr>
          <w:noProof/>
        </w:rPr>
        <w:t> </w:t>
      </w:r>
      <w:r w:rsidR="009C6FE9" w:rsidRPr="00062BFA">
        <w:rPr>
          <w:noProof/>
        </w:rPr>
        <w:t>2</w:t>
      </w:r>
      <w:r w:rsidR="009C6FE9" w:rsidRPr="004F6DAA">
        <w:rPr>
          <w:noProof/>
        </w:rPr>
        <w:t xml:space="preserve">9; </w:t>
      </w:r>
    </w:p>
    <w:p w14:paraId="648C1196" w14:textId="77777777" w:rsidR="009C6FE9" w:rsidRPr="004F6DAA" w:rsidRDefault="00062BFA" w:rsidP="00062BFA">
      <w:pPr>
        <w:pStyle w:val="Point1"/>
        <w:rPr>
          <w:noProof/>
        </w:rPr>
      </w:pPr>
      <w:r w:rsidRPr="00062BFA">
        <w:rPr>
          <w:noProof/>
        </w:rPr>
        <w:t>j)</w:t>
      </w:r>
      <w:r w:rsidRPr="00062BFA">
        <w:rPr>
          <w:noProof/>
        </w:rPr>
        <w:tab/>
      </w:r>
      <w:r w:rsidR="009C6FE9" w:rsidRPr="004F6DAA">
        <w:rPr>
          <w:noProof/>
        </w:rPr>
        <w:t>informacje uzupełniające dotyczące zgodności</w:t>
      </w:r>
      <w:r w:rsidRPr="004F6DAA">
        <w:rPr>
          <w:noProof/>
        </w:rPr>
        <w:t xml:space="preserve"> z</w:t>
      </w:r>
      <w:r>
        <w:rPr>
          <w:noProof/>
        </w:rPr>
        <w:t> </w:t>
      </w:r>
      <w:r w:rsidRPr="004F6DAA">
        <w:rPr>
          <w:noProof/>
        </w:rPr>
        <w:t>nin</w:t>
      </w:r>
      <w:r w:rsidR="009C6FE9" w:rsidRPr="004F6DAA">
        <w:rPr>
          <w:noProof/>
        </w:rPr>
        <w:t>iejszym rozporządzeniem, które mogą obejmować informacje dostarczone</w:t>
      </w:r>
      <w:r w:rsidRPr="004F6DAA">
        <w:rPr>
          <w:noProof/>
        </w:rPr>
        <w:t xml:space="preserve"> w</w:t>
      </w:r>
      <w:r>
        <w:rPr>
          <w:noProof/>
        </w:rPr>
        <w:t> </w:t>
      </w:r>
      <w:r w:rsidRPr="004F6DAA">
        <w:rPr>
          <w:noProof/>
        </w:rPr>
        <w:t>ram</w:t>
      </w:r>
      <w:r w:rsidR="009C6FE9" w:rsidRPr="004F6DAA">
        <w:rPr>
          <w:noProof/>
        </w:rPr>
        <w:t>ach certyfikacji lub innych systemów zweryfikowanych przez osoby trzecie,</w:t>
      </w:r>
      <w:r w:rsidRPr="004F6DAA">
        <w:rPr>
          <w:noProof/>
        </w:rPr>
        <w:t xml:space="preserve"> w</w:t>
      </w:r>
      <w:r>
        <w:rPr>
          <w:noProof/>
        </w:rPr>
        <w:t> </w:t>
      </w:r>
      <w:r w:rsidRPr="004F6DAA">
        <w:rPr>
          <w:noProof/>
        </w:rPr>
        <w:t>tym</w:t>
      </w:r>
      <w:r w:rsidR="009C6FE9" w:rsidRPr="004F6DAA">
        <w:rPr>
          <w:noProof/>
        </w:rPr>
        <w:t xml:space="preserve"> dobrowolnych systemów uznanych przez Komisję na podstawie </w:t>
      </w:r>
      <w:r w:rsidR="009C6FE9" w:rsidRPr="00062BFA">
        <w:rPr>
          <w:noProof/>
        </w:rPr>
        <w:t>art.</w:t>
      </w:r>
      <w:r w:rsidRPr="00062BFA">
        <w:rPr>
          <w:noProof/>
        </w:rPr>
        <w:t> </w:t>
      </w:r>
      <w:r w:rsidR="009C6FE9" w:rsidRPr="00062BFA">
        <w:rPr>
          <w:noProof/>
        </w:rPr>
        <w:t>3</w:t>
      </w:r>
      <w:r w:rsidR="009C6FE9" w:rsidRPr="004F6DAA">
        <w:rPr>
          <w:noProof/>
        </w:rPr>
        <w:t xml:space="preserve">0 </w:t>
      </w:r>
      <w:r w:rsidR="009C6FE9" w:rsidRPr="00062BFA">
        <w:rPr>
          <w:noProof/>
        </w:rPr>
        <w:t>ust.</w:t>
      </w:r>
      <w:r w:rsidRPr="00062BFA">
        <w:rPr>
          <w:noProof/>
        </w:rPr>
        <w:t> </w:t>
      </w:r>
      <w:r w:rsidR="009C6FE9" w:rsidRPr="00062BFA">
        <w:rPr>
          <w:noProof/>
        </w:rPr>
        <w:t>5</w:t>
      </w:r>
      <w:r w:rsidR="009C6FE9" w:rsidRPr="004F6DAA">
        <w:rPr>
          <w:noProof/>
        </w:rPr>
        <w:t xml:space="preserve"> dyrektywy (UE) 2018/2001</w:t>
      </w:r>
      <w:r w:rsidR="009C6FE9" w:rsidRPr="004F6DAA">
        <w:rPr>
          <w:rStyle w:val="Odwoanieprzypisudolnego"/>
          <w:noProof/>
        </w:rPr>
        <w:footnoteReference w:id="49"/>
      </w:r>
      <w:r w:rsidR="009C6FE9" w:rsidRPr="004F6DAA">
        <w:rPr>
          <w:noProof/>
        </w:rPr>
        <w:t>,</w:t>
      </w:r>
      <w:r w:rsidRPr="004F6DAA">
        <w:rPr>
          <w:noProof/>
        </w:rPr>
        <w:t xml:space="preserve"> o</w:t>
      </w:r>
      <w:r>
        <w:rPr>
          <w:noProof/>
        </w:rPr>
        <w:t> </w:t>
      </w:r>
      <w:r w:rsidRPr="004F6DAA">
        <w:rPr>
          <w:noProof/>
        </w:rPr>
        <w:t>ile</w:t>
      </w:r>
      <w:r w:rsidR="009C6FE9" w:rsidRPr="004F6DAA">
        <w:rPr>
          <w:noProof/>
        </w:rPr>
        <w:t xml:space="preserve"> informacje te spełniają wymogi określone</w:t>
      </w:r>
      <w:r w:rsidRPr="004F6DAA">
        <w:rPr>
          <w:noProof/>
        </w:rPr>
        <w:t xml:space="preserve"> w</w:t>
      </w:r>
      <w:r>
        <w:rPr>
          <w:noProof/>
        </w:rPr>
        <w:t> </w:t>
      </w:r>
      <w:r w:rsidRPr="00062BFA">
        <w:rPr>
          <w:noProof/>
        </w:rPr>
        <w:t>art</w:t>
      </w:r>
      <w:r w:rsidR="009C6FE9" w:rsidRPr="00062BFA">
        <w:rPr>
          <w:noProof/>
        </w:rPr>
        <w:t>.</w:t>
      </w:r>
      <w:r w:rsidRPr="00062BFA">
        <w:rPr>
          <w:noProof/>
        </w:rPr>
        <w:t> </w:t>
      </w:r>
      <w:r w:rsidR="009C6FE9" w:rsidRPr="00062BFA">
        <w:rPr>
          <w:noProof/>
        </w:rPr>
        <w:t>9</w:t>
      </w:r>
      <w:r w:rsidR="009C6FE9" w:rsidRPr="004F6DAA">
        <w:rPr>
          <w:noProof/>
        </w:rPr>
        <w:t xml:space="preserve">. </w:t>
      </w:r>
    </w:p>
    <w:p w14:paraId="6C8B84C7" w14:textId="77777777" w:rsidR="009C6FE9" w:rsidRPr="004F6DAA" w:rsidRDefault="007B7EB7" w:rsidP="007B7EB7">
      <w:pPr>
        <w:pStyle w:val="ManualNumPar1"/>
        <w:rPr>
          <w:noProof/>
        </w:rPr>
      </w:pPr>
      <w:r w:rsidRPr="007B7EB7">
        <w:t>3.</w:t>
      </w:r>
      <w:r w:rsidRPr="007B7EB7">
        <w:tab/>
      </w:r>
      <w:r w:rsidR="009C6FE9" w:rsidRPr="004F6DAA">
        <w:rPr>
          <w:noProof/>
        </w:rPr>
        <w:t>Produkty</w:t>
      </w:r>
      <w:r w:rsidR="00062BFA" w:rsidRPr="004F6DAA">
        <w:rPr>
          <w:noProof/>
        </w:rPr>
        <w:t xml:space="preserve"> z</w:t>
      </w:r>
      <w:r w:rsidR="00062BFA">
        <w:rPr>
          <w:noProof/>
        </w:rPr>
        <w:t> </w:t>
      </w:r>
      <w:r w:rsidR="00062BFA" w:rsidRPr="004F6DAA">
        <w:rPr>
          <w:noProof/>
        </w:rPr>
        <w:t>dre</w:t>
      </w:r>
      <w:r w:rsidR="009C6FE9" w:rsidRPr="004F6DAA">
        <w:rPr>
          <w:noProof/>
        </w:rPr>
        <w:t xml:space="preserve">wna objęte zakresem stosowania rozporządzenia Rady (WE) </w:t>
      </w:r>
      <w:r w:rsidR="009C6FE9" w:rsidRPr="00062BFA">
        <w:rPr>
          <w:noProof/>
        </w:rPr>
        <w:t>nr</w:t>
      </w:r>
      <w:r w:rsidR="00062BFA" w:rsidRPr="00062BFA">
        <w:rPr>
          <w:noProof/>
        </w:rPr>
        <w:t> </w:t>
      </w:r>
      <w:r w:rsidR="009C6FE9" w:rsidRPr="00062BFA">
        <w:rPr>
          <w:noProof/>
        </w:rPr>
        <w:t>2</w:t>
      </w:r>
      <w:r w:rsidR="009C6FE9" w:rsidRPr="004F6DAA">
        <w:rPr>
          <w:noProof/>
        </w:rPr>
        <w:t>173/2005, które są objęte ważnym zezwoleniem FLEGT</w:t>
      </w:r>
      <w:r w:rsidR="00062BFA" w:rsidRPr="004F6DAA">
        <w:rPr>
          <w:noProof/>
        </w:rPr>
        <w:t xml:space="preserve"> w</w:t>
      </w:r>
      <w:r w:rsidR="00062BFA">
        <w:rPr>
          <w:noProof/>
        </w:rPr>
        <w:t> </w:t>
      </w:r>
      <w:r w:rsidR="00062BFA" w:rsidRPr="004F6DAA">
        <w:rPr>
          <w:noProof/>
        </w:rPr>
        <w:t>ram</w:t>
      </w:r>
      <w:r w:rsidR="009C6FE9" w:rsidRPr="004F6DAA">
        <w:rPr>
          <w:noProof/>
        </w:rPr>
        <w:t>ach operacyjnego systemu zezwoleń, uznaje się za zgodne</w:t>
      </w:r>
      <w:r w:rsidR="00062BFA" w:rsidRPr="004F6DAA">
        <w:rPr>
          <w:noProof/>
        </w:rPr>
        <w:t xml:space="preserve"> z</w:t>
      </w:r>
      <w:r w:rsidR="00062BFA">
        <w:rPr>
          <w:noProof/>
        </w:rPr>
        <w:t> </w:t>
      </w:r>
      <w:r w:rsidR="00062BFA" w:rsidRPr="00062BFA">
        <w:rPr>
          <w:noProof/>
        </w:rPr>
        <w:t>art</w:t>
      </w:r>
      <w:r w:rsidR="009C6FE9" w:rsidRPr="00062BFA">
        <w:rPr>
          <w:noProof/>
        </w:rPr>
        <w:t>.</w:t>
      </w:r>
      <w:r w:rsidR="00062BFA" w:rsidRPr="00062BFA">
        <w:rPr>
          <w:noProof/>
        </w:rPr>
        <w:t> </w:t>
      </w:r>
      <w:r w:rsidR="009C6FE9" w:rsidRPr="00062BFA">
        <w:rPr>
          <w:noProof/>
        </w:rPr>
        <w:t>3</w:t>
      </w:r>
      <w:r w:rsidR="009C6FE9" w:rsidRPr="004F6DAA">
        <w:rPr>
          <w:noProof/>
        </w:rPr>
        <w:t xml:space="preserve"> </w:t>
      </w:r>
      <w:r w:rsidR="009C6FE9" w:rsidRPr="00062BFA">
        <w:rPr>
          <w:noProof/>
        </w:rPr>
        <w:t>lit.</w:t>
      </w:r>
      <w:r w:rsidR="00062BFA" w:rsidRPr="00062BFA">
        <w:rPr>
          <w:noProof/>
        </w:rPr>
        <w:t> </w:t>
      </w:r>
      <w:r w:rsidR="009C6FE9" w:rsidRPr="00062BFA">
        <w:rPr>
          <w:noProof/>
        </w:rPr>
        <w:t>b)</w:t>
      </w:r>
      <w:r w:rsidR="009C6FE9" w:rsidRPr="004F6DAA">
        <w:rPr>
          <w:noProof/>
        </w:rPr>
        <w:t xml:space="preserve"> niniejszego rozporządzenia. </w:t>
      </w:r>
    </w:p>
    <w:p w14:paraId="3F71A59A" w14:textId="77777777" w:rsidR="009C6FE9" w:rsidRPr="004F6DAA" w:rsidRDefault="007B7EB7" w:rsidP="007B7EB7">
      <w:pPr>
        <w:pStyle w:val="ManualNumPar1"/>
        <w:rPr>
          <w:noProof/>
        </w:rPr>
      </w:pPr>
      <w:r w:rsidRPr="007B7EB7">
        <w:t>4.</w:t>
      </w:r>
      <w:r w:rsidRPr="007B7EB7">
        <w:tab/>
      </w:r>
      <w:r w:rsidR="009C6FE9" w:rsidRPr="004F6DAA">
        <w:rPr>
          <w:noProof/>
        </w:rPr>
        <w:t>Poza sytuacją,</w:t>
      </w:r>
      <w:r w:rsidR="00062BFA" w:rsidRPr="004F6DAA">
        <w:rPr>
          <w:noProof/>
        </w:rPr>
        <w:t xml:space="preserve"> w</w:t>
      </w:r>
      <w:r w:rsidR="00062BFA">
        <w:rPr>
          <w:noProof/>
        </w:rPr>
        <w:t> </w:t>
      </w:r>
      <w:r w:rsidR="00062BFA" w:rsidRPr="004F6DAA">
        <w:rPr>
          <w:noProof/>
        </w:rPr>
        <w:t>któ</w:t>
      </w:r>
      <w:r w:rsidR="009C6FE9" w:rsidRPr="004F6DAA">
        <w:rPr>
          <w:noProof/>
        </w:rPr>
        <w:t>rej analiza przeprowadzona zgodnie</w:t>
      </w:r>
      <w:r w:rsidR="00062BFA" w:rsidRPr="004F6DAA">
        <w:rPr>
          <w:noProof/>
        </w:rPr>
        <w:t xml:space="preserve"> z</w:t>
      </w:r>
      <w:r w:rsidR="00062BFA">
        <w:rPr>
          <w:noProof/>
        </w:rPr>
        <w:t> </w:t>
      </w:r>
      <w:r w:rsidR="00062BFA" w:rsidRPr="00062BFA">
        <w:rPr>
          <w:noProof/>
        </w:rPr>
        <w:t>ust</w:t>
      </w:r>
      <w:r w:rsidR="009C6FE9" w:rsidRPr="00062BFA">
        <w:rPr>
          <w:noProof/>
        </w:rPr>
        <w:t>.</w:t>
      </w:r>
      <w:r w:rsidR="00062BFA" w:rsidRPr="00062BFA">
        <w:rPr>
          <w:noProof/>
        </w:rPr>
        <w:t> </w:t>
      </w:r>
      <w:r w:rsidR="009C6FE9" w:rsidRPr="00062BFA">
        <w:rPr>
          <w:noProof/>
        </w:rPr>
        <w:t>1</w:t>
      </w:r>
      <w:r w:rsidR="009C6FE9" w:rsidRPr="004F6DAA">
        <w:rPr>
          <w:noProof/>
        </w:rPr>
        <w:t xml:space="preserve"> umożliwia podmiotowi potwierdzenie, że nie istnieje żadne ryzyko, aby odnośne towary lub produkty były niezgodne</w:t>
      </w:r>
      <w:r w:rsidR="00062BFA" w:rsidRPr="004F6DAA">
        <w:rPr>
          <w:noProof/>
        </w:rPr>
        <w:t xml:space="preserve"> z</w:t>
      </w:r>
      <w:r w:rsidR="00062BFA">
        <w:rPr>
          <w:noProof/>
        </w:rPr>
        <w:t> </w:t>
      </w:r>
      <w:r w:rsidR="00062BFA" w:rsidRPr="004F6DAA">
        <w:rPr>
          <w:noProof/>
        </w:rPr>
        <w:t>wym</w:t>
      </w:r>
      <w:r w:rsidR="009C6FE9" w:rsidRPr="004F6DAA">
        <w:rPr>
          <w:noProof/>
        </w:rPr>
        <w:t>ogami wynikającymi</w:t>
      </w:r>
      <w:r w:rsidR="00062BFA" w:rsidRPr="004F6DAA">
        <w:rPr>
          <w:noProof/>
        </w:rPr>
        <w:t xml:space="preserve"> z</w:t>
      </w:r>
      <w:r w:rsidR="00062BFA">
        <w:rPr>
          <w:noProof/>
        </w:rPr>
        <w:t> </w:t>
      </w:r>
      <w:r w:rsidR="00062BFA" w:rsidRPr="004F6DAA">
        <w:rPr>
          <w:noProof/>
        </w:rPr>
        <w:t>nin</w:t>
      </w:r>
      <w:r w:rsidR="009C6FE9" w:rsidRPr="004F6DAA">
        <w:rPr>
          <w:noProof/>
        </w:rPr>
        <w:t>iejszego rozporządzenia, lub że ryzyko takie jest znikome, podmiot, przed wprowadzeniem odnośnych towarów</w:t>
      </w:r>
      <w:r w:rsidR="00062BFA" w:rsidRPr="004F6DAA">
        <w:rPr>
          <w:noProof/>
        </w:rPr>
        <w:t xml:space="preserve"> i</w:t>
      </w:r>
      <w:r w:rsidR="00062BFA">
        <w:rPr>
          <w:noProof/>
        </w:rPr>
        <w:t> </w:t>
      </w:r>
      <w:r w:rsidR="00062BFA" w:rsidRPr="004F6DAA">
        <w:rPr>
          <w:noProof/>
        </w:rPr>
        <w:t>pro</w:t>
      </w:r>
      <w:r w:rsidR="009C6FE9" w:rsidRPr="004F6DAA">
        <w:rPr>
          <w:noProof/>
        </w:rPr>
        <w:t>duktów do obrotu</w:t>
      </w:r>
      <w:r w:rsidR="00062BFA" w:rsidRPr="004F6DAA">
        <w:rPr>
          <w:noProof/>
        </w:rPr>
        <w:t xml:space="preserve"> w</w:t>
      </w:r>
      <w:r w:rsidR="00062BFA">
        <w:rPr>
          <w:noProof/>
        </w:rPr>
        <w:t> </w:t>
      </w:r>
      <w:r w:rsidR="00062BFA" w:rsidRPr="004F6DAA">
        <w:rPr>
          <w:noProof/>
        </w:rPr>
        <w:t>Uni</w:t>
      </w:r>
      <w:r w:rsidR="009C6FE9" w:rsidRPr="004F6DAA">
        <w:rPr>
          <w:noProof/>
        </w:rPr>
        <w:t>i lub ich wywozem przyjmuje procedury zmniejszania ryzyka</w:t>
      </w:r>
      <w:r w:rsidR="00062BFA" w:rsidRPr="004F6DAA">
        <w:rPr>
          <w:noProof/>
        </w:rPr>
        <w:t xml:space="preserve"> i</w:t>
      </w:r>
      <w:r w:rsidR="00062BFA">
        <w:rPr>
          <w:noProof/>
        </w:rPr>
        <w:t> </w:t>
      </w:r>
      <w:r w:rsidR="00062BFA" w:rsidRPr="004F6DAA">
        <w:rPr>
          <w:noProof/>
        </w:rPr>
        <w:t>śro</w:t>
      </w:r>
      <w:r w:rsidR="009C6FE9" w:rsidRPr="004F6DAA">
        <w:rPr>
          <w:noProof/>
        </w:rPr>
        <w:t>dki odpowiednie do osiągnięcia poziomu zerowego ryzyka lub znikomego ryzyka. Mogą one obejmować wymaganie dodatkowych informacji, danych lub dokumentów, prowadzenie niezależnych badań lub audytów lub podejmowanie innych środków dotyczących wymogów informacyjnych określonych</w:t>
      </w:r>
      <w:r w:rsidR="00062BFA" w:rsidRPr="004F6DAA">
        <w:rPr>
          <w:noProof/>
        </w:rPr>
        <w:t xml:space="preserve"> w</w:t>
      </w:r>
      <w:r w:rsidR="00062BFA">
        <w:rPr>
          <w:noProof/>
        </w:rPr>
        <w:t> </w:t>
      </w:r>
      <w:r w:rsidR="00062BFA" w:rsidRPr="00062BFA">
        <w:rPr>
          <w:noProof/>
        </w:rPr>
        <w:t>art</w:t>
      </w:r>
      <w:r w:rsidR="009C6FE9" w:rsidRPr="00062BFA">
        <w:rPr>
          <w:noProof/>
        </w:rPr>
        <w:t>.</w:t>
      </w:r>
      <w:r w:rsidR="00062BFA" w:rsidRPr="00062BFA">
        <w:rPr>
          <w:noProof/>
        </w:rPr>
        <w:t> </w:t>
      </w:r>
      <w:r w:rsidR="009C6FE9" w:rsidRPr="00062BFA">
        <w:rPr>
          <w:noProof/>
        </w:rPr>
        <w:t>9</w:t>
      </w:r>
      <w:r w:rsidR="009C6FE9" w:rsidRPr="004F6DAA">
        <w:rPr>
          <w:noProof/>
        </w:rPr>
        <w:t>.</w:t>
      </w:r>
    </w:p>
    <w:p w14:paraId="05EAE096" w14:textId="77777777" w:rsidR="009C6FE9" w:rsidRPr="004F6DAA" w:rsidRDefault="007B7EB7" w:rsidP="007B7EB7">
      <w:pPr>
        <w:pStyle w:val="ManualNumPar1"/>
        <w:rPr>
          <w:noProof/>
        </w:rPr>
      </w:pPr>
      <w:r w:rsidRPr="007B7EB7">
        <w:t>5.</w:t>
      </w:r>
      <w:r w:rsidRPr="007B7EB7">
        <w:tab/>
      </w:r>
      <w:r w:rsidR="009C6FE9" w:rsidRPr="004F6DAA">
        <w:rPr>
          <w:noProof/>
        </w:rPr>
        <w:t>Podmioty są</w:t>
      </w:r>
      <w:r w:rsidR="00062BFA" w:rsidRPr="004F6DAA">
        <w:rPr>
          <w:noProof/>
        </w:rPr>
        <w:t xml:space="preserve"> w</w:t>
      </w:r>
      <w:r w:rsidR="00062BFA">
        <w:rPr>
          <w:noProof/>
        </w:rPr>
        <w:t> </w:t>
      </w:r>
      <w:r w:rsidR="00062BFA" w:rsidRPr="004F6DAA">
        <w:rPr>
          <w:noProof/>
        </w:rPr>
        <w:t>sta</w:t>
      </w:r>
      <w:r w:rsidR="009C6FE9" w:rsidRPr="004F6DAA">
        <w:rPr>
          <w:noProof/>
        </w:rPr>
        <w:t>nie wykazać,</w:t>
      </w:r>
      <w:r w:rsidR="00062BFA" w:rsidRPr="004F6DAA">
        <w:rPr>
          <w:noProof/>
        </w:rPr>
        <w:t xml:space="preserve"> w</w:t>
      </w:r>
      <w:r w:rsidR="00062BFA">
        <w:rPr>
          <w:noProof/>
        </w:rPr>
        <w:t> </w:t>
      </w:r>
      <w:r w:rsidR="00062BFA" w:rsidRPr="004F6DAA">
        <w:rPr>
          <w:noProof/>
        </w:rPr>
        <w:t>jak</w:t>
      </w:r>
      <w:r w:rsidR="009C6FE9" w:rsidRPr="004F6DAA">
        <w:rPr>
          <w:noProof/>
        </w:rPr>
        <w:t>i sposób zgromadzone informacje zostały sprawdzone pod kątem kryteriów oceny ryzyka,</w:t>
      </w:r>
      <w:r w:rsidR="00062BFA" w:rsidRPr="004F6DAA">
        <w:rPr>
          <w:noProof/>
        </w:rPr>
        <w:t xml:space="preserve"> o</w:t>
      </w:r>
      <w:r w:rsidR="00062BFA">
        <w:rPr>
          <w:noProof/>
        </w:rPr>
        <w:t> </w:t>
      </w:r>
      <w:r w:rsidR="00062BFA" w:rsidRPr="004F6DAA">
        <w:rPr>
          <w:noProof/>
        </w:rPr>
        <w:t>któ</w:t>
      </w:r>
      <w:r w:rsidR="009C6FE9" w:rsidRPr="004F6DAA">
        <w:rPr>
          <w:noProof/>
        </w:rPr>
        <w:t>rych mowa</w:t>
      </w:r>
      <w:r w:rsidR="00062BFA" w:rsidRPr="004F6DAA">
        <w:rPr>
          <w:noProof/>
        </w:rPr>
        <w:t xml:space="preserve"> w</w:t>
      </w:r>
      <w:r w:rsidR="00062BFA">
        <w:rPr>
          <w:noProof/>
        </w:rPr>
        <w:t> </w:t>
      </w:r>
      <w:r w:rsidR="00062BFA" w:rsidRPr="00062BFA">
        <w:rPr>
          <w:noProof/>
        </w:rPr>
        <w:t>ust</w:t>
      </w:r>
      <w:r w:rsidR="009C6FE9" w:rsidRPr="00062BFA">
        <w:rPr>
          <w:noProof/>
        </w:rPr>
        <w:t>.</w:t>
      </w:r>
      <w:r w:rsidR="00062BFA" w:rsidRPr="00062BFA">
        <w:rPr>
          <w:noProof/>
        </w:rPr>
        <w:t> </w:t>
      </w:r>
      <w:r w:rsidR="009C6FE9" w:rsidRPr="00062BFA">
        <w:rPr>
          <w:noProof/>
        </w:rPr>
        <w:t>2</w:t>
      </w:r>
      <w:r w:rsidR="009C6FE9" w:rsidRPr="004F6DAA">
        <w:rPr>
          <w:noProof/>
        </w:rPr>
        <w:t>,</w:t>
      </w:r>
      <w:r w:rsidR="00062BFA" w:rsidRPr="004F6DAA">
        <w:rPr>
          <w:noProof/>
        </w:rPr>
        <w:t xml:space="preserve"> w</w:t>
      </w:r>
      <w:r w:rsidR="00062BFA">
        <w:rPr>
          <w:noProof/>
        </w:rPr>
        <w:t> </w:t>
      </w:r>
      <w:r w:rsidR="00062BFA" w:rsidRPr="004F6DAA">
        <w:rPr>
          <w:noProof/>
        </w:rPr>
        <w:t>jak</w:t>
      </w:r>
      <w:r w:rsidR="009C6FE9" w:rsidRPr="004F6DAA">
        <w:rPr>
          <w:noProof/>
        </w:rPr>
        <w:t>i sposób podjęto decyzję</w:t>
      </w:r>
      <w:r w:rsidR="00062BFA" w:rsidRPr="004F6DAA">
        <w:rPr>
          <w:noProof/>
        </w:rPr>
        <w:t xml:space="preserve"> w</w:t>
      </w:r>
      <w:r w:rsidR="00062BFA">
        <w:rPr>
          <w:noProof/>
        </w:rPr>
        <w:t> </w:t>
      </w:r>
      <w:r w:rsidR="00062BFA" w:rsidRPr="004F6DAA">
        <w:rPr>
          <w:noProof/>
        </w:rPr>
        <w:t>spr</w:t>
      </w:r>
      <w:r w:rsidR="009C6FE9" w:rsidRPr="004F6DAA">
        <w:rPr>
          <w:noProof/>
        </w:rPr>
        <w:t>awie środków zmniejszających ryzyko oraz</w:t>
      </w:r>
      <w:r w:rsidR="00062BFA" w:rsidRPr="004F6DAA">
        <w:rPr>
          <w:noProof/>
        </w:rPr>
        <w:t xml:space="preserve"> w</w:t>
      </w:r>
      <w:r w:rsidR="00062BFA">
        <w:rPr>
          <w:noProof/>
        </w:rPr>
        <w:t> </w:t>
      </w:r>
      <w:r w:rsidR="00062BFA" w:rsidRPr="004F6DAA">
        <w:rPr>
          <w:noProof/>
        </w:rPr>
        <w:t>jak</w:t>
      </w:r>
      <w:r w:rsidR="009C6FE9" w:rsidRPr="004F6DAA">
        <w:rPr>
          <w:noProof/>
        </w:rPr>
        <w:t>i sposób podmiot określił stopień ryzyka.</w:t>
      </w:r>
    </w:p>
    <w:p w14:paraId="1EB69397" w14:textId="77777777" w:rsidR="009C6FE9" w:rsidRPr="004F6DAA" w:rsidRDefault="007B7EB7" w:rsidP="007B7EB7">
      <w:pPr>
        <w:pStyle w:val="ManualNumPar1"/>
        <w:rPr>
          <w:noProof/>
        </w:rPr>
      </w:pPr>
      <w:r w:rsidRPr="007B7EB7">
        <w:t>6.</w:t>
      </w:r>
      <w:r w:rsidRPr="007B7EB7">
        <w:tab/>
      </w:r>
      <w:r w:rsidR="009C6FE9" w:rsidRPr="004F6DAA">
        <w:rPr>
          <w:noProof/>
        </w:rPr>
        <w:t>Podmioty wdrożyły odpowiednie</w:t>
      </w:r>
      <w:r w:rsidR="00062BFA" w:rsidRPr="004F6DAA">
        <w:rPr>
          <w:noProof/>
        </w:rPr>
        <w:t xml:space="preserve"> i</w:t>
      </w:r>
      <w:r w:rsidR="00062BFA">
        <w:rPr>
          <w:noProof/>
        </w:rPr>
        <w:t> </w:t>
      </w:r>
      <w:r w:rsidR="00062BFA" w:rsidRPr="004F6DAA">
        <w:rPr>
          <w:noProof/>
        </w:rPr>
        <w:t>pro</w:t>
      </w:r>
      <w:r w:rsidR="009C6FE9" w:rsidRPr="004F6DAA">
        <w:rPr>
          <w:noProof/>
        </w:rPr>
        <w:t>porcjonalne polityki, kontrole</w:t>
      </w:r>
      <w:r w:rsidR="00062BFA" w:rsidRPr="004F6DAA">
        <w:rPr>
          <w:noProof/>
        </w:rPr>
        <w:t xml:space="preserve"> i</w:t>
      </w:r>
      <w:r w:rsidR="00062BFA">
        <w:rPr>
          <w:noProof/>
        </w:rPr>
        <w:t> </w:t>
      </w:r>
      <w:r w:rsidR="00062BFA" w:rsidRPr="004F6DAA">
        <w:rPr>
          <w:noProof/>
        </w:rPr>
        <w:t>pro</w:t>
      </w:r>
      <w:r w:rsidR="009C6FE9" w:rsidRPr="004F6DAA">
        <w:rPr>
          <w:noProof/>
        </w:rPr>
        <w:t>cedury służące skutecznemu zmniejszaniu ryzyka niezgodności odnośnych towarów</w:t>
      </w:r>
      <w:r w:rsidR="00062BFA" w:rsidRPr="004F6DAA">
        <w:rPr>
          <w:noProof/>
        </w:rPr>
        <w:t xml:space="preserve"> i</w:t>
      </w:r>
      <w:r w:rsidR="00062BFA">
        <w:rPr>
          <w:noProof/>
        </w:rPr>
        <w:t> </w:t>
      </w:r>
      <w:r w:rsidR="00062BFA" w:rsidRPr="004F6DAA">
        <w:rPr>
          <w:noProof/>
        </w:rPr>
        <w:t>pro</w:t>
      </w:r>
      <w:r w:rsidR="009C6FE9" w:rsidRPr="004F6DAA">
        <w:rPr>
          <w:noProof/>
        </w:rPr>
        <w:t>duktów</w:t>
      </w:r>
      <w:r w:rsidR="00062BFA" w:rsidRPr="004F6DAA">
        <w:rPr>
          <w:noProof/>
        </w:rPr>
        <w:t xml:space="preserve"> z</w:t>
      </w:r>
      <w:r w:rsidR="00062BFA">
        <w:rPr>
          <w:noProof/>
        </w:rPr>
        <w:t> </w:t>
      </w:r>
      <w:r w:rsidR="00062BFA" w:rsidRPr="004F6DAA">
        <w:rPr>
          <w:noProof/>
        </w:rPr>
        <w:t>wym</w:t>
      </w:r>
      <w:r w:rsidR="009C6FE9" w:rsidRPr="004F6DAA">
        <w:rPr>
          <w:noProof/>
        </w:rPr>
        <w:t>ogami oraz skutecznemu zarządzaniu takim ryzykiem. Obejmują one:</w:t>
      </w:r>
    </w:p>
    <w:p w14:paraId="5D48CB11" w14:textId="77777777" w:rsidR="009C6FE9" w:rsidRPr="004F6DAA" w:rsidRDefault="00062BFA" w:rsidP="00062BFA">
      <w:pPr>
        <w:pStyle w:val="Point1"/>
        <w:rPr>
          <w:noProof/>
        </w:rPr>
      </w:pPr>
      <w:r w:rsidRPr="00062BFA">
        <w:rPr>
          <w:noProof/>
        </w:rPr>
        <w:t>a)</w:t>
      </w:r>
      <w:r w:rsidRPr="00062BFA">
        <w:rPr>
          <w:noProof/>
        </w:rPr>
        <w:tab/>
      </w:r>
      <w:r w:rsidR="009C6FE9" w:rsidRPr="004F6DAA">
        <w:rPr>
          <w:noProof/>
        </w:rPr>
        <w:t>modelowe praktyki zarządzania ryzykiem, sprawozdawczość, prowadzenie rejestrów, kontrolę wewnętrzną</w:t>
      </w:r>
      <w:r w:rsidRPr="004F6DAA">
        <w:rPr>
          <w:noProof/>
        </w:rPr>
        <w:t xml:space="preserve"> i</w:t>
      </w:r>
      <w:r>
        <w:rPr>
          <w:noProof/>
        </w:rPr>
        <w:t> </w:t>
      </w:r>
      <w:r w:rsidRPr="004F6DAA">
        <w:rPr>
          <w:noProof/>
        </w:rPr>
        <w:t>zar</w:t>
      </w:r>
      <w:r w:rsidR="009C6FE9" w:rsidRPr="004F6DAA">
        <w:rPr>
          <w:noProof/>
        </w:rPr>
        <w:t>ządzanie zgodnością,</w:t>
      </w:r>
      <w:r w:rsidRPr="004F6DAA">
        <w:rPr>
          <w:noProof/>
        </w:rPr>
        <w:t xml:space="preserve"> w</w:t>
      </w:r>
      <w:r>
        <w:rPr>
          <w:noProof/>
        </w:rPr>
        <w:t> </w:t>
      </w:r>
      <w:r w:rsidRPr="004F6DAA">
        <w:rPr>
          <w:noProof/>
        </w:rPr>
        <w:t>tym w</w:t>
      </w:r>
      <w:r>
        <w:rPr>
          <w:noProof/>
        </w:rPr>
        <w:t> </w:t>
      </w:r>
      <w:r w:rsidRPr="004F6DAA">
        <w:rPr>
          <w:noProof/>
        </w:rPr>
        <w:t>odn</w:t>
      </w:r>
      <w:r w:rsidR="009C6FE9" w:rsidRPr="004F6DAA">
        <w:rPr>
          <w:noProof/>
        </w:rPr>
        <w:t>iesieniu do podmiotów niebędących MŚP, wyznaczanie urzędnika odpowiedzialnego za zgodność na poziomie zarządzania;</w:t>
      </w:r>
    </w:p>
    <w:p w14:paraId="4CA32264" w14:textId="77777777" w:rsidR="009C6FE9" w:rsidRPr="004F6DAA" w:rsidRDefault="00062BFA" w:rsidP="00062BFA">
      <w:pPr>
        <w:pStyle w:val="Point1"/>
        <w:rPr>
          <w:noProof/>
        </w:rPr>
      </w:pPr>
      <w:r w:rsidRPr="00062BFA">
        <w:rPr>
          <w:noProof/>
        </w:rPr>
        <w:t>b)</w:t>
      </w:r>
      <w:r w:rsidRPr="00062BFA">
        <w:rPr>
          <w:noProof/>
        </w:rPr>
        <w:tab/>
      </w:r>
      <w:r w:rsidR="009C6FE9" w:rsidRPr="004F6DAA">
        <w:rPr>
          <w:noProof/>
        </w:rPr>
        <w:t>funkcję niezależnego audytu służącą sprawdzaniu wewnętrznych polityk, kontroli</w:t>
      </w:r>
      <w:r w:rsidRPr="004F6DAA">
        <w:rPr>
          <w:noProof/>
        </w:rPr>
        <w:t xml:space="preserve"> i</w:t>
      </w:r>
      <w:r>
        <w:rPr>
          <w:noProof/>
        </w:rPr>
        <w:t> </w:t>
      </w:r>
      <w:r w:rsidRPr="004F6DAA">
        <w:rPr>
          <w:noProof/>
        </w:rPr>
        <w:t>pro</w:t>
      </w:r>
      <w:r w:rsidR="009C6FE9" w:rsidRPr="004F6DAA">
        <w:rPr>
          <w:noProof/>
        </w:rPr>
        <w:t>cedur,</w:t>
      </w:r>
      <w:r w:rsidRPr="004F6DAA">
        <w:rPr>
          <w:noProof/>
        </w:rPr>
        <w:t xml:space="preserve"> o</w:t>
      </w:r>
      <w:r>
        <w:rPr>
          <w:noProof/>
        </w:rPr>
        <w:t> </w:t>
      </w:r>
      <w:r w:rsidRPr="004F6DAA">
        <w:rPr>
          <w:noProof/>
        </w:rPr>
        <w:t>któ</w:t>
      </w:r>
      <w:r w:rsidR="009C6FE9" w:rsidRPr="004F6DAA">
        <w:rPr>
          <w:noProof/>
        </w:rPr>
        <w:t>rych mowa</w:t>
      </w:r>
      <w:r w:rsidRPr="004F6DAA">
        <w:rPr>
          <w:noProof/>
        </w:rPr>
        <w:t xml:space="preserve"> w</w:t>
      </w:r>
      <w:r>
        <w:rPr>
          <w:noProof/>
        </w:rPr>
        <w:t> </w:t>
      </w:r>
      <w:r w:rsidRPr="00062BFA">
        <w:rPr>
          <w:noProof/>
        </w:rPr>
        <w:t>lit</w:t>
      </w:r>
      <w:r w:rsidR="009C6FE9" w:rsidRPr="00062BFA">
        <w:rPr>
          <w:noProof/>
        </w:rPr>
        <w:t>.</w:t>
      </w:r>
      <w:r w:rsidRPr="00062BFA">
        <w:rPr>
          <w:noProof/>
        </w:rPr>
        <w:t> </w:t>
      </w:r>
      <w:r w:rsidR="009C6FE9" w:rsidRPr="00062BFA">
        <w:rPr>
          <w:noProof/>
        </w:rPr>
        <w:t>a)</w:t>
      </w:r>
      <w:r w:rsidR="009C6FE9" w:rsidRPr="004F6DAA">
        <w:rPr>
          <w:noProof/>
        </w:rPr>
        <w:t>,</w:t>
      </w:r>
      <w:r w:rsidRPr="004F6DAA">
        <w:rPr>
          <w:noProof/>
        </w:rPr>
        <w:t xml:space="preserve"> w</w:t>
      </w:r>
      <w:r>
        <w:rPr>
          <w:noProof/>
        </w:rPr>
        <w:t> </w:t>
      </w:r>
      <w:r w:rsidRPr="004F6DAA">
        <w:rPr>
          <w:noProof/>
        </w:rPr>
        <w:t>odn</w:t>
      </w:r>
      <w:r w:rsidR="009C6FE9" w:rsidRPr="004F6DAA">
        <w:rPr>
          <w:noProof/>
        </w:rPr>
        <w:t>iesieniu do wszystkich podmiotów niebędących MŚP.</w:t>
      </w:r>
    </w:p>
    <w:p w14:paraId="296B40A7" w14:textId="77777777" w:rsidR="009C6FE9" w:rsidRPr="004F6DAA" w:rsidRDefault="007B7EB7" w:rsidP="007B7EB7">
      <w:pPr>
        <w:pStyle w:val="ManualNumPar1"/>
        <w:rPr>
          <w:noProof/>
        </w:rPr>
      </w:pPr>
      <w:r w:rsidRPr="007B7EB7">
        <w:t>7.</w:t>
      </w:r>
      <w:r w:rsidRPr="007B7EB7">
        <w:tab/>
      </w:r>
      <w:r w:rsidR="009C6FE9" w:rsidRPr="004F6DAA">
        <w:rPr>
          <w:noProof/>
        </w:rPr>
        <w:t>Oceny ryzyka są dokumentowane, przynajmniej raz na rok poddawane przeglądowi</w:t>
      </w:r>
      <w:r w:rsidR="00062BFA" w:rsidRPr="004F6DAA">
        <w:rPr>
          <w:noProof/>
        </w:rPr>
        <w:t xml:space="preserve"> i</w:t>
      </w:r>
      <w:r w:rsidR="00062BFA">
        <w:rPr>
          <w:noProof/>
        </w:rPr>
        <w:t> </w:t>
      </w:r>
      <w:r w:rsidR="00062BFA" w:rsidRPr="004F6DAA">
        <w:rPr>
          <w:noProof/>
        </w:rPr>
        <w:t>udo</w:t>
      </w:r>
      <w:r w:rsidR="009C6FE9" w:rsidRPr="004F6DAA">
        <w:rPr>
          <w:noProof/>
        </w:rPr>
        <w:t>stępniane na wniosek właściwym organom.</w:t>
      </w:r>
    </w:p>
    <w:p w14:paraId="129C16D8" w14:textId="77777777" w:rsidR="009C6FE9" w:rsidRPr="004F6DAA" w:rsidRDefault="007B7EB7" w:rsidP="007B7EB7">
      <w:pPr>
        <w:pStyle w:val="ManualNumPar1"/>
        <w:rPr>
          <w:noProof/>
        </w:rPr>
      </w:pPr>
      <w:r w:rsidRPr="007B7EB7">
        <w:t>8.</w:t>
      </w:r>
      <w:r w:rsidRPr="007B7EB7">
        <w:tab/>
      </w:r>
      <w:r w:rsidR="009C6FE9" w:rsidRPr="004F6DAA">
        <w:rPr>
          <w:noProof/>
        </w:rPr>
        <w:t>Komisja może zgodnie</w:t>
      </w:r>
      <w:r w:rsidR="00062BFA" w:rsidRPr="004F6DAA">
        <w:rPr>
          <w:noProof/>
        </w:rPr>
        <w:t xml:space="preserve"> z</w:t>
      </w:r>
      <w:r w:rsidR="00062BFA">
        <w:rPr>
          <w:noProof/>
        </w:rPr>
        <w:t> </w:t>
      </w:r>
      <w:r w:rsidR="00062BFA" w:rsidRPr="00062BFA">
        <w:rPr>
          <w:noProof/>
        </w:rPr>
        <w:t>art</w:t>
      </w:r>
      <w:r w:rsidR="009C6FE9" w:rsidRPr="00062BFA">
        <w:rPr>
          <w:noProof/>
        </w:rPr>
        <w:t>.</w:t>
      </w:r>
      <w:r w:rsidR="00062BFA" w:rsidRPr="00062BFA">
        <w:rPr>
          <w:noProof/>
        </w:rPr>
        <w:t> </w:t>
      </w:r>
      <w:r w:rsidR="009C6FE9" w:rsidRPr="00062BFA">
        <w:rPr>
          <w:noProof/>
        </w:rPr>
        <w:t>3</w:t>
      </w:r>
      <w:r w:rsidR="009C6FE9" w:rsidRPr="004F6DAA">
        <w:rPr>
          <w:noProof/>
        </w:rPr>
        <w:t xml:space="preserve">3 przyjmować akty delegowane, aby uzupełnić </w:t>
      </w:r>
      <w:r w:rsidR="009C6FE9" w:rsidRPr="00062BFA">
        <w:rPr>
          <w:noProof/>
        </w:rPr>
        <w:t>ust.</w:t>
      </w:r>
      <w:r w:rsidR="00062BFA" w:rsidRPr="00062BFA">
        <w:rPr>
          <w:noProof/>
        </w:rPr>
        <w:t> </w:t>
      </w:r>
      <w:r w:rsidR="009C6FE9" w:rsidRPr="00062BFA">
        <w:rPr>
          <w:noProof/>
        </w:rPr>
        <w:t>2</w:t>
      </w:r>
      <w:r w:rsidR="009C6FE9" w:rsidRPr="004F6DAA">
        <w:rPr>
          <w:noProof/>
        </w:rPr>
        <w:t>, 4</w:t>
      </w:r>
      <w:r w:rsidR="00062BFA" w:rsidRPr="004F6DAA">
        <w:rPr>
          <w:noProof/>
        </w:rPr>
        <w:t xml:space="preserve"> i</w:t>
      </w:r>
      <w:r w:rsidR="00062BFA">
        <w:rPr>
          <w:noProof/>
        </w:rPr>
        <w:t> </w:t>
      </w:r>
      <w:r w:rsidR="00062BFA" w:rsidRPr="004F6DAA">
        <w:rPr>
          <w:noProof/>
        </w:rPr>
        <w:t>6</w:t>
      </w:r>
      <w:r w:rsidR="009C6FE9" w:rsidRPr="004F6DAA">
        <w:rPr>
          <w:noProof/>
        </w:rPr>
        <w:t>, dotyczące istotnych informacji, które należy uzyskać, kryteriów oceny ryzyka</w:t>
      </w:r>
      <w:r w:rsidR="00062BFA" w:rsidRPr="004F6DAA">
        <w:rPr>
          <w:noProof/>
        </w:rPr>
        <w:t xml:space="preserve"> i</w:t>
      </w:r>
      <w:r w:rsidR="00062BFA">
        <w:rPr>
          <w:noProof/>
        </w:rPr>
        <w:t> </w:t>
      </w:r>
      <w:r w:rsidR="00062BFA" w:rsidRPr="004F6DAA">
        <w:rPr>
          <w:noProof/>
        </w:rPr>
        <w:t>śro</w:t>
      </w:r>
      <w:r w:rsidR="009C6FE9" w:rsidRPr="004F6DAA">
        <w:rPr>
          <w:noProof/>
        </w:rPr>
        <w:t>dków zmniejszających ryzyko, które mogą być konieczne do uzupełnienia kwestii,</w:t>
      </w:r>
      <w:r w:rsidR="00062BFA" w:rsidRPr="004F6DAA">
        <w:rPr>
          <w:noProof/>
        </w:rPr>
        <w:t xml:space="preserve"> o</w:t>
      </w:r>
      <w:r w:rsidR="00062BFA">
        <w:rPr>
          <w:noProof/>
        </w:rPr>
        <w:t> </w:t>
      </w:r>
      <w:r w:rsidR="00062BFA" w:rsidRPr="004F6DAA">
        <w:rPr>
          <w:noProof/>
        </w:rPr>
        <w:t>któ</w:t>
      </w:r>
      <w:r w:rsidR="009C6FE9" w:rsidRPr="004F6DAA">
        <w:rPr>
          <w:noProof/>
        </w:rPr>
        <w:t>rych mowa</w:t>
      </w:r>
      <w:r w:rsidR="00062BFA" w:rsidRPr="004F6DAA">
        <w:rPr>
          <w:noProof/>
        </w:rPr>
        <w:t xml:space="preserve"> w</w:t>
      </w:r>
      <w:r w:rsidR="00062BFA">
        <w:rPr>
          <w:noProof/>
        </w:rPr>
        <w:t> </w:t>
      </w:r>
      <w:r w:rsidR="00062BFA" w:rsidRPr="004F6DAA">
        <w:rPr>
          <w:noProof/>
        </w:rPr>
        <w:t>nin</w:t>
      </w:r>
      <w:r w:rsidR="009C6FE9" w:rsidRPr="004F6DAA">
        <w:rPr>
          <w:noProof/>
        </w:rPr>
        <w:t>iejszym artykule,</w:t>
      </w:r>
      <w:r w:rsidR="00062BFA" w:rsidRPr="004F6DAA">
        <w:rPr>
          <w:noProof/>
        </w:rPr>
        <w:t xml:space="preserve"> w</w:t>
      </w:r>
      <w:r w:rsidR="00062BFA">
        <w:rPr>
          <w:noProof/>
        </w:rPr>
        <w:t> </w:t>
      </w:r>
      <w:r w:rsidR="00062BFA" w:rsidRPr="004F6DAA">
        <w:rPr>
          <w:noProof/>
        </w:rPr>
        <w:t>cel</w:t>
      </w:r>
      <w:r w:rsidR="009C6FE9" w:rsidRPr="004F6DAA">
        <w:rPr>
          <w:noProof/>
        </w:rPr>
        <w:t>u zapewnienia skuteczności systemu zasad należytej staranności.</w:t>
      </w:r>
    </w:p>
    <w:p w14:paraId="09251D96" w14:textId="77777777" w:rsidR="00251F50" w:rsidRPr="004F6DAA" w:rsidRDefault="00BE6D4F" w:rsidP="00BE6D4F">
      <w:pPr>
        <w:pStyle w:val="Titrearticle"/>
        <w:rPr>
          <w:noProof/>
        </w:rPr>
      </w:pPr>
      <w:r w:rsidRPr="004F6DAA">
        <w:rPr>
          <w:noProof/>
        </w:rPr>
        <w:t>Artykuł 11</w:t>
      </w:r>
    </w:p>
    <w:p w14:paraId="6FECB10C" w14:textId="77777777" w:rsidR="00BE6D4F" w:rsidRPr="004F6DAA" w:rsidRDefault="00BE6D4F" w:rsidP="00251F50">
      <w:pPr>
        <w:pStyle w:val="Sous-titreobjet"/>
        <w:rPr>
          <w:noProof/>
        </w:rPr>
      </w:pPr>
      <w:r w:rsidRPr="004F6DAA">
        <w:rPr>
          <w:noProof/>
        </w:rPr>
        <w:t>Prowadzenie systemów zasad należytej staranności</w:t>
      </w:r>
      <w:r w:rsidR="00062BFA" w:rsidRPr="004F6DAA">
        <w:rPr>
          <w:noProof/>
        </w:rPr>
        <w:t xml:space="preserve"> i</w:t>
      </w:r>
      <w:r w:rsidR="00062BFA">
        <w:rPr>
          <w:noProof/>
        </w:rPr>
        <w:t> </w:t>
      </w:r>
      <w:r w:rsidR="00062BFA" w:rsidRPr="004F6DAA">
        <w:rPr>
          <w:noProof/>
        </w:rPr>
        <w:t>rej</w:t>
      </w:r>
      <w:r w:rsidRPr="004F6DAA">
        <w:rPr>
          <w:noProof/>
        </w:rPr>
        <w:t>estru</w:t>
      </w:r>
    </w:p>
    <w:p w14:paraId="665103FB" w14:textId="77777777" w:rsidR="00D9368B" w:rsidRPr="004F6DAA" w:rsidRDefault="007B7EB7" w:rsidP="007B7EB7">
      <w:pPr>
        <w:pStyle w:val="ManualNumPar1"/>
        <w:rPr>
          <w:rFonts w:eastAsia="Times New Roman"/>
          <w:noProof/>
        </w:rPr>
      </w:pPr>
      <w:r w:rsidRPr="007B7EB7">
        <w:t>1.</w:t>
      </w:r>
      <w:r w:rsidRPr="007B7EB7">
        <w:tab/>
      </w:r>
      <w:r w:rsidR="00D9368B" w:rsidRPr="004F6DAA">
        <w:rPr>
          <w:noProof/>
        </w:rPr>
        <w:t>W celu zachowania należytej staranności zgodnie</w:t>
      </w:r>
      <w:r w:rsidR="00062BFA" w:rsidRPr="004F6DAA">
        <w:rPr>
          <w:noProof/>
        </w:rPr>
        <w:t xml:space="preserve"> z</w:t>
      </w:r>
      <w:r w:rsidR="00062BFA">
        <w:rPr>
          <w:noProof/>
        </w:rPr>
        <w:t> </w:t>
      </w:r>
      <w:r w:rsidR="00062BFA" w:rsidRPr="00062BFA">
        <w:rPr>
          <w:noProof/>
        </w:rPr>
        <w:t>art</w:t>
      </w:r>
      <w:r w:rsidR="00D9368B" w:rsidRPr="00062BFA">
        <w:rPr>
          <w:noProof/>
        </w:rPr>
        <w:t>.</w:t>
      </w:r>
      <w:r w:rsidR="00062BFA" w:rsidRPr="00062BFA">
        <w:rPr>
          <w:noProof/>
        </w:rPr>
        <w:t> </w:t>
      </w:r>
      <w:r w:rsidR="00D9368B" w:rsidRPr="00062BFA">
        <w:rPr>
          <w:noProof/>
        </w:rPr>
        <w:t>8</w:t>
      </w:r>
      <w:r w:rsidR="00D9368B" w:rsidRPr="004F6DAA">
        <w:rPr>
          <w:noProof/>
        </w:rPr>
        <w:t xml:space="preserve"> podmioty wprowadzają</w:t>
      </w:r>
      <w:r w:rsidR="00062BFA" w:rsidRPr="004F6DAA">
        <w:rPr>
          <w:noProof/>
        </w:rPr>
        <w:t xml:space="preserve"> i</w:t>
      </w:r>
      <w:r w:rsidR="00062BFA">
        <w:rPr>
          <w:noProof/>
        </w:rPr>
        <w:t> </w:t>
      </w:r>
      <w:r w:rsidR="00062BFA" w:rsidRPr="004F6DAA">
        <w:rPr>
          <w:noProof/>
        </w:rPr>
        <w:t>akt</w:t>
      </w:r>
      <w:r w:rsidR="00D9368B" w:rsidRPr="004F6DAA">
        <w:rPr>
          <w:noProof/>
        </w:rPr>
        <w:t>ualizują system zasad należytej staranności, aby umożliwić zagwarantowanie zgodności</w:t>
      </w:r>
      <w:r w:rsidR="00062BFA" w:rsidRPr="004F6DAA">
        <w:rPr>
          <w:noProof/>
        </w:rPr>
        <w:t xml:space="preserve"> z</w:t>
      </w:r>
      <w:r w:rsidR="00062BFA">
        <w:rPr>
          <w:noProof/>
        </w:rPr>
        <w:t> </w:t>
      </w:r>
      <w:r w:rsidR="00062BFA" w:rsidRPr="004F6DAA">
        <w:rPr>
          <w:noProof/>
        </w:rPr>
        <w:t>wym</w:t>
      </w:r>
      <w:r w:rsidR="00D9368B" w:rsidRPr="004F6DAA">
        <w:rPr>
          <w:noProof/>
        </w:rPr>
        <w:t>ogami określonymi</w:t>
      </w:r>
      <w:r w:rsidR="00062BFA" w:rsidRPr="004F6DAA">
        <w:rPr>
          <w:noProof/>
        </w:rPr>
        <w:t xml:space="preserve"> w</w:t>
      </w:r>
      <w:r w:rsidR="00062BFA">
        <w:rPr>
          <w:noProof/>
        </w:rPr>
        <w:t> </w:t>
      </w:r>
      <w:r w:rsidR="00062BFA" w:rsidRPr="00062BFA">
        <w:rPr>
          <w:noProof/>
        </w:rPr>
        <w:t>art</w:t>
      </w:r>
      <w:r w:rsidR="00D9368B" w:rsidRPr="00062BFA">
        <w:rPr>
          <w:noProof/>
        </w:rPr>
        <w:t>.</w:t>
      </w:r>
      <w:r w:rsidR="00062BFA" w:rsidRPr="00062BFA">
        <w:rPr>
          <w:noProof/>
        </w:rPr>
        <w:t> </w:t>
      </w:r>
      <w:r w:rsidR="00D9368B" w:rsidRPr="00062BFA">
        <w:rPr>
          <w:noProof/>
        </w:rPr>
        <w:t>3</w:t>
      </w:r>
      <w:r w:rsidR="00D9368B" w:rsidRPr="004F6DAA">
        <w:rPr>
          <w:noProof/>
        </w:rPr>
        <w:t xml:space="preserve"> </w:t>
      </w:r>
      <w:r w:rsidR="00D9368B" w:rsidRPr="00062BFA">
        <w:rPr>
          <w:noProof/>
        </w:rPr>
        <w:t>lit.</w:t>
      </w:r>
      <w:r w:rsidR="00062BFA" w:rsidRPr="00062BFA">
        <w:rPr>
          <w:noProof/>
        </w:rPr>
        <w:t> </w:t>
      </w:r>
      <w:r w:rsidR="00D9368B" w:rsidRPr="00062BFA">
        <w:rPr>
          <w:noProof/>
        </w:rPr>
        <w:t>a)</w:t>
      </w:r>
      <w:r w:rsidR="00D9368B" w:rsidRPr="004F6DAA">
        <w:rPr>
          <w:noProof/>
        </w:rPr>
        <w:t xml:space="preserve"> i b). System zasad należytej staranności poddaje się przeglądowi przynajmniej raz</w:t>
      </w:r>
      <w:r w:rsidR="00062BFA" w:rsidRPr="004F6DAA">
        <w:rPr>
          <w:noProof/>
        </w:rPr>
        <w:t xml:space="preserve"> w</w:t>
      </w:r>
      <w:r w:rsidR="00062BFA">
        <w:rPr>
          <w:noProof/>
        </w:rPr>
        <w:t> </w:t>
      </w:r>
      <w:r w:rsidR="00062BFA" w:rsidRPr="004F6DAA">
        <w:rPr>
          <w:noProof/>
        </w:rPr>
        <w:t>rok</w:t>
      </w:r>
      <w:r w:rsidR="00D9368B" w:rsidRPr="004F6DAA">
        <w:rPr>
          <w:noProof/>
        </w:rPr>
        <w:t>u</w:t>
      </w:r>
      <w:r w:rsidR="00062BFA" w:rsidRPr="004F6DAA">
        <w:rPr>
          <w:noProof/>
        </w:rPr>
        <w:t xml:space="preserve"> i</w:t>
      </w:r>
      <w:r w:rsidR="00062BFA">
        <w:rPr>
          <w:noProof/>
        </w:rPr>
        <w:t> </w:t>
      </w:r>
      <w:r w:rsidR="00062BFA" w:rsidRPr="004F6DAA">
        <w:rPr>
          <w:noProof/>
        </w:rPr>
        <w:t>w</w:t>
      </w:r>
      <w:r w:rsidR="00062BFA">
        <w:rPr>
          <w:noProof/>
        </w:rPr>
        <w:t> </w:t>
      </w:r>
      <w:r w:rsidR="00062BFA" w:rsidRPr="004F6DAA">
        <w:rPr>
          <w:noProof/>
        </w:rPr>
        <w:t>raz</w:t>
      </w:r>
      <w:r w:rsidR="00D9368B" w:rsidRPr="004F6DAA">
        <w:rPr>
          <w:noProof/>
        </w:rPr>
        <w:t>ie potrzeby dostosowuje się go do nowych zmian, które mogą mieć wpływ na zachowanie należytej staranności,</w:t>
      </w:r>
      <w:r w:rsidR="00062BFA" w:rsidRPr="004F6DAA">
        <w:rPr>
          <w:noProof/>
        </w:rPr>
        <w:t xml:space="preserve"> i</w:t>
      </w:r>
      <w:r w:rsidR="00062BFA">
        <w:rPr>
          <w:noProof/>
        </w:rPr>
        <w:t> </w:t>
      </w:r>
      <w:r w:rsidR="00062BFA" w:rsidRPr="004F6DAA">
        <w:rPr>
          <w:noProof/>
        </w:rPr>
        <w:t>uwz</w:t>
      </w:r>
      <w:r w:rsidR="00D9368B" w:rsidRPr="004F6DAA">
        <w:rPr>
          <w:noProof/>
        </w:rPr>
        <w:t>ględnia się</w:t>
      </w:r>
      <w:r w:rsidR="00062BFA" w:rsidRPr="004F6DAA">
        <w:rPr>
          <w:noProof/>
        </w:rPr>
        <w:t xml:space="preserve"> w</w:t>
      </w:r>
      <w:r w:rsidR="00062BFA">
        <w:rPr>
          <w:noProof/>
        </w:rPr>
        <w:t> </w:t>
      </w:r>
      <w:r w:rsidR="00062BFA" w:rsidRPr="004F6DAA">
        <w:rPr>
          <w:noProof/>
        </w:rPr>
        <w:t>nim</w:t>
      </w:r>
      <w:r w:rsidR="00D9368B" w:rsidRPr="004F6DAA">
        <w:rPr>
          <w:noProof/>
        </w:rPr>
        <w:t xml:space="preserve"> takie zmiany. Podmioty prowadzą rejestr zmian</w:t>
      </w:r>
      <w:r w:rsidR="00062BFA" w:rsidRPr="004F6DAA">
        <w:rPr>
          <w:noProof/>
        </w:rPr>
        <w:t xml:space="preserve"> w</w:t>
      </w:r>
      <w:r w:rsidR="00062BFA">
        <w:rPr>
          <w:noProof/>
        </w:rPr>
        <w:t> </w:t>
      </w:r>
      <w:r w:rsidR="00062BFA" w:rsidRPr="004F6DAA">
        <w:rPr>
          <w:noProof/>
        </w:rPr>
        <w:t>sys</w:t>
      </w:r>
      <w:r w:rsidR="00D9368B" w:rsidRPr="004F6DAA">
        <w:rPr>
          <w:noProof/>
        </w:rPr>
        <w:t>temie lub systemach zasad należytej staranności przez okres 5 lat.</w:t>
      </w:r>
    </w:p>
    <w:p w14:paraId="4D12A04E" w14:textId="77777777" w:rsidR="00D9368B" w:rsidRPr="004F6DAA" w:rsidRDefault="007B7EB7" w:rsidP="007B7EB7">
      <w:pPr>
        <w:pStyle w:val="ManualNumPar1"/>
        <w:rPr>
          <w:noProof/>
        </w:rPr>
      </w:pPr>
      <w:r w:rsidRPr="007B7EB7">
        <w:t>2.</w:t>
      </w:r>
      <w:r w:rsidRPr="007B7EB7">
        <w:tab/>
      </w:r>
      <w:r w:rsidR="00D9368B" w:rsidRPr="004F6DAA">
        <w:rPr>
          <w:noProof/>
        </w:rPr>
        <w:t>O ile nie przewidziano inaczej</w:t>
      </w:r>
      <w:r w:rsidR="00062BFA" w:rsidRPr="004F6DAA">
        <w:rPr>
          <w:noProof/>
        </w:rPr>
        <w:t xml:space="preserve"> w</w:t>
      </w:r>
      <w:r w:rsidR="00062BFA">
        <w:rPr>
          <w:noProof/>
        </w:rPr>
        <w:t> </w:t>
      </w:r>
      <w:r w:rsidR="00062BFA" w:rsidRPr="004F6DAA">
        <w:rPr>
          <w:noProof/>
        </w:rPr>
        <w:t>inn</w:t>
      </w:r>
      <w:r w:rsidR="00D9368B" w:rsidRPr="004F6DAA">
        <w:rPr>
          <w:noProof/>
        </w:rPr>
        <w:t>ych instrumentach legislacyjnych UE określających wymogi dotyczące należytej staranności</w:t>
      </w:r>
      <w:r w:rsidR="00062BFA" w:rsidRPr="004F6DAA">
        <w:rPr>
          <w:noProof/>
        </w:rPr>
        <w:t xml:space="preserve"> w</w:t>
      </w:r>
      <w:r w:rsidR="00062BFA">
        <w:rPr>
          <w:noProof/>
        </w:rPr>
        <w:t> </w:t>
      </w:r>
      <w:r w:rsidR="00062BFA" w:rsidRPr="004F6DAA">
        <w:rPr>
          <w:noProof/>
        </w:rPr>
        <w:t>zak</w:t>
      </w:r>
      <w:r w:rsidR="00D9368B" w:rsidRPr="004F6DAA">
        <w:rPr>
          <w:noProof/>
        </w:rPr>
        <w:t>resie zrównoważonego charakteru łańcucha wartości, podmioty niebędące MŚP corocznie,</w:t>
      </w:r>
      <w:r w:rsidR="00062BFA" w:rsidRPr="004F6DAA">
        <w:rPr>
          <w:noProof/>
        </w:rPr>
        <w:t xml:space="preserve"> w</w:t>
      </w:r>
      <w:r w:rsidR="00062BFA">
        <w:rPr>
          <w:noProof/>
        </w:rPr>
        <w:t> </w:t>
      </w:r>
      <w:r w:rsidR="00062BFA" w:rsidRPr="004F6DAA">
        <w:rPr>
          <w:noProof/>
        </w:rPr>
        <w:t>jak</w:t>
      </w:r>
      <w:r w:rsidR="00D9368B" w:rsidRPr="004F6DAA">
        <w:rPr>
          <w:noProof/>
        </w:rPr>
        <w:t xml:space="preserve"> najszerszym zakresie, także</w:t>
      </w:r>
      <w:r w:rsidR="00062BFA" w:rsidRPr="004F6DAA">
        <w:rPr>
          <w:noProof/>
        </w:rPr>
        <w:t xml:space="preserve"> w</w:t>
      </w:r>
      <w:r w:rsidR="00062BFA">
        <w:rPr>
          <w:noProof/>
        </w:rPr>
        <w:t> </w:t>
      </w:r>
      <w:r w:rsidR="00062BFA" w:rsidRPr="004F6DAA">
        <w:rPr>
          <w:noProof/>
        </w:rPr>
        <w:t>int</w:t>
      </w:r>
      <w:r w:rsidR="00D9368B" w:rsidRPr="004F6DAA">
        <w:rPr>
          <w:noProof/>
        </w:rPr>
        <w:t>ernecie, podają do wiadomości publicznej sprawozdanie dotyczące ich systemu zasad należytej staranności,</w:t>
      </w:r>
      <w:r w:rsidR="00062BFA" w:rsidRPr="004F6DAA">
        <w:rPr>
          <w:noProof/>
        </w:rPr>
        <w:t xml:space="preserve"> w</w:t>
      </w:r>
      <w:r w:rsidR="00062BFA">
        <w:rPr>
          <w:noProof/>
        </w:rPr>
        <w:t> </w:t>
      </w:r>
      <w:r w:rsidR="00062BFA" w:rsidRPr="004F6DAA">
        <w:rPr>
          <w:noProof/>
        </w:rPr>
        <w:t>tym</w:t>
      </w:r>
      <w:r w:rsidR="00D9368B" w:rsidRPr="004F6DAA">
        <w:rPr>
          <w:noProof/>
        </w:rPr>
        <w:t xml:space="preserve"> kroków podejmowanych przez nie celem wdrożenia ich obowiązków określonych</w:t>
      </w:r>
      <w:r w:rsidR="00062BFA" w:rsidRPr="004F6DAA">
        <w:rPr>
          <w:noProof/>
        </w:rPr>
        <w:t xml:space="preserve"> w</w:t>
      </w:r>
      <w:r w:rsidR="00062BFA">
        <w:rPr>
          <w:noProof/>
        </w:rPr>
        <w:t> </w:t>
      </w:r>
      <w:r w:rsidR="00062BFA" w:rsidRPr="00062BFA">
        <w:rPr>
          <w:noProof/>
        </w:rPr>
        <w:t>art</w:t>
      </w:r>
      <w:r w:rsidR="00D9368B" w:rsidRPr="00062BFA">
        <w:rPr>
          <w:noProof/>
        </w:rPr>
        <w:t>.</w:t>
      </w:r>
      <w:r w:rsidR="00062BFA" w:rsidRPr="00062BFA">
        <w:rPr>
          <w:noProof/>
        </w:rPr>
        <w:t> </w:t>
      </w:r>
      <w:r w:rsidR="00D9368B" w:rsidRPr="00062BFA">
        <w:rPr>
          <w:noProof/>
        </w:rPr>
        <w:t>8</w:t>
      </w:r>
      <w:r w:rsidR="00D9368B" w:rsidRPr="004F6DAA">
        <w:rPr>
          <w:noProof/>
        </w:rPr>
        <w:t>. Podmioty objęte również zakresem stosowania innych instrumentów legislacyjnych UE określających wymogi</w:t>
      </w:r>
      <w:r w:rsidR="00062BFA" w:rsidRPr="004F6DAA">
        <w:rPr>
          <w:noProof/>
        </w:rPr>
        <w:t xml:space="preserve"> w</w:t>
      </w:r>
      <w:r w:rsidR="00062BFA">
        <w:rPr>
          <w:noProof/>
        </w:rPr>
        <w:t> </w:t>
      </w:r>
      <w:r w:rsidR="00062BFA" w:rsidRPr="004F6DAA">
        <w:rPr>
          <w:noProof/>
        </w:rPr>
        <w:t>zak</w:t>
      </w:r>
      <w:r w:rsidR="00D9368B" w:rsidRPr="004F6DAA">
        <w:rPr>
          <w:noProof/>
        </w:rPr>
        <w:t>resie należytej staranności</w:t>
      </w:r>
      <w:r w:rsidR="00062BFA" w:rsidRPr="004F6DAA">
        <w:rPr>
          <w:noProof/>
        </w:rPr>
        <w:t xml:space="preserve"> w</w:t>
      </w:r>
      <w:r w:rsidR="00062BFA">
        <w:rPr>
          <w:noProof/>
        </w:rPr>
        <w:t> </w:t>
      </w:r>
      <w:r w:rsidR="00062BFA" w:rsidRPr="004F6DAA">
        <w:rPr>
          <w:noProof/>
        </w:rPr>
        <w:t>łań</w:t>
      </w:r>
      <w:r w:rsidR="00D9368B" w:rsidRPr="004F6DAA">
        <w:rPr>
          <w:noProof/>
        </w:rPr>
        <w:t>cuchu wartości spełniają swoje obowiązki sprawozdawcze wynikające</w:t>
      </w:r>
      <w:r w:rsidR="00062BFA" w:rsidRPr="004F6DAA">
        <w:rPr>
          <w:noProof/>
        </w:rPr>
        <w:t xml:space="preserve"> z</w:t>
      </w:r>
      <w:r w:rsidR="00062BFA">
        <w:rPr>
          <w:noProof/>
        </w:rPr>
        <w:t> </w:t>
      </w:r>
      <w:r w:rsidR="00062BFA" w:rsidRPr="004F6DAA">
        <w:rPr>
          <w:noProof/>
        </w:rPr>
        <w:t>nin</w:t>
      </w:r>
      <w:r w:rsidR="00D9368B" w:rsidRPr="004F6DAA">
        <w:rPr>
          <w:noProof/>
        </w:rPr>
        <w:t>iejszego ustępu, podając wymagane informacje przy sporządzaniu sprawozdań</w:t>
      </w:r>
      <w:r w:rsidR="00062BFA" w:rsidRPr="004F6DAA">
        <w:rPr>
          <w:noProof/>
        </w:rPr>
        <w:t xml:space="preserve"> w</w:t>
      </w:r>
      <w:r w:rsidR="00062BFA">
        <w:rPr>
          <w:noProof/>
        </w:rPr>
        <w:t> </w:t>
      </w:r>
      <w:r w:rsidR="00062BFA" w:rsidRPr="004F6DAA">
        <w:rPr>
          <w:noProof/>
        </w:rPr>
        <w:t>kon</w:t>
      </w:r>
      <w:r w:rsidR="00D9368B" w:rsidRPr="004F6DAA">
        <w:rPr>
          <w:noProof/>
        </w:rPr>
        <w:t>tekście innych instrumentów legislacyjnych UE.</w:t>
      </w:r>
    </w:p>
    <w:p w14:paraId="5E9CAE4B" w14:textId="77777777" w:rsidR="00D9368B" w:rsidRPr="004F6DAA" w:rsidRDefault="007B7EB7" w:rsidP="007B7EB7">
      <w:pPr>
        <w:pStyle w:val="ManualNumPar1"/>
        <w:rPr>
          <w:noProof/>
        </w:rPr>
      </w:pPr>
      <w:r w:rsidRPr="007B7EB7">
        <w:t>3.</w:t>
      </w:r>
      <w:r w:rsidRPr="007B7EB7">
        <w:tab/>
      </w:r>
      <w:r w:rsidR="00D9368B" w:rsidRPr="004F6DAA">
        <w:rPr>
          <w:noProof/>
        </w:rPr>
        <w:t>Podmioty zachowują wszelkie dokumenty związane</w:t>
      </w:r>
      <w:r w:rsidR="00062BFA" w:rsidRPr="004F6DAA">
        <w:rPr>
          <w:noProof/>
        </w:rPr>
        <w:t xml:space="preserve"> z</w:t>
      </w:r>
      <w:r w:rsidR="00062BFA">
        <w:rPr>
          <w:noProof/>
        </w:rPr>
        <w:t> </w:t>
      </w:r>
      <w:r w:rsidR="00062BFA" w:rsidRPr="004F6DAA">
        <w:rPr>
          <w:noProof/>
        </w:rPr>
        <w:t>nal</w:t>
      </w:r>
      <w:r w:rsidR="00D9368B" w:rsidRPr="004F6DAA">
        <w:rPr>
          <w:noProof/>
        </w:rPr>
        <w:t>eżytą starannością, takie jak wszystkie stosowne zapisy, środki</w:t>
      </w:r>
      <w:r w:rsidR="00062BFA" w:rsidRPr="004F6DAA">
        <w:rPr>
          <w:noProof/>
        </w:rPr>
        <w:t xml:space="preserve"> i</w:t>
      </w:r>
      <w:r w:rsidR="00062BFA">
        <w:rPr>
          <w:noProof/>
        </w:rPr>
        <w:t> </w:t>
      </w:r>
      <w:r w:rsidR="00062BFA" w:rsidRPr="004F6DAA">
        <w:rPr>
          <w:noProof/>
        </w:rPr>
        <w:t>pro</w:t>
      </w:r>
      <w:r w:rsidR="00D9368B" w:rsidRPr="004F6DAA">
        <w:rPr>
          <w:noProof/>
        </w:rPr>
        <w:t>cedury zgodne</w:t>
      </w:r>
      <w:r w:rsidR="00062BFA" w:rsidRPr="004F6DAA">
        <w:rPr>
          <w:noProof/>
        </w:rPr>
        <w:t xml:space="preserve"> z</w:t>
      </w:r>
      <w:r w:rsidR="00062BFA">
        <w:rPr>
          <w:noProof/>
        </w:rPr>
        <w:t> </w:t>
      </w:r>
      <w:r w:rsidR="00062BFA" w:rsidRPr="00062BFA">
        <w:rPr>
          <w:noProof/>
        </w:rPr>
        <w:t>art</w:t>
      </w:r>
      <w:r w:rsidR="00D9368B" w:rsidRPr="00062BFA">
        <w:rPr>
          <w:noProof/>
        </w:rPr>
        <w:t>.</w:t>
      </w:r>
      <w:r w:rsidR="00062BFA" w:rsidRPr="00062BFA">
        <w:rPr>
          <w:noProof/>
        </w:rPr>
        <w:t> </w:t>
      </w:r>
      <w:r w:rsidR="00D9368B" w:rsidRPr="00062BFA">
        <w:rPr>
          <w:noProof/>
        </w:rPr>
        <w:t>8</w:t>
      </w:r>
      <w:r w:rsidR="00D9368B" w:rsidRPr="004F6DAA">
        <w:rPr>
          <w:noProof/>
        </w:rPr>
        <w:t>, przez okres co najmniej 5 lat. Udostępniają je na wniosek właściwych organów.</w:t>
      </w:r>
    </w:p>
    <w:p w14:paraId="3BD76AE8" w14:textId="77777777" w:rsidR="00375430" w:rsidRPr="004F6DAA" w:rsidRDefault="00BE6D4F" w:rsidP="00375430">
      <w:pPr>
        <w:pStyle w:val="Titrearticle"/>
        <w:rPr>
          <w:noProof/>
        </w:rPr>
      </w:pPr>
      <w:r w:rsidRPr="004F6DAA">
        <w:rPr>
          <w:noProof/>
        </w:rPr>
        <w:t>Artykuł 12</w:t>
      </w:r>
    </w:p>
    <w:p w14:paraId="522D2331" w14:textId="77777777" w:rsidR="00BE6D4F" w:rsidRPr="004F6DAA" w:rsidRDefault="00BE6D4F" w:rsidP="00375430">
      <w:pPr>
        <w:pStyle w:val="Sous-titreobjet"/>
        <w:rPr>
          <w:noProof/>
        </w:rPr>
      </w:pPr>
      <w:r w:rsidRPr="004F6DAA">
        <w:rPr>
          <w:noProof/>
        </w:rPr>
        <w:t>Uproszczona należyta staranność</w:t>
      </w:r>
    </w:p>
    <w:p w14:paraId="28ABF1A2" w14:textId="77777777" w:rsidR="001B7390" w:rsidRPr="004F6DAA" w:rsidRDefault="007B7EB7" w:rsidP="007B7EB7">
      <w:pPr>
        <w:pStyle w:val="ManualNumPar1"/>
        <w:rPr>
          <w:rFonts w:eastAsia="Times New Roman"/>
          <w:noProof/>
        </w:rPr>
      </w:pPr>
      <w:r w:rsidRPr="007B7EB7">
        <w:t>1.</w:t>
      </w:r>
      <w:r w:rsidRPr="007B7EB7">
        <w:tab/>
      </w:r>
      <w:r w:rsidR="001B7390" w:rsidRPr="004F6DAA">
        <w:rPr>
          <w:noProof/>
        </w:rPr>
        <w:t>Wprowadzając odnośne towary lub produkty do obrotu</w:t>
      </w:r>
      <w:r w:rsidR="00062BFA" w:rsidRPr="004F6DAA">
        <w:rPr>
          <w:noProof/>
        </w:rPr>
        <w:t xml:space="preserve"> w</w:t>
      </w:r>
      <w:r w:rsidR="00062BFA">
        <w:rPr>
          <w:noProof/>
        </w:rPr>
        <w:t> </w:t>
      </w:r>
      <w:r w:rsidR="00062BFA" w:rsidRPr="004F6DAA">
        <w:rPr>
          <w:noProof/>
        </w:rPr>
        <w:t>Uni</w:t>
      </w:r>
      <w:r w:rsidR="001B7390" w:rsidRPr="004F6DAA">
        <w:rPr>
          <w:noProof/>
        </w:rPr>
        <w:t>i lub wywożąc je</w:t>
      </w:r>
      <w:r w:rsidR="00062BFA" w:rsidRPr="004F6DAA">
        <w:rPr>
          <w:noProof/>
        </w:rPr>
        <w:t xml:space="preserve"> z</w:t>
      </w:r>
      <w:r w:rsidR="00062BFA">
        <w:rPr>
          <w:noProof/>
        </w:rPr>
        <w:t> </w:t>
      </w:r>
      <w:r w:rsidR="00062BFA" w:rsidRPr="004F6DAA">
        <w:rPr>
          <w:noProof/>
        </w:rPr>
        <w:t>ryn</w:t>
      </w:r>
      <w:r w:rsidR="001B7390" w:rsidRPr="004F6DAA">
        <w:rPr>
          <w:noProof/>
        </w:rPr>
        <w:t>ku unijnego, podmioty nie są zobowiązane do wypełniania obowiązków wynikających</w:t>
      </w:r>
      <w:r w:rsidR="00062BFA" w:rsidRPr="004F6DAA">
        <w:rPr>
          <w:noProof/>
        </w:rPr>
        <w:t xml:space="preserve"> z</w:t>
      </w:r>
      <w:r w:rsidR="00062BFA">
        <w:rPr>
          <w:noProof/>
        </w:rPr>
        <w:t> </w:t>
      </w:r>
      <w:r w:rsidR="00062BFA" w:rsidRPr="00062BFA">
        <w:rPr>
          <w:noProof/>
        </w:rPr>
        <w:t>art</w:t>
      </w:r>
      <w:r w:rsidR="001B7390" w:rsidRPr="00062BFA">
        <w:rPr>
          <w:noProof/>
        </w:rPr>
        <w:t>.</w:t>
      </w:r>
      <w:r w:rsidR="00062BFA" w:rsidRPr="00062BFA">
        <w:rPr>
          <w:noProof/>
        </w:rPr>
        <w:t> </w:t>
      </w:r>
      <w:r w:rsidR="001B7390" w:rsidRPr="00062BFA">
        <w:rPr>
          <w:noProof/>
        </w:rPr>
        <w:t>1</w:t>
      </w:r>
      <w:r w:rsidR="001B7390" w:rsidRPr="004F6DAA">
        <w:rPr>
          <w:noProof/>
        </w:rPr>
        <w:t>0, jeżeli mogą potwierdzić, że wszystkie odnośne towary</w:t>
      </w:r>
      <w:r w:rsidR="00062BFA" w:rsidRPr="004F6DAA">
        <w:rPr>
          <w:noProof/>
        </w:rPr>
        <w:t xml:space="preserve"> i</w:t>
      </w:r>
      <w:r w:rsidR="00062BFA">
        <w:rPr>
          <w:noProof/>
        </w:rPr>
        <w:t> </w:t>
      </w:r>
      <w:r w:rsidR="00062BFA" w:rsidRPr="004F6DAA">
        <w:rPr>
          <w:noProof/>
        </w:rPr>
        <w:t>pro</w:t>
      </w:r>
      <w:r w:rsidR="001B7390" w:rsidRPr="004F6DAA">
        <w:rPr>
          <w:noProof/>
        </w:rPr>
        <w:t>dukty wyprodukowano</w:t>
      </w:r>
      <w:r w:rsidR="00062BFA" w:rsidRPr="004F6DAA">
        <w:rPr>
          <w:noProof/>
        </w:rPr>
        <w:t xml:space="preserve"> w</w:t>
      </w:r>
      <w:r w:rsidR="00062BFA">
        <w:rPr>
          <w:noProof/>
        </w:rPr>
        <w:t> </w:t>
      </w:r>
      <w:r w:rsidR="00062BFA" w:rsidRPr="004F6DAA">
        <w:rPr>
          <w:noProof/>
        </w:rPr>
        <w:t>kra</w:t>
      </w:r>
      <w:r w:rsidR="001B7390" w:rsidRPr="004F6DAA">
        <w:rPr>
          <w:noProof/>
        </w:rPr>
        <w:t>jach lub ich częściach, które zidentyfikowano jako obarczone niskim ryzykiem zgodnie</w:t>
      </w:r>
      <w:r w:rsidR="00062BFA" w:rsidRPr="004F6DAA">
        <w:rPr>
          <w:noProof/>
        </w:rPr>
        <w:t xml:space="preserve"> z</w:t>
      </w:r>
      <w:r w:rsidR="00062BFA">
        <w:rPr>
          <w:noProof/>
        </w:rPr>
        <w:t> </w:t>
      </w:r>
      <w:r w:rsidR="00062BFA" w:rsidRPr="00062BFA">
        <w:rPr>
          <w:noProof/>
        </w:rPr>
        <w:t>art</w:t>
      </w:r>
      <w:r w:rsidR="001B7390" w:rsidRPr="00062BFA">
        <w:rPr>
          <w:noProof/>
        </w:rPr>
        <w:t>.</w:t>
      </w:r>
      <w:r w:rsidR="00062BFA" w:rsidRPr="00062BFA">
        <w:rPr>
          <w:noProof/>
        </w:rPr>
        <w:t> </w:t>
      </w:r>
      <w:r w:rsidR="001B7390" w:rsidRPr="00062BFA">
        <w:rPr>
          <w:noProof/>
        </w:rPr>
        <w:t>2</w:t>
      </w:r>
      <w:r w:rsidR="001B7390" w:rsidRPr="004F6DAA">
        <w:rPr>
          <w:noProof/>
        </w:rPr>
        <w:t>7.</w:t>
      </w:r>
    </w:p>
    <w:p w14:paraId="67619DBB" w14:textId="77777777" w:rsidR="001B7390" w:rsidRPr="004F6DAA" w:rsidRDefault="007B7EB7" w:rsidP="007B7EB7">
      <w:pPr>
        <w:pStyle w:val="ManualNumPar1"/>
        <w:rPr>
          <w:rFonts w:eastAsia="Times New Roman"/>
          <w:noProof/>
        </w:rPr>
      </w:pPr>
      <w:r w:rsidRPr="007B7EB7">
        <w:t>2.</w:t>
      </w:r>
      <w:r w:rsidRPr="007B7EB7">
        <w:tab/>
      </w:r>
      <w:r w:rsidR="001B7390" w:rsidRPr="004F6DAA">
        <w:rPr>
          <w:noProof/>
        </w:rPr>
        <w:t>Jeżeli podmiot uzyska jednak jakiekolwiek informacje, które wskazywałyby na ryzyko, że odnośne towary</w:t>
      </w:r>
      <w:r w:rsidR="00062BFA" w:rsidRPr="004F6DAA">
        <w:rPr>
          <w:noProof/>
        </w:rPr>
        <w:t xml:space="preserve"> i</w:t>
      </w:r>
      <w:r w:rsidR="00062BFA">
        <w:rPr>
          <w:noProof/>
        </w:rPr>
        <w:t> </w:t>
      </w:r>
      <w:r w:rsidR="00062BFA" w:rsidRPr="004F6DAA">
        <w:rPr>
          <w:noProof/>
        </w:rPr>
        <w:t>pro</w:t>
      </w:r>
      <w:r w:rsidR="001B7390" w:rsidRPr="004F6DAA">
        <w:rPr>
          <w:noProof/>
        </w:rPr>
        <w:t>dukty mogą nie spełniać wymogów niniejszego rozporządzenia lub zostanie</w:t>
      </w:r>
      <w:r w:rsidR="00062BFA" w:rsidRPr="004F6DAA">
        <w:rPr>
          <w:noProof/>
        </w:rPr>
        <w:t xml:space="preserve"> o</w:t>
      </w:r>
      <w:r w:rsidR="00062BFA">
        <w:rPr>
          <w:noProof/>
        </w:rPr>
        <w:t> </w:t>
      </w:r>
      <w:r w:rsidR="00062BFA" w:rsidRPr="004F6DAA">
        <w:rPr>
          <w:noProof/>
        </w:rPr>
        <w:t>tym</w:t>
      </w:r>
      <w:r w:rsidR="001B7390" w:rsidRPr="004F6DAA">
        <w:rPr>
          <w:noProof/>
        </w:rPr>
        <w:t xml:space="preserve"> powiadomiony, musi spełnić wszystkie obowiązki wynikające</w:t>
      </w:r>
      <w:r w:rsidR="00062BFA" w:rsidRPr="004F6DAA">
        <w:rPr>
          <w:noProof/>
        </w:rPr>
        <w:t xml:space="preserve"> z</w:t>
      </w:r>
      <w:r w:rsidR="00062BFA">
        <w:rPr>
          <w:noProof/>
        </w:rPr>
        <w:t> </w:t>
      </w:r>
      <w:r w:rsidR="00062BFA" w:rsidRPr="00062BFA">
        <w:rPr>
          <w:noProof/>
        </w:rPr>
        <w:t>art</w:t>
      </w:r>
      <w:r w:rsidR="001B7390" w:rsidRPr="00062BFA">
        <w:rPr>
          <w:noProof/>
        </w:rPr>
        <w:t>.</w:t>
      </w:r>
      <w:r w:rsidR="00062BFA" w:rsidRPr="00062BFA">
        <w:rPr>
          <w:noProof/>
        </w:rPr>
        <w:t> </w:t>
      </w:r>
      <w:r w:rsidR="001B7390" w:rsidRPr="00062BFA">
        <w:rPr>
          <w:noProof/>
        </w:rPr>
        <w:t>9</w:t>
      </w:r>
      <w:r w:rsidR="00062BFA" w:rsidRPr="004F6DAA">
        <w:rPr>
          <w:noProof/>
        </w:rPr>
        <w:t xml:space="preserve"> i</w:t>
      </w:r>
      <w:r w:rsidR="00062BFA">
        <w:rPr>
          <w:noProof/>
        </w:rPr>
        <w:t> </w:t>
      </w:r>
      <w:r w:rsidR="00062BFA" w:rsidRPr="004F6DAA">
        <w:rPr>
          <w:noProof/>
        </w:rPr>
        <w:t>1</w:t>
      </w:r>
      <w:r w:rsidR="001B7390" w:rsidRPr="004F6DAA">
        <w:rPr>
          <w:noProof/>
        </w:rPr>
        <w:t>0.</w:t>
      </w:r>
    </w:p>
    <w:p w14:paraId="26ECEC85" w14:textId="77777777" w:rsidR="00BE6D4F" w:rsidRPr="004F6DAA" w:rsidRDefault="00BE6D4F">
      <w:pPr>
        <w:spacing w:before="0" w:after="200" w:line="276" w:lineRule="auto"/>
        <w:jc w:val="left"/>
        <w:rPr>
          <w:noProof/>
        </w:rPr>
      </w:pPr>
    </w:p>
    <w:p w14:paraId="6A3A7F22" w14:textId="77777777" w:rsidR="00201A50" w:rsidRPr="004F6DAA" w:rsidRDefault="00BE6D4F" w:rsidP="00BE6D4F">
      <w:pPr>
        <w:pStyle w:val="ChapterTitle"/>
        <w:rPr>
          <w:noProof/>
        </w:rPr>
      </w:pPr>
      <w:r w:rsidRPr="004F6DAA">
        <w:rPr>
          <w:noProof/>
        </w:rPr>
        <w:t>Rozdział 3</w:t>
      </w:r>
    </w:p>
    <w:p w14:paraId="612C2CDE" w14:textId="77777777" w:rsidR="00BE6D4F" w:rsidRPr="004F6DAA" w:rsidRDefault="00BE6D4F" w:rsidP="00BE6D4F">
      <w:pPr>
        <w:pStyle w:val="ChapterTitle"/>
        <w:rPr>
          <w:i/>
          <w:noProof/>
        </w:rPr>
      </w:pPr>
      <w:r w:rsidRPr="004F6DAA">
        <w:rPr>
          <w:noProof/>
        </w:rPr>
        <w:t>Obowiązki państw członkowskich</w:t>
      </w:r>
      <w:r w:rsidR="00062BFA" w:rsidRPr="004F6DAA">
        <w:rPr>
          <w:noProof/>
        </w:rPr>
        <w:t xml:space="preserve"> i</w:t>
      </w:r>
      <w:r w:rsidR="00062BFA">
        <w:rPr>
          <w:noProof/>
        </w:rPr>
        <w:t> </w:t>
      </w:r>
      <w:r w:rsidR="00062BFA" w:rsidRPr="004F6DAA">
        <w:rPr>
          <w:noProof/>
        </w:rPr>
        <w:t>ich</w:t>
      </w:r>
      <w:r w:rsidRPr="004F6DAA">
        <w:rPr>
          <w:noProof/>
        </w:rPr>
        <w:t xml:space="preserve"> właściwych organów</w:t>
      </w:r>
    </w:p>
    <w:p w14:paraId="76C2219A" w14:textId="77777777" w:rsidR="00375430" w:rsidRPr="004F6DAA" w:rsidRDefault="00BE6D4F" w:rsidP="00375430">
      <w:pPr>
        <w:pStyle w:val="Titrearticle"/>
        <w:rPr>
          <w:noProof/>
        </w:rPr>
      </w:pPr>
      <w:r w:rsidRPr="004F6DAA">
        <w:rPr>
          <w:noProof/>
        </w:rPr>
        <w:t>Artykuł 13</w:t>
      </w:r>
    </w:p>
    <w:p w14:paraId="109012CD" w14:textId="77777777" w:rsidR="00BE6D4F" w:rsidRPr="004F6DAA" w:rsidRDefault="00BE6D4F" w:rsidP="00375430">
      <w:pPr>
        <w:pStyle w:val="Sous-titreobjet"/>
        <w:rPr>
          <w:noProof/>
        </w:rPr>
      </w:pPr>
      <w:r w:rsidRPr="004F6DAA">
        <w:rPr>
          <w:noProof/>
        </w:rPr>
        <w:t xml:space="preserve">Właściwy organ </w:t>
      </w:r>
    </w:p>
    <w:p w14:paraId="022DEDB6" w14:textId="77777777" w:rsidR="00DA4BA7" w:rsidRPr="004F6DAA" w:rsidRDefault="007B7EB7" w:rsidP="007B7EB7">
      <w:pPr>
        <w:pStyle w:val="ManualNumPar1"/>
        <w:rPr>
          <w:rFonts w:eastAsia="Times New Roman"/>
          <w:noProof/>
        </w:rPr>
      </w:pPr>
      <w:r w:rsidRPr="007B7EB7">
        <w:t>1.</w:t>
      </w:r>
      <w:r w:rsidRPr="007B7EB7">
        <w:tab/>
      </w:r>
      <w:r w:rsidR="00DA4BA7" w:rsidRPr="004F6DAA">
        <w:rPr>
          <w:noProof/>
        </w:rPr>
        <w:t>Państwa członkowskie wyznaczają właściwy organ lub właściwe organy odpowiedzialne za realizację obowiązków wynikających</w:t>
      </w:r>
      <w:r w:rsidR="00062BFA" w:rsidRPr="004F6DAA">
        <w:rPr>
          <w:noProof/>
        </w:rPr>
        <w:t xml:space="preserve"> z</w:t>
      </w:r>
      <w:r w:rsidR="00062BFA">
        <w:rPr>
          <w:noProof/>
        </w:rPr>
        <w:t> </w:t>
      </w:r>
      <w:r w:rsidR="00062BFA" w:rsidRPr="004F6DAA">
        <w:rPr>
          <w:noProof/>
        </w:rPr>
        <w:t>nin</w:t>
      </w:r>
      <w:r w:rsidR="00DA4BA7" w:rsidRPr="004F6DAA">
        <w:rPr>
          <w:noProof/>
        </w:rPr>
        <w:t xml:space="preserve">iejszego rozporządzenia. </w:t>
      </w:r>
    </w:p>
    <w:p w14:paraId="37050B2D" w14:textId="77777777" w:rsidR="00DA4BA7" w:rsidRPr="004F6DAA" w:rsidRDefault="007B7EB7" w:rsidP="007B7EB7">
      <w:pPr>
        <w:pStyle w:val="ManualNumPar1"/>
        <w:rPr>
          <w:noProof/>
        </w:rPr>
      </w:pPr>
      <w:r w:rsidRPr="007B7EB7">
        <w:t>2.</w:t>
      </w:r>
      <w:r w:rsidRPr="007B7EB7">
        <w:tab/>
      </w:r>
      <w:r w:rsidR="00DA4BA7" w:rsidRPr="004F6DAA">
        <w:rPr>
          <w:noProof/>
        </w:rPr>
        <w:t xml:space="preserve">Do dnia </w:t>
      </w:r>
      <w:r w:rsidR="00DA4BA7" w:rsidRPr="004F6DAA">
        <w:rPr>
          <w:noProof/>
          <w:color w:val="FF0000"/>
        </w:rPr>
        <w:t>[trzy miesiące od daty wejścia</w:t>
      </w:r>
      <w:r w:rsidR="00062BFA" w:rsidRPr="004F6DAA">
        <w:rPr>
          <w:noProof/>
          <w:color w:val="FF0000"/>
        </w:rPr>
        <w:t xml:space="preserve"> w</w:t>
      </w:r>
      <w:r w:rsidR="00062BFA">
        <w:rPr>
          <w:noProof/>
          <w:color w:val="FF0000"/>
        </w:rPr>
        <w:t> </w:t>
      </w:r>
      <w:r w:rsidR="00062BFA" w:rsidRPr="004F6DAA">
        <w:rPr>
          <w:noProof/>
          <w:color w:val="FF0000"/>
        </w:rPr>
        <w:t>życ</w:t>
      </w:r>
      <w:r w:rsidR="00DA4BA7" w:rsidRPr="004F6DAA">
        <w:rPr>
          <w:noProof/>
          <w:color w:val="FF0000"/>
        </w:rPr>
        <w:t>ie niniejszego rozporządzenia]</w:t>
      </w:r>
      <w:r w:rsidR="00DA4BA7" w:rsidRPr="004F6DAA">
        <w:rPr>
          <w:noProof/>
        </w:rPr>
        <w:t xml:space="preserve"> r. państwa członkowskie zgłaszają Komisji nazwy, adresy</w:t>
      </w:r>
      <w:r w:rsidR="00062BFA" w:rsidRPr="004F6DAA">
        <w:rPr>
          <w:noProof/>
        </w:rPr>
        <w:t xml:space="preserve"> i</w:t>
      </w:r>
      <w:r w:rsidR="00062BFA">
        <w:rPr>
          <w:noProof/>
        </w:rPr>
        <w:t> </w:t>
      </w:r>
      <w:r w:rsidR="00062BFA" w:rsidRPr="004F6DAA">
        <w:rPr>
          <w:noProof/>
        </w:rPr>
        <w:t>inf</w:t>
      </w:r>
      <w:r w:rsidR="00DA4BA7" w:rsidRPr="004F6DAA">
        <w:rPr>
          <w:noProof/>
        </w:rPr>
        <w:t xml:space="preserve">ormacje kontaktowe właściwych organów wyznaczonych na podstawie </w:t>
      </w:r>
      <w:r w:rsidR="00DA4BA7" w:rsidRPr="00062BFA">
        <w:rPr>
          <w:noProof/>
        </w:rPr>
        <w:t>ust.</w:t>
      </w:r>
      <w:r w:rsidR="00062BFA" w:rsidRPr="00062BFA">
        <w:rPr>
          <w:noProof/>
        </w:rPr>
        <w:t> </w:t>
      </w:r>
      <w:r w:rsidR="00DA4BA7" w:rsidRPr="00062BFA">
        <w:rPr>
          <w:noProof/>
        </w:rPr>
        <w:t>1</w:t>
      </w:r>
      <w:r w:rsidR="00DA4BA7" w:rsidRPr="004F6DAA">
        <w:rPr>
          <w:noProof/>
        </w:rPr>
        <w:t>. Państwa członkowskie niezwłocznie informują Komisję</w:t>
      </w:r>
      <w:r w:rsidR="00062BFA" w:rsidRPr="004F6DAA">
        <w:rPr>
          <w:noProof/>
        </w:rPr>
        <w:t xml:space="preserve"> o</w:t>
      </w:r>
      <w:r w:rsidR="00062BFA">
        <w:rPr>
          <w:noProof/>
        </w:rPr>
        <w:t> </w:t>
      </w:r>
      <w:r w:rsidR="00062BFA" w:rsidRPr="004F6DAA">
        <w:rPr>
          <w:noProof/>
        </w:rPr>
        <w:t>wsz</w:t>
      </w:r>
      <w:r w:rsidR="00DA4BA7" w:rsidRPr="004F6DAA">
        <w:rPr>
          <w:noProof/>
        </w:rPr>
        <w:t xml:space="preserve">elkich zmianach tych informacji. </w:t>
      </w:r>
    </w:p>
    <w:p w14:paraId="578A8FB2" w14:textId="77777777" w:rsidR="00DA4BA7" w:rsidRPr="004F6DAA" w:rsidRDefault="007B7EB7" w:rsidP="007B7EB7">
      <w:pPr>
        <w:pStyle w:val="ManualNumPar1"/>
        <w:rPr>
          <w:noProof/>
        </w:rPr>
      </w:pPr>
      <w:r w:rsidRPr="007B7EB7">
        <w:t>3.</w:t>
      </w:r>
      <w:r w:rsidRPr="007B7EB7">
        <w:tab/>
      </w:r>
      <w:r w:rsidR="00DA4BA7" w:rsidRPr="004F6DAA">
        <w:rPr>
          <w:noProof/>
        </w:rPr>
        <w:t xml:space="preserve">Komisja podaje do wiadomości publicznej na swojej stronie internetowej wykaz właściwych organów. Komisja regularnie aktualizuje wykaz na podstawie odpowiednich aktualizacji otrzymanych od państw członkowskich. </w:t>
      </w:r>
    </w:p>
    <w:p w14:paraId="79B7820B" w14:textId="77777777" w:rsidR="00BE6D4F" w:rsidRPr="004F6DAA" w:rsidRDefault="007B7EB7" w:rsidP="007B7EB7">
      <w:pPr>
        <w:pStyle w:val="ManualNumPar1"/>
        <w:rPr>
          <w:noProof/>
        </w:rPr>
      </w:pPr>
      <w:r w:rsidRPr="007B7EB7">
        <w:t>4.</w:t>
      </w:r>
      <w:r w:rsidRPr="007B7EB7">
        <w:tab/>
      </w:r>
      <w:r w:rsidR="00DA4BA7" w:rsidRPr="004F6DAA">
        <w:rPr>
          <w:noProof/>
        </w:rPr>
        <w:t>Państwa członkowskie zapewniają, aby właściwe organy miały odpowiednie uprawnienia</w:t>
      </w:r>
      <w:r w:rsidR="00062BFA" w:rsidRPr="004F6DAA">
        <w:rPr>
          <w:noProof/>
        </w:rPr>
        <w:t xml:space="preserve"> i</w:t>
      </w:r>
      <w:r w:rsidR="00062BFA">
        <w:rPr>
          <w:noProof/>
        </w:rPr>
        <w:t> </w:t>
      </w:r>
      <w:r w:rsidR="00062BFA" w:rsidRPr="004F6DAA">
        <w:rPr>
          <w:noProof/>
        </w:rPr>
        <w:t>zas</w:t>
      </w:r>
      <w:r w:rsidR="00DA4BA7" w:rsidRPr="004F6DAA">
        <w:rPr>
          <w:noProof/>
        </w:rPr>
        <w:t>oby do wykonywania swoich obowiązków określonych</w:t>
      </w:r>
      <w:r w:rsidR="00062BFA" w:rsidRPr="004F6DAA">
        <w:rPr>
          <w:noProof/>
        </w:rPr>
        <w:t xml:space="preserve"> w</w:t>
      </w:r>
      <w:r w:rsidR="00062BFA">
        <w:rPr>
          <w:noProof/>
        </w:rPr>
        <w:t> </w:t>
      </w:r>
      <w:r w:rsidR="00062BFA" w:rsidRPr="004F6DAA">
        <w:rPr>
          <w:noProof/>
        </w:rPr>
        <w:t>roz</w:t>
      </w:r>
      <w:r w:rsidR="00DA4BA7" w:rsidRPr="004F6DAA">
        <w:rPr>
          <w:noProof/>
        </w:rPr>
        <w:t>dziale 3 niniejszego rozporządzenia.</w:t>
      </w:r>
    </w:p>
    <w:p w14:paraId="1004CCCC" w14:textId="77777777" w:rsidR="0086436F" w:rsidRPr="004F6DAA" w:rsidRDefault="007B7EB7" w:rsidP="007B7EB7">
      <w:pPr>
        <w:pStyle w:val="ManualNumPar1"/>
        <w:rPr>
          <w:noProof/>
        </w:rPr>
      </w:pPr>
      <w:r w:rsidRPr="007B7EB7">
        <w:t>5.</w:t>
      </w:r>
      <w:r w:rsidRPr="007B7EB7">
        <w:tab/>
      </w:r>
      <w:r w:rsidR="0086436F" w:rsidRPr="004F6DAA">
        <w:rPr>
          <w:noProof/>
        </w:rPr>
        <w:t>Bez uszczerbku dla obowiązku podmiotu</w:t>
      </w:r>
      <w:r w:rsidR="00062BFA" w:rsidRPr="004F6DAA">
        <w:rPr>
          <w:noProof/>
        </w:rPr>
        <w:t xml:space="preserve"> w</w:t>
      </w:r>
      <w:r w:rsidR="00062BFA">
        <w:rPr>
          <w:noProof/>
        </w:rPr>
        <w:t> </w:t>
      </w:r>
      <w:r w:rsidR="00062BFA" w:rsidRPr="004F6DAA">
        <w:rPr>
          <w:noProof/>
        </w:rPr>
        <w:t>zak</w:t>
      </w:r>
      <w:r w:rsidR="0086436F" w:rsidRPr="004F6DAA">
        <w:rPr>
          <w:noProof/>
        </w:rPr>
        <w:t>resie zachowania należytej staranności, jak określono</w:t>
      </w:r>
      <w:r w:rsidR="00062BFA" w:rsidRPr="004F6DAA">
        <w:rPr>
          <w:noProof/>
        </w:rPr>
        <w:t xml:space="preserve"> w</w:t>
      </w:r>
      <w:r w:rsidR="00062BFA">
        <w:rPr>
          <w:noProof/>
        </w:rPr>
        <w:t> </w:t>
      </w:r>
      <w:r w:rsidR="00062BFA" w:rsidRPr="00062BFA">
        <w:rPr>
          <w:noProof/>
        </w:rPr>
        <w:t>art</w:t>
      </w:r>
      <w:r w:rsidR="0086436F" w:rsidRPr="00062BFA">
        <w:rPr>
          <w:noProof/>
        </w:rPr>
        <w:t>.</w:t>
      </w:r>
      <w:r w:rsidR="00062BFA" w:rsidRPr="00062BFA">
        <w:rPr>
          <w:noProof/>
        </w:rPr>
        <w:t> </w:t>
      </w:r>
      <w:r w:rsidR="0086436F" w:rsidRPr="00062BFA">
        <w:rPr>
          <w:noProof/>
        </w:rPr>
        <w:t>8</w:t>
      </w:r>
      <w:r w:rsidR="0086436F" w:rsidRPr="004F6DAA">
        <w:rPr>
          <w:noProof/>
        </w:rPr>
        <w:t>, państwa członkowskie mogą zapewniać pomoc techniczną</w:t>
      </w:r>
      <w:r w:rsidR="00062BFA" w:rsidRPr="004F6DAA">
        <w:rPr>
          <w:noProof/>
        </w:rPr>
        <w:t xml:space="preserve"> i</w:t>
      </w:r>
      <w:r w:rsidR="00062BFA">
        <w:rPr>
          <w:noProof/>
        </w:rPr>
        <w:t> </w:t>
      </w:r>
      <w:r w:rsidR="00062BFA" w:rsidRPr="004F6DAA">
        <w:rPr>
          <w:noProof/>
        </w:rPr>
        <w:t>inn</w:t>
      </w:r>
      <w:r w:rsidR="0086436F" w:rsidRPr="004F6DAA">
        <w:rPr>
          <w:noProof/>
        </w:rPr>
        <w:t>e wsparcie oraz doradztwo na rzecz podmiotów,</w:t>
      </w:r>
      <w:r w:rsidR="00062BFA" w:rsidRPr="004F6DAA">
        <w:rPr>
          <w:noProof/>
        </w:rPr>
        <w:t xml:space="preserve"> z</w:t>
      </w:r>
      <w:r w:rsidR="00062BFA">
        <w:rPr>
          <w:noProof/>
        </w:rPr>
        <w:t> </w:t>
      </w:r>
      <w:r w:rsidR="00062BFA" w:rsidRPr="004F6DAA">
        <w:rPr>
          <w:noProof/>
        </w:rPr>
        <w:t>uwz</w:t>
      </w:r>
      <w:r w:rsidR="0086436F" w:rsidRPr="004F6DAA">
        <w:rPr>
          <w:noProof/>
        </w:rPr>
        <w:t>ględnieniem sytuacji MŚP, aby ułatwić podmiotom osiągnięcie zgodności</w:t>
      </w:r>
      <w:r w:rsidR="00062BFA" w:rsidRPr="004F6DAA">
        <w:rPr>
          <w:noProof/>
        </w:rPr>
        <w:t xml:space="preserve"> z</w:t>
      </w:r>
      <w:r w:rsidR="00062BFA">
        <w:rPr>
          <w:noProof/>
        </w:rPr>
        <w:t> </w:t>
      </w:r>
      <w:r w:rsidR="00062BFA" w:rsidRPr="004F6DAA">
        <w:rPr>
          <w:noProof/>
        </w:rPr>
        <w:t>wym</w:t>
      </w:r>
      <w:r w:rsidR="0086436F" w:rsidRPr="004F6DAA">
        <w:rPr>
          <w:noProof/>
        </w:rPr>
        <w:t>ogami wynikającymi</w:t>
      </w:r>
      <w:r w:rsidR="00062BFA" w:rsidRPr="004F6DAA">
        <w:rPr>
          <w:noProof/>
        </w:rPr>
        <w:t xml:space="preserve"> z</w:t>
      </w:r>
      <w:r w:rsidR="00062BFA">
        <w:rPr>
          <w:noProof/>
        </w:rPr>
        <w:t> </w:t>
      </w:r>
      <w:r w:rsidR="00062BFA" w:rsidRPr="004F6DAA">
        <w:rPr>
          <w:noProof/>
        </w:rPr>
        <w:t>nin</w:t>
      </w:r>
      <w:r w:rsidR="0086436F" w:rsidRPr="004F6DAA">
        <w:rPr>
          <w:noProof/>
        </w:rPr>
        <w:t>iejszego rozporządzenia.</w:t>
      </w:r>
    </w:p>
    <w:p w14:paraId="233157B2" w14:textId="77777777" w:rsidR="001E402C" w:rsidRPr="004F6DAA" w:rsidRDefault="007B7EB7" w:rsidP="007B7EB7">
      <w:pPr>
        <w:pStyle w:val="ManualNumPar1"/>
        <w:rPr>
          <w:noProof/>
        </w:rPr>
      </w:pPr>
      <w:r w:rsidRPr="007B7EB7">
        <w:t>6.</w:t>
      </w:r>
      <w:r w:rsidRPr="007B7EB7">
        <w:tab/>
      </w:r>
      <w:r w:rsidR="00A05B18" w:rsidRPr="004F6DAA">
        <w:rPr>
          <w:noProof/>
        </w:rPr>
        <w:t>Państwa członkowskie mogą ułatwiać wymianę</w:t>
      </w:r>
      <w:r w:rsidR="00062BFA" w:rsidRPr="004F6DAA">
        <w:rPr>
          <w:noProof/>
        </w:rPr>
        <w:t xml:space="preserve"> i</w:t>
      </w:r>
      <w:r w:rsidR="00062BFA">
        <w:rPr>
          <w:noProof/>
        </w:rPr>
        <w:t> </w:t>
      </w:r>
      <w:r w:rsidR="00062BFA" w:rsidRPr="004F6DAA">
        <w:rPr>
          <w:noProof/>
        </w:rPr>
        <w:t>roz</w:t>
      </w:r>
      <w:r w:rsidR="00A05B18" w:rsidRPr="004F6DAA">
        <w:rPr>
          <w:noProof/>
        </w:rPr>
        <w:t>powszechnianie stosownych informacji,</w:t>
      </w:r>
      <w:r w:rsidR="00062BFA" w:rsidRPr="004F6DAA">
        <w:rPr>
          <w:noProof/>
        </w:rPr>
        <w:t xml:space="preserve"> w</w:t>
      </w:r>
      <w:r w:rsidR="00062BFA">
        <w:rPr>
          <w:noProof/>
        </w:rPr>
        <w:t> </w:t>
      </w:r>
      <w:r w:rsidR="00062BFA" w:rsidRPr="004F6DAA">
        <w:rPr>
          <w:noProof/>
        </w:rPr>
        <w:t>szc</w:t>
      </w:r>
      <w:r w:rsidR="00A05B18" w:rsidRPr="004F6DAA">
        <w:rPr>
          <w:noProof/>
        </w:rPr>
        <w:t>zególności</w:t>
      </w:r>
      <w:r w:rsidR="00062BFA" w:rsidRPr="004F6DAA">
        <w:rPr>
          <w:noProof/>
        </w:rPr>
        <w:t xml:space="preserve"> w</w:t>
      </w:r>
      <w:r w:rsidR="00062BFA">
        <w:rPr>
          <w:noProof/>
        </w:rPr>
        <w:t> </w:t>
      </w:r>
      <w:r w:rsidR="00062BFA" w:rsidRPr="004F6DAA">
        <w:rPr>
          <w:noProof/>
        </w:rPr>
        <w:t>cel</w:t>
      </w:r>
      <w:r w:rsidR="00A05B18" w:rsidRPr="004F6DAA">
        <w:rPr>
          <w:noProof/>
        </w:rPr>
        <w:t>u wsparcia podmiotów</w:t>
      </w:r>
      <w:r w:rsidR="00062BFA" w:rsidRPr="004F6DAA">
        <w:rPr>
          <w:noProof/>
        </w:rPr>
        <w:t xml:space="preserve"> w</w:t>
      </w:r>
      <w:r w:rsidR="00062BFA">
        <w:rPr>
          <w:noProof/>
        </w:rPr>
        <w:t> </w:t>
      </w:r>
      <w:r w:rsidR="00062BFA" w:rsidRPr="004F6DAA">
        <w:rPr>
          <w:noProof/>
        </w:rPr>
        <w:t>oce</w:t>
      </w:r>
      <w:r w:rsidR="00A05B18" w:rsidRPr="004F6DAA">
        <w:rPr>
          <w:noProof/>
        </w:rPr>
        <w:t>nie ryzyka, jak określono</w:t>
      </w:r>
      <w:r w:rsidR="00062BFA" w:rsidRPr="004F6DAA">
        <w:rPr>
          <w:noProof/>
        </w:rPr>
        <w:t xml:space="preserve"> w</w:t>
      </w:r>
      <w:r w:rsidR="00062BFA">
        <w:rPr>
          <w:noProof/>
        </w:rPr>
        <w:t> </w:t>
      </w:r>
      <w:r w:rsidR="00062BFA" w:rsidRPr="00062BFA">
        <w:rPr>
          <w:noProof/>
        </w:rPr>
        <w:t>art</w:t>
      </w:r>
      <w:r w:rsidR="00A05B18" w:rsidRPr="00062BFA">
        <w:rPr>
          <w:noProof/>
        </w:rPr>
        <w:t>.</w:t>
      </w:r>
      <w:r w:rsidR="00062BFA" w:rsidRPr="00062BFA">
        <w:rPr>
          <w:noProof/>
        </w:rPr>
        <w:t> </w:t>
      </w:r>
      <w:r w:rsidR="00A05B18" w:rsidRPr="00062BFA">
        <w:rPr>
          <w:noProof/>
        </w:rPr>
        <w:t>9</w:t>
      </w:r>
      <w:r w:rsidR="00A05B18" w:rsidRPr="004F6DAA">
        <w:rPr>
          <w:noProof/>
        </w:rPr>
        <w:t>, oraz na temat najlepszych praktyk dotyczących wykonania niniejszego rozporządzenia.</w:t>
      </w:r>
    </w:p>
    <w:p w14:paraId="36FE1A3C" w14:textId="77777777" w:rsidR="001E402C" w:rsidRPr="004F6DAA" w:rsidRDefault="007B7EB7" w:rsidP="007B7EB7">
      <w:pPr>
        <w:pStyle w:val="ManualNumPar1"/>
        <w:rPr>
          <w:noProof/>
        </w:rPr>
      </w:pPr>
      <w:r w:rsidRPr="007B7EB7">
        <w:t>7.</w:t>
      </w:r>
      <w:r w:rsidRPr="007B7EB7">
        <w:tab/>
      </w:r>
      <w:r w:rsidR="00A72EDD" w:rsidRPr="004F6DAA">
        <w:rPr>
          <w:noProof/>
        </w:rPr>
        <w:t>Pomoc jest zapewniana</w:t>
      </w:r>
      <w:r w:rsidR="00062BFA" w:rsidRPr="004F6DAA">
        <w:rPr>
          <w:noProof/>
        </w:rPr>
        <w:t xml:space="preserve"> w</w:t>
      </w:r>
      <w:r w:rsidR="00062BFA">
        <w:rPr>
          <w:noProof/>
        </w:rPr>
        <w:t> </w:t>
      </w:r>
      <w:r w:rsidR="00062BFA" w:rsidRPr="004F6DAA">
        <w:rPr>
          <w:noProof/>
        </w:rPr>
        <w:t>spo</w:t>
      </w:r>
      <w:r w:rsidR="00A72EDD" w:rsidRPr="004F6DAA">
        <w:rPr>
          <w:noProof/>
        </w:rPr>
        <w:t>sób, który nie prowadzi do narażenia na szwank niezależności, zobowiązań prawnych</w:t>
      </w:r>
      <w:r w:rsidR="00062BFA" w:rsidRPr="004F6DAA">
        <w:rPr>
          <w:noProof/>
        </w:rPr>
        <w:t xml:space="preserve"> i</w:t>
      </w:r>
      <w:r w:rsidR="00062BFA">
        <w:rPr>
          <w:noProof/>
        </w:rPr>
        <w:t> </w:t>
      </w:r>
      <w:r w:rsidR="00062BFA" w:rsidRPr="004F6DAA">
        <w:rPr>
          <w:noProof/>
        </w:rPr>
        <w:t>obo</w:t>
      </w:r>
      <w:r w:rsidR="00A72EDD" w:rsidRPr="004F6DAA">
        <w:rPr>
          <w:noProof/>
        </w:rPr>
        <w:t>wiązków właściwych organów</w:t>
      </w:r>
      <w:r w:rsidR="00062BFA" w:rsidRPr="004F6DAA">
        <w:rPr>
          <w:noProof/>
        </w:rPr>
        <w:t xml:space="preserve"> w</w:t>
      </w:r>
      <w:r w:rsidR="00062BFA">
        <w:rPr>
          <w:noProof/>
        </w:rPr>
        <w:t> </w:t>
      </w:r>
      <w:r w:rsidR="00062BFA" w:rsidRPr="004F6DAA">
        <w:rPr>
          <w:noProof/>
        </w:rPr>
        <w:t>egz</w:t>
      </w:r>
      <w:r w:rsidR="00A72EDD" w:rsidRPr="004F6DAA">
        <w:rPr>
          <w:noProof/>
        </w:rPr>
        <w:t>ekwowaniu niniejszego rozporządzenia.</w:t>
      </w:r>
    </w:p>
    <w:p w14:paraId="4D415014" w14:textId="77777777" w:rsidR="00375430" w:rsidRPr="004F6DAA" w:rsidRDefault="00BE6D4F" w:rsidP="00375430">
      <w:pPr>
        <w:pStyle w:val="Titrearticle"/>
        <w:ind w:left="720"/>
        <w:rPr>
          <w:noProof/>
        </w:rPr>
      </w:pPr>
      <w:r w:rsidRPr="004F6DAA">
        <w:rPr>
          <w:noProof/>
        </w:rPr>
        <w:t>Artykuł 14</w:t>
      </w:r>
    </w:p>
    <w:p w14:paraId="5DA9F8C3" w14:textId="77777777" w:rsidR="00BE6D4F" w:rsidRPr="004F6DAA" w:rsidRDefault="00BE6D4F" w:rsidP="00375430">
      <w:pPr>
        <w:pStyle w:val="Sous-titreobjet"/>
        <w:rPr>
          <w:noProof/>
        </w:rPr>
      </w:pPr>
      <w:r w:rsidRPr="004F6DAA">
        <w:rPr>
          <w:noProof/>
        </w:rPr>
        <w:t>Obowiązek dotyczący przeprowadzania kontroli</w:t>
      </w:r>
    </w:p>
    <w:p w14:paraId="5CB94773" w14:textId="77777777" w:rsidR="00E70E12" w:rsidRPr="004F6DAA" w:rsidRDefault="007B7EB7" w:rsidP="007B7EB7">
      <w:pPr>
        <w:pStyle w:val="ManualNumPar1"/>
        <w:rPr>
          <w:noProof/>
        </w:rPr>
      </w:pPr>
      <w:r w:rsidRPr="007B7EB7">
        <w:t>1.</w:t>
      </w:r>
      <w:r w:rsidRPr="007B7EB7">
        <w:tab/>
      </w:r>
      <w:r w:rsidR="00E70E12" w:rsidRPr="004F6DAA">
        <w:rPr>
          <w:noProof/>
        </w:rPr>
        <w:t>Właściwe organy przeprowadzają kontrole, aby ustalić, czy podmioty</w:t>
      </w:r>
      <w:r w:rsidR="00062BFA" w:rsidRPr="004F6DAA">
        <w:rPr>
          <w:noProof/>
        </w:rPr>
        <w:t xml:space="preserve"> i</w:t>
      </w:r>
      <w:r w:rsidR="00062BFA">
        <w:rPr>
          <w:noProof/>
        </w:rPr>
        <w:t> </w:t>
      </w:r>
      <w:r w:rsidR="00062BFA" w:rsidRPr="004F6DAA">
        <w:rPr>
          <w:noProof/>
        </w:rPr>
        <w:t>pod</w:t>
      </w:r>
      <w:r w:rsidR="00E70E12" w:rsidRPr="004F6DAA">
        <w:rPr>
          <w:noProof/>
        </w:rPr>
        <w:t>mioty handlowe wypełniają swoje obowiązki wynikające</w:t>
      </w:r>
      <w:r w:rsidR="00062BFA" w:rsidRPr="004F6DAA">
        <w:rPr>
          <w:noProof/>
        </w:rPr>
        <w:t xml:space="preserve"> z</w:t>
      </w:r>
      <w:r w:rsidR="00062BFA">
        <w:rPr>
          <w:noProof/>
        </w:rPr>
        <w:t> </w:t>
      </w:r>
      <w:r w:rsidR="00062BFA" w:rsidRPr="004F6DAA">
        <w:rPr>
          <w:noProof/>
        </w:rPr>
        <w:t>nin</w:t>
      </w:r>
      <w:r w:rsidR="00E70E12" w:rsidRPr="004F6DAA">
        <w:rPr>
          <w:noProof/>
        </w:rPr>
        <w:t>iejszego rozporządzenia, oraz czy odnośne towary</w:t>
      </w:r>
      <w:r w:rsidR="00062BFA" w:rsidRPr="004F6DAA">
        <w:rPr>
          <w:noProof/>
        </w:rPr>
        <w:t xml:space="preserve"> i</w:t>
      </w:r>
      <w:r w:rsidR="00062BFA">
        <w:rPr>
          <w:noProof/>
        </w:rPr>
        <w:t> </w:t>
      </w:r>
      <w:r w:rsidR="00062BFA" w:rsidRPr="004F6DAA">
        <w:rPr>
          <w:noProof/>
        </w:rPr>
        <w:t>pro</w:t>
      </w:r>
      <w:r w:rsidR="00E70E12" w:rsidRPr="004F6DAA">
        <w:rPr>
          <w:noProof/>
        </w:rPr>
        <w:t>dukty wprowadzone do obrotu</w:t>
      </w:r>
      <w:r w:rsidR="00062BFA" w:rsidRPr="004F6DAA">
        <w:rPr>
          <w:noProof/>
        </w:rPr>
        <w:t xml:space="preserve"> w</w:t>
      </w:r>
      <w:r w:rsidR="00062BFA">
        <w:rPr>
          <w:noProof/>
        </w:rPr>
        <w:t> </w:t>
      </w:r>
      <w:r w:rsidR="00062BFA" w:rsidRPr="004F6DAA">
        <w:rPr>
          <w:noProof/>
        </w:rPr>
        <w:t>Uni</w:t>
      </w:r>
      <w:r w:rsidR="00E70E12" w:rsidRPr="004F6DAA">
        <w:rPr>
          <w:noProof/>
        </w:rPr>
        <w:t>i lub udostępnione na rynku unijnym lub</w:t>
      </w:r>
      <w:r w:rsidR="00062BFA" w:rsidRPr="004F6DAA">
        <w:rPr>
          <w:noProof/>
        </w:rPr>
        <w:t xml:space="preserve"> z</w:t>
      </w:r>
      <w:r w:rsidR="00062BFA">
        <w:rPr>
          <w:noProof/>
        </w:rPr>
        <w:t> </w:t>
      </w:r>
      <w:r w:rsidR="00062BFA" w:rsidRPr="004F6DAA">
        <w:rPr>
          <w:noProof/>
        </w:rPr>
        <w:t>nie</w:t>
      </w:r>
      <w:r w:rsidR="00E70E12" w:rsidRPr="004F6DAA">
        <w:rPr>
          <w:noProof/>
        </w:rPr>
        <w:t>go wywożone są zgodne</w:t>
      </w:r>
      <w:r w:rsidR="00062BFA" w:rsidRPr="004F6DAA">
        <w:rPr>
          <w:noProof/>
        </w:rPr>
        <w:t xml:space="preserve"> z</w:t>
      </w:r>
      <w:r w:rsidR="00062BFA">
        <w:rPr>
          <w:noProof/>
        </w:rPr>
        <w:t> </w:t>
      </w:r>
      <w:r w:rsidR="00062BFA" w:rsidRPr="004F6DAA">
        <w:rPr>
          <w:noProof/>
        </w:rPr>
        <w:t>wym</w:t>
      </w:r>
      <w:r w:rsidR="00E70E12" w:rsidRPr="004F6DAA">
        <w:rPr>
          <w:noProof/>
        </w:rPr>
        <w:t>ogami niniejszego rozporządzenia. </w:t>
      </w:r>
    </w:p>
    <w:p w14:paraId="4AF6F539" w14:textId="77777777" w:rsidR="00E70E12" w:rsidRPr="004F6DAA" w:rsidRDefault="007B7EB7" w:rsidP="007B7EB7">
      <w:pPr>
        <w:pStyle w:val="ManualNumPar1"/>
        <w:rPr>
          <w:noProof/>
        </w:rPr>
      </w:pPr>
      <w:r w:rsidRPr="007B7EB7">
        <w:t>2.</w:t>
      </w:r>
      <w:r w:rsidRPr="007B7EB7">
        <w:tab/>
      </w:r>
      <w:r w:rsidR="00E70E12" w:rsidRPr="004F6DAA">
        <w:rPr>
          <w:noProof/>
        </w:rPr>
        <w:t>Kontrole,</w:t>
      </w:r>
      <w:r w:rsidR="00062BFA" w:rsidRPr="004F6DAA">
        <w:rPr>
          <w:noProof/>
        </w:rPr>
        <w:t xml:space="preserve"> o</w:t>
      </w:r>
      <w:r w:rsidR="00062BFA">
        <w:rPr>
          <w:noProof/>
        </w:rPr>
        <w:t> </w:t>
      </w:r>
      <w:r w:rsidR="00062BFA" w:rsidRPr="004F6DAA">
        <w:rPr>
          <w:noProof/>
        </w:rPr>
        <w:t>któ</w:t>
      </w:r>
      <w:r w:rsidR="00E70E12" w:rsidRPr="004F6DAA">
        <w:rPr>
          <w:noProof/>
        </w:rPr>
        <w:t>rych mowa</w:t>
      </w:r>
      <w:r w:rsidR="00062BFA" w:rsidRPr="004F6DAA">
        <w:rPr>
          <w:noProof/>
        </w:rPr>
        <w:t xml:space="preserve"> w</w:t>
      </w:r>
      <w:r w:rsidR="00062BFA">
        <w:rPr>
          <w:noProof/>
        </w:rPr>
        <w:t> </w:t>
      </w:r>
      <w:r w:rsidR="00062BFA" w:rsidRPr="00062BFA">
        <w:rPr>
          <w:noProof/>
        </w:rPr>
        <w:t>ust</w:t>
      </w:r>
      <w:r w:rsidR="00E70E12" w:rsidRPr="00062BFA">
        <w:rPr>
          <w:noProof/>
        </w:rPr>
        <w:t>.</w:t>
      </w:r>
      <w:r w:rsidR="00062BFA" w:rsidRPr="00062BFA">
        <w:rPr>
          <w:noProof/>
        </w:rPr>
        <w:t> </w:t>
      </w:r>
      <w:r w:rsidR="00E70E12" w:rsidRPr="00062BFA">
        <w:rPr>
          <w:noProof/>
        </w:rPr>
        <w:t>1</w:t>
      </w:r>
      <w:r w:rsidR="00E70E12" w:rsidRPr="004F6DAA">
        <w:rPr>
          <w:noProof/>
        </w:rPr>
        <w:t>, przeprowadza się zgodnie</w:t>
      </w:r>
      <w:r w:rsidR="00062BFA" w:rsidRPr="004F6DAA">
        <w:rPr>
          <w:noProof/>
        </w:rPr>
        <w:t xml:space="preserve"> z</w:t>
      </w:r>
      <w:r w:rsidR="00062BFA">
        <w:rPr>
          <w:noProof/>
        </w:rPr>
        <w:t> </w:t>
      </w:r>
      <w:r w:rsidR="00062BFA" w:rsidRPr="00062BFA">
        <w:rPr>
          <w:noProof/>
        </w:rPr>
        <w:t>art</w:t>
      </w:r>
      <w:r w:rsidR="00E70E12" w:rsidRPr="00062BFA">
        <w:rPr>
          <w:noProof/>
        </w:rPr>
        <w:t>.</w:t>
      </w:r>
      <w:r w:rsidR="00062BFA" w:rsidRPr="00062BFA">
        <w:rPr>
          <w:noProof/>
        </w:rPr>
        <w:t> </w:t>
      </w:r>
      <w:r w:rsidR="00E70E12" w:rsidRPr="00062BFA">
        <w:rPr>
          <w:noProof/>
        </w:rPr>
        <w:t>1</w:t>
      </w:r>
      <w:r w:rsidR="00E70E12" w:rsidRPr="004F6DAA">
        <w:rPr>
          <w:noProof/>
        </w:rPr>
        <w:t>5</w:t>
      </w:r>
      <w:r w:rsidR="00062BFA" w:rsidRPr="004F6DAA">
        <w:rPr>
          <w:noProof/>
        </w:rPr>
        <w:t xml:space="preserve"> i</w:t>
      </w:r>
      <w:r w:rsidR="00062BFA">
        <w:rPr>
          <w:noProof/>
        </w:rPr>
        <w:t> </w:t>
      </w:r>
      <w:r w:rsidR="00062BFA" w:rsidRPr="004F6DAA">
        <w:rPr>
          <w:noProof/>
        </w:rPr>
        <w:t>1</w:t>
      </w:r>
      <w:r w:rsidR="00E70E12" w:rsidRPr="004F6DAA">
        <w:rPr>
          <w:noProof/>
        </w:rPr>
        <w:t>6.</w:t>
      </w:r>
    </w:p>
    <w:p w14:paraId="7F2A5B81" w14:textId="77777777" w:rsidR="00E70E12" w:rsidRPr="004F6DAA" w:rsidRDefault="007B7EB7" w:rsidP="007B7EB7">
      <w:pPr>
        <w:pStyle w:val="ManualNumPar1"/>
        <w:rPr>
          <w:noProof/>
        </w:rPr>
      </w:pPr>
      <w:r w:rsidRPr="007B7EB7">
        <w:t>3.</w:t>
      </w:r>
      <w:r w:rsidRPr="007B7EB7">
        <w:tab/>
      </w:r>
      <w:r w:rsidR="00E70E12" w:rsidRPr="004F6DAA">
        <w:rPr>
          <w:noProof/>
        </w:rPr>
        <w:t>Aby przeprowadzić kontrole,</w:t>
      </w:r>
      <w:r w:rsidR="00062BFA" w:rsidRPr="004F6DAA">
        <w:rPr>
          <w:noProof/>
        </w:rPr>
        <w:t xml:space="preserve"> o</w:t>
      </w:r>
      <w:r w:rsidR="00062BFA">
        <w:rPr>
          <w:noProof/>
        </w:rPr>
        <w:t> </w:t>
      </w:r>
      <w:r w:rsidR="00062BFA" w:rsidRPr="004F6DAA">
        <w:rPr>
          <w:noProof/>
        </w:rPr>
        <w:t>któ</w:t>
      </w:r>
      <w:r w:rsidR="00E70E12" w:rsidRPr="004F6DAA">
        <w:rPr>
          <w:noProof/>
        </w:rPr>
        <w:t>rych mowa</w:t>
      </w:r>
      <w:r w:rsidR="00062BFA" w:rsidRPr="004F6DAA">
        <w:rPr>
          <w:noProof/>
        </w:rPr>
        <w:t xml:space="preserve"> w</w:t>
      </w:r>
      <w:r w:rsidR="00062BFA">
        <w:rPr>
          <w:noProof/>
        </w:rPr>
        <w:t> </w:t>
      </w:r>
      <w:r w:rsidR="00062BFA" w:rsidRPr="00062BFA">
        <w:rPr>
          <w:noProof/>
        </w:rPr>
        <w:t>ust</w:t>
      </w:r>
      <w:r w:rsidR="00E70E12" w:rsidRPr="00062BFA">
        <w:rPr>
          <w:noProof/>
        </w:rPr>
        <w:t>.</w:t>
      </w:r>
      <w:r w:rsidR="00062BFA" w:rsidRPr="00062BFA">
        <w:rPr>
          <w:noProof/>
        </w:rPr>
        <w:t> </w:t>
      </w:r>
      <w:r w:rsidR="00E70E12" w:rsidRPr="00062BFA">
        <w:rPr>
          <w:noProof/>
        </w:rPr>
        <w:t>1</w:t>
      </w:r>
      <w:r w:rsidR="00E70E12" w:rsidRPr="004F6DAA">
        <w:rPr>
          <w:noProof/>
        </w:rPr>
        <w:t xml:space="preserve">, właściwe organy ustanawiają plan, którego podstawą jest podejście oparte na analizie ryzyka. Plan zawiera co najmniej kryteria ryzyka służące przeprowadzeniu analizy ryzyka na podstawie </w:t>
      </w:r>
      <w:r w:rsidR="00E70E12" w:rsidRPr="00062BFA">
        <w:rPr>
          <w:noProof/>
        </w:rPr>
        <w:t>ust.</w:t>
      </w:r>
      <w:r w:rsidR="00062BFA" w:rsidRPr="00062BFA">
        <w:rPr>
          <w:noProof/>
        </w:rPr>
        <w:t> </w:t>
      </w:r>
      <w:r w:rsidR="00E70E12" w:rsidRPr="00062BFA">
        <w:rPr>
          <w:noProof/>
        </w:rPr>
        <w:t>4</w:t>
      </w:r>
      <w:r w:rsidR="00062BFA" w:rsidRPr="004F6DAA">
        <w:rPr>
          <w:noProof/>
        </w:rPr>
        <w:t xml:space="preserve"> i</w:t>
      </w:r>
      <w:r w:rsidR="00062BFA">
        <w:rPr>
          <w:noProof/>
        </w:rPr>
        <w:t> </w:t>
      </w:r>
      <w:r w:rsidR="00062BFA" w:rsidRPr="004F6DAA">
        <w:rPr>
          <w:noProof/>
        </w:rPr>
        <w:t>będ</w:t>
      </w:r>
      <w:r w:rsidR="00E70E12" w:rsidRPr="004F6DAA">
        <w:rPr>
          <w:noProof/>
        </w:rPr>
        <w:t>ące tym samym podstawą do podejmowania decyzji dotyczących kontroli. Ustanawiając kryteria ryzyka</w:t>
      </w:r>
      <w:r w:rsidR="00062BFA" w:rsidRPr="004F6DAA">
        <w:rPr>
          <w:noProof/>
        </w:rPr>
        <w:t xml:space="preserve"> i</w:t>
      </w:r>
      <w:r w:rsidR="00062BFA">
        <w:rPr>
          <w:noProof/>
        </w:rPr>
        <w:t> </w:t>
      </w:r>
      <w:r w:rsidR="00062BFA" w:rsidRPr="004F6DAA">
        <w:rPr>
          <w:noProof/>
        </w:rPr>
        <w:t>dok</w:t>
      </w:r>
      <w:r w:rsidR="00E70E12" w:rsidRPr="004F6DAA">
        <w:rPr>
          <w:noProof/>
        </w:rPr>
        <w:t>onując ich przeglądu, właściwe organy uwzględniają</w:t>
      </w:r>
      <w:r w:rsidR="00062BFA" w:rsidRPr="004F6DAA">
        <w:rPr>
          <w:noProof/>
        </w:rPr>
        <w:t xml:space="preserve"> w</w:t>
      </w:r>
      <w:r w:rsidR="00062BFA">
        <w:rPr>
          <w:noProof/>
        </w:rPr>
        <w:t> </w:t>
      </w:r>
      <w:r w:rsidR="00062BFA" w:rsidRPr="004F6DAA">
        <w:rPr>
          <w:noProof/>
        </w:rPr>
        <w:t>szc</w:t>
      </w:r>
      <w:r w:rsidR="00E70E12" w:rsidRPr="004F6DAA">
        <w:rPr>
          <w:noProof/>
        </w:rPr>
        <w:t>zególności przypisanie ryzyka krajom lub ich częściom zgodnie</w:t>
      </w:r>
      <w:r w:rsidR="00062BFA" w:rsidRPr="004F6DAA">
        <w:rPr>
          <w:noProof/>
        </w:rPr>
        <w:t xml:space="preserve"> z</w:t>
      </w:r>
      <w:r w:rsidR="00062BFA">
        <w:rPr>
          <w:noProof/>
        </w:rPr>
        <w:t> </w:t>
      </w:r>
      <w:r w:rsidR="00062BFA" w:rsidRPr="00062BFA">
        <w:rPr>
          <w:noProof/>
        </w:rPr>
        <w:t>art</w:t>
      </w:r>
      <w:r w:rsidR="00E70E12" w:rsidRPr="00062BFA">
        <w:rPr>
          <w:noProof/>
        </w:rPr>
        <w:t>.</w:t>
      </w:r>
      <w:r w:rsidR="00062BFA" w:rsidRPr="00062BFA">
        <w:rPr>
          <w:noProof/>
        </w:rPr>
        <w:t> </w:t>
      </w:r>
      <w:r w:rsidR="00E70E12" w:rsidRPr="00062BFA">
        <w:rPr>
          <w:noProof/>
        </w:rPr>
        <w:t>2</w:t>
      </w:r>
      <w:r w:rsidR="00E70E12" w:rsidRPr="004F6DAA">
        <w:rPr>
          <w:noProof/>
        </w:rPr>
        <w:t>7, historię przestrzegania przez podmiot lub podmiot handlowy przepisów niniejszego rozporządzenia</w:t>
      </w:r>
      <w:r w:rsidR="00062BFA" w:rsidRPr="004F6DAA">
        <w:rPr>
          <w:noProof/>
        </w:rPr>
        <w:t xml:space="preserve"> i</w:t>
      </w:r>
      <w:r w:rsidR="00062BFA">
        <w:rPr>
          <w:noProof/>
        </w:rPr>
        <w:t> </w:t>
      </w:r>
      <w:r w:rsidR="00062BFA" w:rsidRPr="004F6DAA">
        <w:rPr>
          <w:noProof/>
        </w:rPr>
        <w:t>wsz</w:t>
      </w:r>
      <w:r w:rsidR="00E70E12" w:rsidRPr="004F6DAA">
        <w:rPr>
          <w:noProof/>
        </w:rPr>
        <w:t>elkie inne istotne informacje. Na podstawie wyników kontroli</w:t>
      </w:r>
      <w:r w:rsidR="00062BFA" w:rsidRPr="004F6DAA">
        <w:rPr>
          <w:noProof/>
        </w:rPr>
        <w:t xml:space="preserve"> i</w:t>
      </w:r>
      <w:r w:rsidR="00062BFA">
        <w:rPr>
          <w:noProof/>
        </w:rPr>
        <w:t> </w:t>
      </w:r>
      <w:r w:rsidR="00062BFA" w:rsidRPr="004F6DAA">
        <w:rPr>
          <w:noProof/>
        </w:rPr>
        <w:t>doś</w:t>
      </w:r>
      <w:r w:rsidR="00E70E12" w:rsidRPr="004F6DAA">
        <w:rPr>
          <w:noProof/>
        </w:rPr>
        <w:t>wiadczenia we wdrażaniu planów właściwe organy dokonują regularnego przeglądu tych planów</w:t>
      </w:r>
      <w:r w:rsidR="00062BFA" w:rsidRPr="004F6DAA">
        <w:rPr>
          <w:noProof/>
        </w:rPr>
        <w:t xml:space="preserve"> i</w:t>
      </w:r>
      <w:r w:rsidR="00062BFA">
        <w:rPr>
          <w:noProof/>
        </w:rPr>
        <w:t> </w:t>
      </w:r>
      <w:r w:rsidR="00062BFA" w:rsidRPr="004F6DAA">
        <w:rPr>
          <w:noProof/>
        </w:rPr>
        <w:t>kry</w:t>
      </w:r>
      <w:r w:rsidR="00E70E12" w:rsidRPr="004F6DAA">
        <w:rPr>
          <w:noProof/>
        </w:rPr>
        <w:t>teriów ryzyka, aby podnieść ich skuteczność.Dokonując przeglądu planów, właściwe organy ustanawiają mniejszą częstotliwość kontroli</w:t>
      </w:r>
      <w:r w:rsidR="00062BFA" w:rsidRPr="004F6DAA">
        <w:rPr>
          <w:noProof/>
        </w:rPr>
        <w:t xml:space="preserve"> w</w:t>
      </w:r>
      <w:r w:rsidR="00062BFA">
        <w:rPr>
          <w:noProof/>
        </w:rPr>
        <w:t> </w:t>
      </w:r>
      <w:r w:rsidR="00062BFA" w:rsidRPr="004F6DAA">
        <w:rPr>
          <w:noProof/>
        </w:rPr>
        <w:t>prz</w:t>
      </w:r>
      <w:r w:rsidR="00E70E12" w:rsidRPr="004F6DAA">
        <w:rPr>
          <w:noProof/>
        </w:rPr>
        <w:t>ypadku tych podmiotów</w:t>
      </w:r>
      <w:r w:rsidR="00062BFA" w:rsidRPr="004F6DAA">
        <w:rPr>
          <w:noProof/>
        </w:rPr>
        <w:t xml:space="preserve"> i</w:t>
      </w:r>
      <w:r w:rsidR="00062BFA">
        <w:rPr>
          <w:noProof/>
        </w:rPr>
        <w:t> </w:t>
      </w:r>
      <w:r w:rsidR="00062BFA" w:rsidRPr="004F6DAA">
        <w:rPr>
          <w:noProof/>
        </w:rPr>
        <w:t>pod</w:t>
      </w:r>
      <w:r w:rsidR="00E70E12" w:rsidRPr="004F6DAA">
        <w:rPr>
          <w:noProof/>
        </w:rPr>
        <w:t>miotów handlowych, które wykazują się konsekwentnym zachowywaniem zgodności</w:t>
      </w:r>
      <w:r w:rsidR="00062BFA" w:rsidRPr="004F6DAA">
        <w:rPr>
          <w:noProof/>
        </w:rPr>
        <w:t xml:space="preserve"> z</w:t>
      </w:r>
      <w:r w:rsidR="00062BFA">
        <w:rPr>
          <w:noProof/>
        </w:rPr>
        <w:t> </w:t>
      </w:r>
      <w:r w:rsidR="00062BFA" w:rsidRPr="004F6DAA">
        <w:rPr>
          <w:noProof/>
        </w:rPr>
        <w:t>wym</w:t>
      </w:r>
      <w:r w:rsidR="00E70E12" w:rsidRPr="004F6DAA">
        <w:rPr>
          <w:noProof/>
        </w:rPr>
        <w:t>ogami niniejszego rozporządzenia.</w:t>
      </w:r>
    </w:p>
    <w:p w14:paraId="17054EDD" w14:textId="77777777" w:rsidR="00E70E12" w:rsidRPr="004F6DAA" w:rsidRDefault="007B7EB7" w:rsidP="007B7EB7">
      <w:pPr>
        <w:pStyle w:val="ManualNumPar1"/>
        <w:rPr>
          <w:noProof/>
        </w:rPr>
      </w:pPr>
      <w:r w:rsidRPr="007B7EB7">
        <w:t>4.</w:t>
      </w:r>
      <w:r w:rsidRPr="007B7EB7">
        <w:tab/>
      </w:r>
      <w:r w:rsidR="00E70E12" w:rsidRPr="004F6DAA">
        <w:rPr>
          <w:noProof/>
        </w:rPr>
        <w:t xml:space="preserve">W celu wdrożenia planów kontroli opartych na analizie ryzyka, ustanowionych na podstawie </w:t>
      </w:r>
      <w:r w:rsidR="00E70E12" w:rsidRPr="00062BFA">
        <w:rPr>
          <w:noProof/>
        </w:rPr>
        <w:t>ust.</w:t>
      </w:r>
      <w:r w:rsidR="00062BFA" w:rsidRPr="00062BFA">
        <w:rPr>
          <w:noProof/>
        </w:rPr>
        <w:t> </w:t>
      </w:r>
      <w:r w:rsidR="00E70E12" w:rsidRPr="00062BFA">
        <w:rPr>
          <w:noProof/>
        </w:rPr>
        <w:t>3</w:t>
      </w:r>
      <w:r w:rsidR="00E70E12" w:rsidRPr="004F6DAA">
        <w:rPr>
          <w:noProof/>
        </w:rPr>
        <w:t>, właściwie organy przeprowadzają analizę ryzyka dotyczącą informacji zawartych</w:t>
      </w:r>
      <w:r w:rsidR="00062BFA" w:rsidRPr="004F6DAA">
        <w:rPr>
          <w:noProof/>
        </w:rPr>
        <w:t xml:space="preserve"> w</w:t>
      </w:r>
      <w:r w:rsidR="00062BFA">
        <w:rPr>
          <w:noProof/>
        </w:rPr>
        <w:t> </w:t>
      </w:r>
      <w:r w:rsidR="00062BFA" w:rsidRPr="004F6DAA">
        <w:rPr>
          <w:noProof/>
        </w:rPr>
        <w:t>ośw</w:t>
      </w:r>
      <w:r w:rsidR="00E70E12" w:rsidRPr="004F6DAA">
        <w:rPr>
          <w:noProof/>
        </w:rPr>
        <w:t>iadczeniach</w:t>
      </w:r>
      <w:r w:rsidR="00062BFA" w:rsidRPr="004F6DAA">
        <w:rPr>
          <w:noProof/>
        </w:rPr>
        <w:t xml:space="preserve"> o</w:t>
      </w:r>
      <w:r w:rsidR="00062BFA">
        <w:rPr>
          <w:noProof/>
        </w:rPr>
        <w:t> </w:t>
      </w:r>
      <w:r w:rsidR="00062BFA" w:rsidRPr="004F6DAA">
        <w:rPr>
          <w:noProof/>
        </w:rPr>
        <w:t>zac</w:t>
      </w:r>
      <w:r w:rsidR="00E70E12" w:rsidRPr="004F6DAA">
        <w:rPr>
          <w:noProof/>
        </w:rPr>
        <w:t>howaniu należytej staranności przekazanych im zgodnie</w:t>
      </w:r>
      <w:r w:rsidR="00062BFA" w:rsidRPr="004F6DAA">
        <w:rPr>
          <w:noProof/>
        </w:rPr>
        <w:t xml:space="preserve"> z</w:t>
      </w:r>
      <w:r w:rsidR="00062BFA">
        <w:rPr>
          <w:noProof/>
        </w:rPr>
        <w:t> </w:t>
      </w:r>
      <w:r w:rsidR="00062BFA" w:rsidRPr="00062BFA">
        <w:rPr>
          <w:noProof/>
        </w:rPr>
        <w:t>art</w:t>
      </w:r>
      <w:r w:rsidR="00E70E12" w:rsidRPr="00062BFA">
        <w:rPr>
          <w:noProof/>
        </w:rPr>
        <w:t>.</w:t>
      </w:r>
      <w:r w:rsidR="00062BFA" w:rsidRPr="00062BFA">
        <w:rPr>
          <w:noProof/>
        </w:rPr>
        <w:t> </w:t>
      </w:r>
      <w:r w:rsidR="00E70E12" w:rsidRPr="00062BFA">
        <w:rPr>
          <w:noProof/>
        </w:rPr>
        <w:t>4</w:t>
      </w:r>
      <w:r w:rsidR="00E70E12" w:rsidRPr="004F6DAA">
        <w:rPr>
          <w:noProof/>
        </w:rPr>
        <w:t xml:space="preserve"> </w:t>
      </w:r>
      <w:r w:rsidR="00E70E12" w:rsidRPr="00062BFA">
        <w:rPr>
          <w:noProof/>
        </w:rPr>
        <w:t>ust.</w:t>
      </w:r>
      <w:r w:rsidR="00062BFA" w:rsidRPr="00062BFA">
        <w:rPr>
          <w:noProof/>
        </w:rPr>
        <w:t> </w:t>
      </w:r>
      <w:r w:rsidR="00E70E12" w:rsidRPr="00062BFA">
        <w:rPr>
          <w:noProof/>
        </w:rPr>
        <w:t>2</w:t>
      </w:r>
      <w:r w:rsidR="00062BFA" w:rsidRPr="004F6DAA">
        <w:rPr>
          <w:noProof/>
        </w:rPr>
        <w:t>. W</w:t>
      </w:r>
      <w:r w:rsidR="00062BFA">
        <w:rPr>
          <w:noProof/>
        </w:rPr>
        <w:t> </w:t>
      </w:r>
      <w:r w:rsidR="00062BFA" w:rsidRPr="004F6DAA">
        <w:rPr>
          <w:noProof/>
        </w:rPr>
        <w:t>ana</w:t>
      </w:r>
      <w:r w:rsidR="00E70E12" w:rsidRPr="004F6DAA">
        <w:rPr>
          <w:noProof/>
        </w:rPr>
        <w:t>lizie ryzyka wykorzystuje się kryteria ryzyka zawarte</w:t>
      </w:r>
      <w:r w:rsidR="00062BFA" w:rsidRPr="004F6DAA">
        <w:rPr>
          <w:noProof/>
        </w:rPr>
        <w:t xml:space="preserve"> w</w:t>
      </w:r>
      <w:r w:rsidR="00062BFA">
        <w:rPr>
          <w:noProof/>
        </w:rPr>
        <w:t> </w:t>
      </w:r>
      <w:r w:rsidR="00062BFA" w:rsidRPr="004F6DAA">
        <w:rPr>
          <w:noProof/>
        </w:rPr>
        <w:t>pla</w:t>
      </w:r>
      <w:r w:rsidR="00E70E12" w:rsidRPr="004F6DAA">
        <w:rPr>
          <w:noProof/>
        </w:rPr>
        <w:t xml:space="preserve">nach ustanowionych na podstawie </w:t>
      </w:r>
      <w:r w:rsidR="00E70E12" w:rsidRPr="00062BFA">
        <w:rPr>
          <w:noProof/>
        </w:rPr>
        <w:t>ust.</w:t>
      </w:r>
      <w:r w:rsidR="00062BFA" w:rsidRPr="00062BFA">
        <w:rPr>
          <w:noProof/>
        </w:rPr>
        <w:t> </w:t>
      </w:r>
      <w:r w:rsidR="00E70E12" w:rsidRPr="00062BFA">
        <w:rPr>
          <w:noProof/>
        </w:rPr>
        <w:t>3</w:t>
      </w:r>
      <w:r w:rsidR="00062BFA" w:rsidRPr="004F6DAA">
        <w:rPr>
          <w:noProof/>
        </w:rPr>
        <w:t xml:space="preserve"> i</w:t>
      </w:r>
      <w:r w:rsidR="00062BFA">
        <w:rPr>
          <w:noProof/>
        </w:rPr>
        <w:t> </w:t>
      </w:r>
      <w:r w:rsidR="00062BFA" w:rsidRPr="004F6DAA">
        <w:rPr>
          <w:noProof/>
        </w:rPr>
        <w:t>prz</w:t>
      </w:r>
      <w:r w:rsidR="00E70E12" w:rsidRPr="004F6DAA">
        <w:rPr>
          <w:noProof/>
        </w:rPr>
        <w:t>eprowadza się ją przy pomocy technik elektronicznego przetwarzania danych, które włączono do systemu informacyjnego określonego</w:t>
      </w:r>
      <w:r w:rsidR="00062BFA" w:rsidRPr="004F6DAA">
        <w:rPr>
          <w:noProof/>
        </w:rPr>
        <w:t xml:space="preserve"> w</w:t>
      </w:r>
      <w:r w:rsidR="00062BFA">
        <w:rPr>
          <w:noProof/>
        </w:rPr>
        <w:t> </w:t>
      </w:r>
      <w:r w:rsidR="00062BFA" w:rsidRPr="00062BFA">
        <w:rPr>
          <w:noProof/>
        </w:rPr>
        <w:t>art</w:t>
      </w:r>
      <w:r w:rsidR="00E70E12" w:rsidRPr="00062BFA">
        <w:rPr>
          <w:noProof/>
        </w:rPr>
        <w:t>.</w:t>
      </w:r>
      <w:r w:rsidR="00062BFA" w:rsidRPr="00062BFA">
        <w:rPr>
          <w:noProof/>
        </w:rPr>
        <w:t> </w:t>
      </w:r>
      <w:r w:rsidR="00E70E12" w:rsidRPr="00062BFA">
        <w:rPr>
          <w:noProof/>
        </w:rPr>
        <w:t>3</w:t>
      </w:r>
      <w:r w:rsidR="00E70E12" w:rsidRPr="004F6DAA">
        <w:rPr>
          <w:noProof/>
        </w:rPr>
        <w:t>1.</w:t>
      </w:r>
    </w:p>
    <w:p w14:paraId="41AF3672" w14:textId="77777777" w:rsidR="00E70E12" w:rsidRPr="004F6DAA" w:rsidRDefault="007B7EB7" w:rsidP="007B7EB7">
      <w:pPr>
        <w:pStyle w:val="ManualNumPar1"/>
        <w:rPr>
          <w:noProof/>
        </w:rPr>
      </w:pPr>
      <w:r w:rsidRPr="007B7EB7">
        <w:t>5.</w:t>
      </w:r>
      <w:r w:rsidRPr="007B7EB7">
        <w:tab/>
      </w:r>
      <w:r w:rsidR="00E70E12" w:rsidRPr="004F6DAA">
        <w:rPr>
          <w:noProof/>
        </w:rPr>
        <w:t xml:space="preserve">Na podstawie analizy ryzyka przeprowadzonej na podstawie </w:t>
      </w:r>
      <w:r w:rsidR="00E70E12" w:rsidRPr="00062BFA">
        <w:rPr>
          <w:noProof/>
        </w:rPr>
        <w:t>ust.</w:t>
      </w:r>
      <w:r w:rsidR="00062BFA" w:rsidRPr="00062BFA">
        <w:rPr>
          <w:noProof/>
        </w:rPr>
        <w:t> </w:t>
      </w:r>
      <w:r w:rsidR="00E70E12" w:rsidRPr="00062BFA">
        <w:rPr>
          <w:noProof/>
        </w:rPr>
        <w:t>4</w:t>
      </w:r>
      <w:r w:rsidR="00E70E12" w:rsidRPr="004F6DAA">
        <w:rPr>
          <w:noProof/>
        </w:rPr>
        <w:t xml:space="preserve"> oraz wszelkich innych istotnych informacji właściwe organy określają podmioty</w:t>
      </w:r>
      <w:r w:rsidR="00062BFA" w:rsidRPr="004F6DAA">
        <w:rPr>
          <w:noProof/>
        </w:rPr>
        <w:t xml:space="preserve"> i</w:t>
      </w:r>
      <w:r w:rsidR="00062BFA">
        <w:rPr>
          <w:noProof/>
        </w:rPr>
        <w:t> </w:t>
      </w:r>
      <w:r w:rsidR="00062BFA" w:rsidRPr="004F6DAA">
        <w:rPr>
          <w:noProof/>
        </w:rPr>
        <w:t>pod</w:t>
      </w:r>
      <w:r w:rsidR="00E70E12" w:rsidRPr="004F6DAA">
        <w:rPr>
          <w:noProof/>
        </w:rPr>
        <w:t>mioty handlowe, które zostaną poddane kontroli zgodnie</w:t>
      </w:r>
      <w:r w:rsidR="00062BFA" w:rsidRPr="004F6DAA">
        <w:rPr>
          <w:noProof/>
        </w:rPr>
        <w:t xml:space="preserve"> z</w:t>
      </w:r>
      <w:r w:rsidR="00062BFA">
        <w:rPr>
          <w:noProof/>
        </w:rPr>
        <w:t> </w:t>
      </w:r>
      <w:r w:rsidR="00062BFA" w:rsidRPr="00062BFA">
        <w:rPr>
          <w:noProof/>
        </w:rPr>
        <w:t>art</w:t>
      </w:r>
      <w:r w:rsidR="00E70E12" w:rsidRPr="00062BFA">
        <w:rPr>
          <w:noProof/>
        </w:rPr>
        <w:t>.</w:t>
      </w:r>
      <w:r w:rsidR="00062BFA" w:rsidRPr="00062BFA">
        <w:rPr>
          <w:noProof/>
        </w:rPr>
        <w:t> </w:t>
      </w:r>
      <w:r w:rsidR="00E70E12" w:rsidRPr="00062BFA">
        <w:rPr>
          <w:noProof/>
        </w:rPr>
        <w:t>1</w:t>
      </w:r>
      <w:r w:rsidR="00E70E12" w:rsidRPr="004F6DAA">
        <w:rPr>
          <w:noProof/>
        </w:rPr>
        <w:t>5</w:t>
      </w:r>
      <w:r w:rsidR="00062BFA" w:rsidRPr="004F6DAA">
        <w:rPr>
          <w:noProof/>
        </w:rPr>
        <w:t xml:space="preserve"> i</w:t>
      </w:r>
      <w:r w:rsidR="00062BFA">
        <w:rPr>
          <w:noProof/>
        </w:rPr>
        <w:t> </w:t>
      </w:r>
      <w:r w:rsidR="00062BFA" w:rsidRPr="004F6DAA">
        <w:rPr>
          <w:noProof/>
        </w:rPr>
        <w:t>1</w:t>
      </w:r>
      <w:r w:rsidR="00E70E12" w:rsidRPr="004F6DAA">
        <w:rPr>
          <w:noProof/>
        </w:rPr>
        <w:t>6.</w:t>
      </w:r>
    </w:p>
    <w:p w14:paraId="79C89C29" w14:textId="77777777" w:rsidR="00E70E12" w:rsidRPr="004F6DAA" w:rsidRDefault="007B7EB7" w:rsidP="007B7EB7">
      <w:pPr>
        <w:pStyle w:val="ManualNumPar1"/>
        <w:rPr>
          <w:noProof/>
        </w:rPr>
      </w:pPr>
      <w:r w:rsidRPr="007B7EB7">
        <w:t>6.</w:t>
      </w:r>
      <w:r w:rsidRPr="007B7EB7">
        <w:tab/>
      </w:r>
      <w:r w:rsidR="00E70E12" w:rsidRPr="004F6DAA">
        <w:rPr>
          <w:noProof/>
        </w:rPr>
        <w:t xml:space="preserve">Na podstawie analizy ryzyka przeprowadzonej na podstawie </w:t>
      </w:r>
      <w:r w:rsidR="00E70E12" w:rsidRPr="00062BFA">
        <w:rPr>
          <w:noProof/>
        </w:rPr>
        <w:t>ust.</w:t>
      </w:r>
      <w:r w:rsidR="00062BFA" w:rsidRPr="00062BFA">
        <w:rPr>
          <w:noProof/>
        </w:rPr>
        <w:t> </w:t>
      </w:r>
      <w:r w:rsidR="00E70E12" w:rsidRPr="00062BFA">
        <w:rPr>
          <w:noProof/>
        </w:rPr>
        <w:t>4</w:t>
      </w:r>
      <w:r w:rsidR="00E70E12" w:rsidRPr="004F6DAA">
        <w:rPr>
          <w:noProof/>
        </w:rPr>
        <w:t xml:space="preserve"> właściwe organy identyfikują również odnośne towary</w:t>
      </w:r>
      <w:r w:rsidR="00062BFA" w:rsidRPr="004F6DAA">
        <w:rPr>
          <w:noProof/>
        </w:rPr>
        <w:t xml:space="preserve"> i</w:t>
      </w:r>
      <w:r w:rsidR="00062BFA">
        <w:rPr>
          <w:noProof/>
        </w:rPr>
        <w:t> </w:t>
      </w:r>
      <w:r w:rsidR="00062BFA" w:rsidRPr="004F6DAA">
        <w:rPr>
          <w:noProof/>
        </w:rPr>
        <w:t>pro</w:t>
      </w:r>
      <w:r w:rsidR="00E70E12" w:rsidRPr="004F6DAA">
        <w:rPr>
          <w:noProof/>
        </w:rPr>
        <w:t>dukty, które wymagają natychmiastowego działania, ponieważ stwarzają tak duże ryzyko niezgodności</w:t>
      </w:r>
      <w:r w:rsidR="00062BFA" w:rsidRPr="004F6DAA">
        <w:rPr>
          <w:noProof/>
        </w:rPr>
        <w:t xml:space="preserve"> z</w:t>
      </w:r>
      <w:r w:rsidR="00062BFA">
        <w:rPr>
          <w:noProof/>
        </w:rPr>
        <w:t> </w:t>
      </w:r>
      <w:r w:rsidR="00062BFA" w:rsidRPr="004F6DAA">
        <w:rPr>
          <w:noProof/>
        </w:rPr>
        <w:t>prz</w:t>
      </w:r>
      <w:r w:rsidR="00E70E12" w:rsidRPr="004F6DAA">
        <w:rPr>
          <w:noProof/>
        </w:rPr>
        <w:t>episami niniejszego rozporządzenia, że należy je skontrolować przed wprowadzeniem do obrotu lub udostępnieniem na rynku unijnym lub przed wywozem. Taka identyfikacja jest oznaczana</w:t>
      </w:r>
      <w:r w:rsidR="00062BFA" w:rsidRPr="004F6DAA">
        <w:rPr>
          <w:noProof/>
        </w:rPr>
        <w:t xml:space="preserve"> w</w:t>
      </w:r>
      <w:r w:rsidR="00062BFA">
        <w:rPr>
          <w:noProof/>
        </w:rPr>
        <w:t> </w:t>
      </w:r>
      <w:r w:rsidR="00062BFA" w:rsidRPr="004F6DAA">
        <w:rPr>
          <w:noProof/>
        </w:rPr>
        <w:t>sys</w:t>
      </w:r>
      <w:r w:rsidR="00E70E12" w:rsidRPr="004F6DAA">
        <w:rPr>
          <w:noProof/>
        </w:rPr>
        <w:t xml:space="preserve">temie informacyjnym ustanowionym na podstawie </w:t>
      </w:r>
      <w:r w:rsidR="00E70E12" w:rsidRPr="00062BFA">
        <w:rPr>
          <w:noProof/>
        </w:rPr>
        <w:t>art.</w:t>
      </w:r>
      <w:r w:rsidR="00062BFA" w:rsidRPr="00062BFA">
        <w:rPr>
          <w:noProof/>
        </w:rPr>
        <w:t> </w:t>
      </w:r>
      <w:r w:rsidR="00E70E12" w:rsidRPr="00062BFA">
        <w:rPr>
          <w:noProof/>
        </w:rPr>
        <w:t>3</w:t>
      </w:r>
      <w:r w:rsidR="00E70E12" w:rsidRPr="004F6DAA">
        <w:rPr>
          <w:noProof/>
        </w:rPr>
        <w:t>1</w:t>
      </w:r>
      <w:r w:rsidR="00062BFA" w:rsidRPr="004F6DAA">
        <w:rPr>
          <w:noProof/>
        </w:rPr>
        <w:t xml:space="preserve"> i</w:t>
      </w:r>
      <w:r w:rsidR="00062BFA">
        <w:rPr>
          <w:noProof/>
        </w:rPr>
        <w:t> </w:t>
      </w:r>
      <w:r w:rsidR="00062BFA" w:rsidRPr="004F6DAA">
        <w:rPr>
          <w:noProof/>
        </w:rPr>
        <w:t>sku</w:t>
      </w:r>
      <w:r w:rsidR="00E70E12" w:rsidRPr="004F6DAA">
        <w:rPr>
          <w:noProof/>
        </w:rPr>
        <w:t xml:space="preserve">tkuje wprowadzeniem przez właściwe organy natychmiastowych środków tymczasowych na mocy </w:t>
      </w:r>
      <w:r w:rsidR="00E70E12" w:rsidRPr="00062BFA">
        <w:rPr>
          <w:noProof/>
        </w:rPr>
        <w:t>art.</w:t>
      </w:r>
      <w:r w:rsidR="00062BFA" w:rsidRPr="00062BFA">
        <w:rPr>
          <w:noProof/>
        </w:rPr>
        <w:t> </w:t>
      </w:r>
      <w:r w:rsidR="00E70E12" w:rsidRPr="00062BFA">
        <w:rPr>
          <w:noProof/>
        </w:rPr>
        <w:t>2</w:t>
      </w:r>
      <w:r w:rsidR="00E70E12" w:rsidRPr="004F6DAA">
        <w:rPr>
          <w:noProof/>
        </w:rPr>
        <w:t>1</w:t>
      </w:r>
      <w:r w:rsidR="00062BFA" w:rsidRPr="004F6DAA">
        <w:rPr>
          <w:noProof/>
        </w:rPr>
        <w:t xml:space="preserve"> w</w:t>
      </w:r>
      <w:r w:rsidR="00062BFA">
        <w:rPr>
          <w:noProof/>
        </w:rPr>
        <w:t> </w:t>
      </w:r>
      <w:r w:rsidR="00062BFA" w:rsidRPr="004F6DAA">
        <w:rPr>
          <w:noProof/>
        </w:rPr>
        <w:t>cel</w:t>
      </w:r>
      <w:r w:rsidR="00E70E12" w:rsidRPr="004F6DAA">
        <w:rPr>
          <w:noProof/>
        </w:rPr>
        <w:t>u zawieszenia wprowadzania do obrotu lub udostępniania na rynku unijnym odnośnych towarów</w:t>
      </w:r>
      <w:r w:rsidR="00062BFA" w:rsidRPr="004F6DAA">
        <w:rPr>
          <w:noProof/>
        </w:rPr>
        <w:t xml:space="preserve"> i</w:t>
      </w:r>
      <w:r w:rsidR="00062BFA">
        <w:rPr>
          <w:noProof/>
        </w:rPr>
        <w:t> </w:t>
      </w:r>
      <w:r w:rsidR="00062BFA" w:rsidRPr="004F6DAA">
        <w:rPr>
          <w:noProof/>
        </w:rPr>
        <w:t>pro</w:t>
      </w:r>
      <w:r w:rsidR="00E70E12" w:rsidRPr="004F6DAA">
        <w:rPr>
          <w:noProof/>
        </w:rPr>
        <w:t>duktów lub –w przypadku odnośnych towarów lub produktów wprowadzanych na rynek unijny lub</w:t>
      </w:r>
      <w:r w:rsidR="00062BFA" w:rsidRPr="004F6DAA">
        <w:rPr>
          <w:noProof/>
        </w:rPr>
        <w:t xml:space="preserve"> z</w:t>
      </w:r>
      <w:r w:rsidR="00062BFA">
        <w:rPr>
          <w:noProof/>
        </w:rPr>
        <w:t> </w:t>
      </w:r>
      <w:r w:rsidR="00062BFA" w:rsidRPr="004F6DAA">
        <w:rPr>
          <w:noProof/>
        </w:rPr>
        <w:t>nie</w:t>
      </w:r>
      <w:r w:rsidR="00E70E12" w:rsidRPr="004F6DAA">
        <w:rPr>
          <w:noProof/>
        </w:rPr>
        <w:t>go wyprowadzanych i po wprowadzeniu elektronicznego interfejsu,</w:t>
      </w:r>
      <w:r w:rsidR="00062BFA" w:rsidRPr="004F6DAA">
        <w:rPr>
          <w:noProof/>
        </w:rPr>
        <w:t xml:space="preserve"> o</w:t>
      </w:r>
      <w:r w:rsidR="00062BFA">
        <w:rPr>
          <w:noProof/>
        </w:rPr>
        <w:t> </w:t>
      </w:r>
      <w:r w:rsidR="00062BFA" w:rsidRPr="004F6DAA">
        <w:rPr>
          <w:noProof/>
        </w:rPr>
        <w:t>któ</w:t>
      </w:r>
      <w:r w:rsidR="00E70E12" w:rsidRPr="004F6DAA">
        <w:rPr>
          <w:noProof/>
        </w:rPr>
        <w:t>rym mowa</w:t>
      </w:r>
      <w:r w:rsidR="00062BFA" w:rsidRPr="004F6DAA">
        <w:rPr>
          <w:noProof/>
        </w:rPr>
        <w:t xml:space="preserve"> w</w:t>
      </w:r>
      <w:r w:rsidR="00062BFA">
        <w:rPr>
          <w:noProof/>
        </w:rPr>
        <w:t> </w:t>
      </w:r>
      <w:r w:rsidR="00062BFA" w:rsidRPr="00062BFA">
        <w:rPr>
          <w:noProof/>
        </w:rPr>
        <w:t>art</w:t>
      </w:r>
      <w:r w:rsidR="00E70E12" w:rsidRPr="00062BFA">
        <w:rPr>
          <w:noProof/>
        </w:rPr>
        <w:t>.</w:t>
      </w:r>
      <w:r w:rsidR="00062BFA" w:rsidRPr="00062BFA">
        <w:rPr>
          <w:noProof/>
        </w:rPr>
        <w:t> </w:t>
      </w:r>
      <w:r w:rsidR="00E70E12" w:rsidRPr="00062BFA">
        <w:rPr>
          <w:noProof/>
        </w:rPr>
        <w:t>2</w:t>
      </w:r>
      <w:r w:rsidR="00E70E12" w:rsidRPr="004F6DAA">
        <w:rPr>
          <w:noProof/>
        </w:rPr>
        <w:t xml:space="preserve">6 </w:t>
      </w:r>
      <w:r w:rsidR="00E70E12" w:rsidRPr="00062BFA">
        <w:rPr>
          <w:noProof/>
        </w:rPr>
        <w:t>ust.</w:t>
      </w:r>
      <w:r w:rsidR="00062BFA" w:rsidRPr="00062BFA">
        <w:rPr>
          <w:noProof/>
        </w:rPr>
        <w:t> </w:t>
      </w:r>
      <w:r w:rsidR="00E70E12" w:rsidRPr="00062BFA">
        <w:rPr>
          <w:noProof/>
        </w:rPr>
        <w:t>1</w:t>
      </w:r>
      <w:r w:rsidR="00E70E12" w:rsidRPr="004F6DAA">
        <w:rPr>
          <w:noProof/>
        </w:rPr>
        <w:t xml:space="preserve"> – wystąpieniem do organów celnych</w:t>
      </w:r>
      <w:r w:rsidR="00062BFA" w:rsidRPr="004F6DAA">
        <w:rPr>
          <w:noProof/>
        </w:rPr>
        <w:t xml:space="preserve"> z</w:t>
      </w:r>
      <w:r w:rsidR="00062BFA">
        <w:rPr>
          <w:noProof/>
        </w:rPr>
        <w:t> </w:t>
      </w:r>
      <w:r w:rsidR="00062BFA" w:rsidRPr="004F6DAA">
        <w:rPr>
          <w:noProof/>
        </w:rPr>
        <w:t>wni</w:t>
      </w:r>
      <w:r w:rsidR="00E70E12" w:rsidRPr="004F6DAA">
        <w:rPr>
          <w:noProof/>
        </w:rPr>
        <w:t>oskiem</w:t>
      </w:r>
      <w:r w:rsidR="00062BFA" w:rsidRPr="004F6DAA">
        <w:rPr>
          <w:noProof/>
        </w:rPr>
        <w:t xml:space="preserve"> o</w:t>
      </w:r>
      <w:r w:rsidR="00062BFA">
        <w:rPr>
          <w:noProof/>
        </w:rPr>
        <w:t> </w:t>
      </w:r>
      <w:r w:rsidR="00062BFA" w:rsidRPr="004F6DAA">
        <w:rPr>
          <w:noProof/>
        </w:rPr>
        <w:t>zaw</w:t>
      </w:r>
      <w:r w:rsidR="00E70E12" w:rsidRPr="004F6DAA">
        <w:rPr>
          <w:noProof/>
        </w:rPr>
        <w:t xml:space="preserve">ieszenie na podstawie </w:t>
      </w:r>
      <w:r w:rsidR="00E70E12" w:rsidRPr="00062BFA">
        <w:rPr>
          <w:noProof/>
        </w:rPr>
        <w:t>art.</w:t>
      </w:r>
      <w:r w:rsidR="00062BFA" w:rsidRPr="00062BFA">
        <w:rPr>
          <w:noProof/>
        </w:rPr>
        <w:t> </w:t>
      </w:r>
      <w:r w:rsidR="00E70E12" w:rsidRPr="00062BFA">
        <w:rPr>
          <w:noProof/>
        </w:rPr>
        <w:t>2</w:t>
      </w:r>
      <w:r w:rsidR="00E70E12" w:rsidRPr="004F6DAA">
        <w:rPr>
          <w:noProof/>
        </w:rPr>
        <w:t xml:space="preserve">4 </w:t>
      </w:r>
      <w:r w:rsidR="00E70E12" w:rsidRPr="00062BFA">
        <w:rPr>
          <w:noProof/>
        </w:rPr>
        <w:t>ust.</w:t>
      </w:r>
      <w:r w:rsidR="00062BFA" w:rsidRPr="00062BFA">
        <w:rPr>
          <w:noProof/>
        </w:rPr>
        <w:t> </w:t>
      </w:r>
      <w:r w:rsidR="00E70E12" w:rsidRPr="00062BFA">
        <w:rPr>
          <w:noProof/>
        </w:rPr>
        <w:t>6</w:t>
      </w:r>
      <w:r w:rsidR="00E70E12" w:rsidRPr="004F6DAA">
        <w:rPr>
          <w:noProof/>
        </w:rPr>
        <w:t xml:space="preserve"> ich dopuszczenia do obrotu lub wywozu. </w:t>
      </w:r>
    </w:p>
    <w:p w14:paraId="201BCE8D" w14:textId="77777777" w:rsidR="00E70E12" w:rsidRPr="004F6DAA" w:rsidRDefault="007B7EB7" w:rsidP="007B7EB7">
      <w:pPr>
        <w:pStyle w:val="ManualNumPar1"/>
        <w:rPr>
          <w:noProof/>
        </w:rPr>
      </w:pPr>
      <w:r w:rsidRPr="007B7EB7">
        <w:t>7.</w:t>
      </w:r>
      <w:r w:rsidRPr="007B7EB7">
        <w:tab/>
      </w:r>
      <w:r w:rsidR="00E70E12" w:rsidRPr="004F6DAA">
        <w:rPr>
          <w:noProof/>
        </w:rPr>
        <w:t>Zawieszenia,</w:t>
      </w:r>
      <w:r w:rsidR="00062BFA" w:rsidRPr="004F6DAA">
        <w:rPr>
          <w:noProof/>
        </w:rPr>
        <w:t xml:space="preserve"> o</w:t>
      </w:r>
      <w:r w:rsidR="00062BFA">
        <w:rPr>
          <w:noProof/>
        </w:rPr>
        <w:t> </w:t>
      </w:r>
      <w:r w:rsidR="00062BFA" w:rsidRPr="004F6DAA">
        <w:rPr>
          <w:noProof/>
        </w:rPr>
        <w:t>któ</w:t>
      </w:r>
      <w:r w:rsidR="00E70E12" w:rsidRPr="004F6DAA">
        <w:rPr>
          <w:noProof/>
        </w:rPr>
        <w:t>rych mowa</w:t>
      </w:r>
      <w:r w:rsidR="00062BFA" w:rsidRPr="004F6DAA">
        <w:rPr>
          <w:noProof/>
        </w:rPr>
        <w:t xml:space="preserve"> w</w:t>
      </w:r>
      <w:r w:rsidR="00062BFA">
        <w:rPr>
          <w:noProof/>
        </w:rPr>
        <w:t> </w:t>
      </w:r>
      <w:r w:rsidR="00062BFA" w:rsidRPr="00062BFA">
        <w:rPr>
          <w:noProof/>
        </w:rPr>
        <w:t>ust</w:t>
      </w:r>
      <w:r w:rsidR="00E70E12" w:rsidRPr="00062BFA">
        <w:rPr>
          <w:noProof/>
        </w:rPr>
        <w:t>.</w:t>
      </w:r>
      <w:r w:rsidR="00062BFA" w:rsidRPr="00062BFA">
        <w:rPr>
          <w:noProof/>
        </w:rPr>
        <w:t> </w:t>
      </w:r>
      <w:r w:rsidR="00E70E12" w:rsidRPr="00062BFA">
        <w:rPr>
          <w:noProof/>
        </w:rPr>
        <w:t>6</w:t>
      </w:r>
      <w:r w:rsidR="00E70E12" w:rsidRPr="004F6DAA">
        <w:rPr>
          <w:noProof/>
        </w:rPr>
        <w:t>, kończą się</w:t>
      </w:r>
      <w:r w:rsidR="00062BFA" w:rsidRPr="004F6DAA">
        <w:rPr>
          <w:noProof/>
        </w:rPr>
        <w:t xml:space="preserve"> w</w:t>
      </w:r>
      <w:r w:rsidR="00062BFA">
        <w:rPr>
          <w:noProof/>
        </w:rPr>
        <w:t> </w:t>
      </w:r>
      <w:r w:rsidR="00062BFA" w:rsidRPr="004F6DAA">
        <w:rPr>
          <w:noProof/>
        </w:rPr>
        <w:t>ter</w:t>
      </w:r>
      <w:r w:rsidR="00E70E12" w:rsidRPr="004F6DAA">
        <w:rPr>
          <w:noProof/>
        </w:rPr>
        <w:t>minie 3 dni roboczych, chyba że właściwe organy, na podstawie wyników kontroli przeprowadzonych</w:t>
      </w:r>
      <w:r w:rsidR="00062BFA" w:rsidRPr="004F6DAA">
        <w:rPr>
          <w:noProof/>
        </w:rPr>
        <w:t xml:space="preserve"> w</w:t>
      </w:r>
      <w:r w:rsidR="00062BFA">
        <w:rPr>
          <w:noProof/>
        </w:rPr>
        <w:t> </w:t>
      </w:r>
      <w:r w:rsidR="00062BFA" w:rsidRPr="004F6DAA">
        <w:rPr>
          <w:noProof/>
        </w:rPr>
        <w:t>tym</w:t>
      </w:r>
      <w:r w:rsidR="00E70E12" w:rsidRPr="004F6DAA">
        <w:rPr>
          <w:noProof/>
        </w:rPr>
        <w:t xml:space="preserve"> okresie, stwierdzą, że potrzebują dodatkowego czasu, aby ustalić, czy odnośne towary</w:t>
      </w:r>
      <w:r w:rsidR="00062BFA" w:rsidRPr="004F6DAA">
        <w:rPr>
          <w:noProof/>
        </w:rPr>
        <w:t xml:space="preserve"> i</w:t>
      </w:r>
      <w:r w:rsidR="00062BFA">
        <w:rPr>
          <w:noProof/>
        </w:rPr>
        <w:t> </w:t>
      </w:r>
      <w:r w:rsidR="00062BFA" w:rsidRPr="004F6DAA">
        <w:rPr>
          <w:noProof/>
        </w:rPr>
        <w:t>pro</w:t>
      </w:r>
      <w:r w:rsidR="00E70E12" w:rsidRPr="004F6DAA">
        <w:rPr>
          <w:noProof/>
        </w:rPr>
        <w:t>dukty spełniają wymogi niniejszego rozporządzenia</w:t>
      </w:r>
      <w:r w:rsidR="00062BFA" w:rsidRPr="004F6DAA">
        <w:rPr>
          <w:noProof/>
        </w:rPr>
        <w:t>. W</w:t>
      </w:r>
      <w:r w:rsidR="00062BFA">
        <w:rPr>
          <w:noProof/>
        </w:rPr>
        <w:t> </w:t>
      </w:r>
      <w:r w:rsidR="00062BFA" w:rsidRPr="004F6DAA">
        <w:rPr>
          <w:noProof/>
        </w:rPr>
        <w:t>tak</w:t>
      </w:r>
      <w:r w:rsidR="00E70E12" w:rsidRPr="004F6DAA">
        <w:rPr>
          <w:noProof/>
        </w:rPr>
        <w:t xml:space="preserve">im przypadku właściwe organy przedłużają okres zawieszenia za pomocą dodatkowych środków tymczasowych wprowadzonych na mocy </w:t>
      </w:r>
      <w:r w:rsidR="00E70E12" w:rsidRPr="00062BFA">
        <w:rPr>
          <w:noProof/>
        </w:rPr>
        <w:t>art.</w:t>
      </w:r>
      <w:r w:rsidR="00062BFA" w:rsidRPr="00062BFA">
        <w:rPr>
          <w:noProof/>
        </w:rPr>
        <w:t> </w:t>
      </w:r>
      <w:r w:rsidR="00E70E12" w:rsidRPr="00062BFA">
        <w:rPr>
          <w:noProof/>
        </w:rPr>
        <w:t>2</w:t>
      </w:r>
      <w:r w:rsidR="00E70E12" w:rsidRPr="004F6DAA">
        <w:rPr>
          <w:noProof/>
        </w:rPr>
        <w:t>1 lub,</w:t>
      </w:r>
      <w:r w:rsidR="00062BFA" w:rsidRPr="004F6DAA">
        <w:rPr>
          <w:noProof/>
        </w:rPr>
        <w:t xml:space="preserve"> w</w:t>
      </w:r>
      <w:r w:rsidR="00062BFA">
        <w:rPr>
          <w:noProof/>
        </w:rPr>
        <w:t> </w:t>
      </w:r>
      <w:r w:rsidR="00062BFA" w:rsidRPr="004F6DAA">
        <w:rPr>
          <w:noProof/>
        </w:rPr>
        <w:t>prz</w:t>
      </w:r>
      <w:r w:rsidR="00E70E12" w:rsidRPr="004F6DAA">
        <w:rPr>
          <w:noProof/>
        </w:rPr>
        <w:t>ypadku odnośnych towarów lub produktów wprowadzanych na rynek unijny lub</w:t>
      </w:r>
      <w:r w:rsidR="00062BFA" w:rsidRPr="004F6DAA">
        <w:rPr>
          <w:noProof/>
        </w:rPr>
        <w:t xml:space="preserve"> z</w:t>
      </w:r>
      <w:r w:rsidR="00062BFA">
        <w:rPr>
          <w:noProof/>
        </w:rPr>
        <w:t> </w:t>
      </w:r>
      <w:r w:rsidR="00062BFA" w:rsidRPr="004F6DAA">
        <w:rPr>
          <w:noProof/>
        </w:rPr>
        <w:t>nie</w:t>
      </w:r>
      <w:r w:rsidR="00E70E12" w:rsidRPr="004F6DAA">
        <w:rPr>
          <w:noProof/>
        </w:rPr>
        <w:t>go wyprowadzanych,</w:t>
      </w:r>
      <w:r w:rsidR="00062BFA" w:rsidRPr="004F6DAA">
        <w:rPr>
          <w:noProof/>
        </w:rPr>
        <w:t xml:space="preserve"> w</w:t>
      </w:r>
      <w:r w:rsidR="00062BFA">
        <w:rPr>
          <w:noProof/>
        </w:rPr>
        <w:t> </w:t>
      </w:r>
      <w:r w:rsidR="00062BFA" w:rsidRPr="004F6DAA">
        <w:rPr>
          <w:noProof/>
        </w:rPr>
        <w:t>dro</w:t>
      </w:r>
      <w:r w:rsidR="00E70E12" w:rsidRPr="004F6DAA">
        <w:rPr>
          <w:noProof/>
        </w:rPr>
        <w:t>dze powiadomienia organów celnych</w:t>
      </w:r>
      <w:r w:rsidR="00062BFA" w:rsidRPr="004F6DAA">
        <w:rPr>
          <w:noProof/>
        </w:rPr>
        <w:t xml:space="preserve"> o</w:t>
      </w:r>
      <w:r w:rsidR="00062BFA">
        <w:rPr>
          <w:noProof/>
        </w:rPr>
        <w:t> </w:t>
      </w:r>
      <w:r w:rsidR="00062BFA" w:rsidRPr="004F6DAA">
        <w:rPr>
          <w:noProof/>
        </w:rPr>
        <w:t>kon</w:t>
      </w:r>
      <w:r w:rsidR="00E70E12" w:rsidRPr="004F6DAA">
        <w:rPr>
          <w:noProof/>
        </w:rPr>
        <w:t xml:space="preserve">ieczności utrzymania zawieszenia na podstawie </w:t>
      </w:r>
      <w:r w:rsidR="00E70E12" w:rsidRPr="00062BFA">
        <w:rPr>
          <w:noProof/>
        </w:rPr>
        <w:t>art.</w:t>
      </w:r>
      <w:r w:rsidR="00062BFA" w:rsidRPr="00062BFA">
        <w:rPr>
          <w:noProof/>
        </w:rPr>
        <w:t> </w:t>
      </w:r>
      <w:r w:rsidR="00E70E12" w:rsidRPr="00062BFA">
        <w:rPr>
          <w:noProof/>
        </w:rPr>
        <w:t>2</w:t>
      </w:r>
      <w:r w:rsidR="00E70E12" w:rsidRPr="004F6DAA">
        <w:rPr>
          <w:noProof/>
        </w:rPr>
        <w:t xml:space="preserve">4 </w:t>
      </w:r>
      <w:r w:rsidR="00E70E12" w:rsidRPr="00062BFA">
        <w:rPr>
          <w:noProof/>
        </w:rPr>
        <w:t>ust.</w:t>
      </w:r>
      <w:r w:rsidR="00062BFA" w:rsidRPr="00062BFA">
        <w:rPr>
          <w:noProof/>
        </w:rPr>
        <w:t> </w:t>
      </w:r>
      <w:r w:rsidR="00E70E12" w:rsidRPr="00062BFA">
        <w:rPr>
          <w:noProof/>
        </w:rPr>
        <w:t>6</w:t>
      </w:r>
      <w:r w:rsidR="00E70E12" w:rsidRPr="004F6DAA">
        <w:rPr>
          <w:noProof/>
        </w:rPr>
        <w:t>.</w:t>
      </w:r>
    </w:p>
    <w:p w14:paraId="65CFC239" w14:textId="77777777" w:rsidR="00E70E12" w:rsidRPr="004F6DAA" w:rsidRDefault="007B7EB7" w:rsidP="007B7EB7">
      <w:pPr>
        <w:pStyle w:val="ManualNumPar1"/>
        <w:rPr>
          <w:noProof/>
        </w:rPr>
      </w:pPr>
      <w:r w:rsidRPr="007B7EB7">
        <w:t>8.</w:t>
      </w:r>
      <w:r w:rsidRPr="007B7EB7">
        <w:tab/>
      </w:r>
      <w:r w:rsidR="00E70E12" w:rsidRPr="004F6DAA">
        <w:rPr>
          <w:noProof/>
        </w:rPr>
        <w:t>Właściwe organy wymieniają informacje oraz koordynują opracowywanie</w:t>
      </w:r>
      <w:r w:rsidR="00062BFA" w:rsidRPr="004F6DAA">
        <w:rPr>
          <w:noProof/>
        </w:rPr>
        <w:t xml:space="preserve"> i</w:t>
      </w:r>
      <w:r w:rsidR="00062BFA">
        <w:rPr>
          <w:noProof/>
        </w:rPr>
        <w:t> </w:t>
      </w:r>
      <w:r w:rsidR="00062BFA" w:rsidRPr="004F6DAA">
        <w:rPr>
          <w:noProof/>
        </w:rPr>
        <w:t>sto</w:t>
      </w:r>
      <w:r w:rsidR="00E70E12" w:rsidRPr="004F6DAA">
        <w:rPr>
          <w:noProof/>
        </w:rPr>
        <w:t>sowanie kryteriów ryzyka,</w:t>
      </w:r>
      <w:r w:rsidR="00062BFA" w:rsidRPr="004F6DAA">
        <w:rPr>
          <w:noProof/>
        </w:rPr>
        <w:t xml:space="preserve"> o</w:t>
      </w:r>
      <w:r w:rsidR="00062BFA">
        <w:rPr>
          <w:noProof/>
        </w:rPr>
        <w:t> </w:t>
      </w:r>
      <w:r w:rsidR="00062BFA" w:rsidRPr="004F6DAA">
        <w:rPr>
          <w:noProof/>
        </w:rPr>
        <w:t>któ</w:t>
      </w:r>
      <w:r w:rsidR="00E70E12" w:rsidRPr="004F6DAA">
        <w:rPr>
          <w:noProof/>
        </w:rPr>
        <w:t>rych mowa</w:t>
      </w:r>
      <w:r w:rsidR="00062BFA" w:rsidRPr="004F6DAA">
        <w:rPr>
          <w:noProof/>
        </w:rPr>
        <w:t xml:space="preserve"> w</w:t>
      </w:r>
      <w:r w:rsidR="00062BFA">
        <w:rPr>
          <w:noProof/>
        </w:rPr>
        <w:t> </w:t>
      </w:r>
      <w:r w:rsidR="00062BFA" w:rsidRPr="00062BFA">
        <w:rPr>
          <w:noProof/>
        </w:rPr>
        <w:t>ust</w:t>
      </w:r>
      <w:r w:rsidR="00E70E12" w:rsidRPr="00062BFA">
        <w:rPr>
          <w:noProof/>
        </w:rPr>
        <w:t>.</w:t>
      </w:r>
      <w:r w:rsidR="00062BFA" w:rsidRPr="00062BFA">
        <w:rPr>
          <w:noProof/>
        </w:rPr>
        <w:t> </w:t>
      </w:r>
      <w:r w:rsidR="00E70E12" w:rsidRPr="00062BFA">
        <w:rPr>
          <w:noProof/>
        </w:rPr>
        <w:t>3</w:t>
      </w:r>
      <w:r w:rsidR="00E70E12" w:rsidRPr="004F6DAA">
        <w:rPr>
          <w:noProof/>
        </w:rPr>
        <w:t>,</w:t>
      </w:r>
      <w:r w:rsidR="00062BFA" w:rsidRPr="004F6DAA">
        <w:rPr>
          <w:noProof/>
        </w:rPr>
        <w:t xml:space="preserve"> z</w:t>
      </w:r>
      <w:r w:rsidR="00062BFA">
        <w:rPr>
          <w:noProof/>
        </w:rPr>
        <w:t> </w:t>
      </w:r>
      <w:r w:rsidR="00062BFA" w:rsidRPr="004F6DAA">
        <w:rPr>
          <w:noProof/>
        </w:rPr>
        <w:t>wła</w:t>
      </w:r>
      <w:r w:rsidR="00E70E12" w:rsidRPr="004F6DAA">
        <w:rPr>
          <w:noProof/>
        </w:rPr>
        <w:t>ściwymi organami innych państw członkowskich oraz</w:t>
      </w:r>
      <w:r w:rsidR="00062BFA" w:rsidRPr="004F6DAA">
        <w:rPr>
          <w:noProof/>
        </w:rPr>
        <w:t xml:space="preserve"> z</w:t>
      </w:r>
      <w:r w:rsidR="00062BFA">
        <w:rPr>
          <w:noProof/>
        </w:rPr>
        <w:t> </w:t>
      </w:r>
      <w:r w:rsidR="00062BFA" w:rsidRPr="004F6DAA">
        <w:rPr>
          <w:noProof/>
        </w:rPr>
        <w:t>Kom</w:t>
      </w:r>
      <w:r w:rsidR="00E70E12" w:rsidRPr="004F6DAA">
        <w:rPr>
          <w:noProof/>
        </w:rPr>
        <w:t>isją,</w:t>
      </w:r>
      <w:r w:rsidR="00062BFA" w:rsidRPr="004F6DAA">
        <w:rPr>
          <w:noProof/>
        </w:rPr>
        <w:t xml:space="preserve"> w</w:t>
      </w:r>
      <w:r w:rsidR="00062BFA">
        <w:rPr>
          <w:noProof/>
        </w:rPr>
        <w:t> </w:t>
      </w:r>
      <w:r w:rsidR="00062BFA" w:rsidRPr="004F6DAA">
        <w:rPr>
          <w:noProof/>
        </w:rPr>
        <w:t>cel</w:t>
      </w:r>
      <w:r w:rsidR="00E70E12" w:rsidRPr="004F6DAA">
        <w:rPr>
          <w:noProof/>
        </w:rPr>
        <w:t>u poprawy skuteczności egzekwowania przepisów niniejszego rozporządzenia.</w:t>
      </w:r>
    </w:p>
    <w:p w14:paraId="6E5AFE17" w14:textId="77777777" w:rsidR="00E70E12" w:rsidRPr="004F6DAA" w:rsidRDefault="007B7EB7" w:rsidP="007B7EB7">
      <w:pPr>
        <w:pStyle w:val="ManualNumPar1"/>
        <w:rPr>
          <w:noProof/>
        </w:rPr>
      </w:pPr>
      <w:r w:rsidRPr="007B7EB7">
        <w:t>9.</w:t>
      </w:r>
      <w:r w:rsidRPr="007B7EB7">
        <w:tab/>
      </w:r>
      <w:r w:rsidR="00E70E12" w:rsidRPr="004F6DAA">
        <w:rPr>
          <w:noProof/>
        </w:rPr>
        <w:t xml:space="preserve">Każde państwo członkowskie zapewnia, aby coroczne kontrole przeprowadzane przez jego właściwe organy obejmowały co najmniej </w:t>
      </w:r>
      <w:r w:rsidR="00E70E12" w:rsidRPr="00062BFA">
        <w:rPr>
          <w:noProof/>
        </w:rPr>
        <w:t>5</w:t>
      </w:r>
      <w:r w:rsidR="00062BFA" w:rsidRPr="00062BFA">
        <w:rPr>
          <w:noProof/>
        </w:rPr>
        <w:t> </w:t>
      </w:r>
      <w:r w:rsidR="00E70E12" w:rsidRPr="00062BFA">
        <w:rPr>
          <w:noProof/>
        </w:rPr>
        <w:t>%</w:t>
      </w:r>
      <w:r w:rsidR="00E70E12" w:rsidRPr="004F6DAA">
        <w:rPr>
          <w:noProof/>
        </w:rPr>
        <w:t xml:space="preserve"> podmiotów wprowadzających do obrotu</w:t>
      </w:r>
      <w:r w:rsidR="00062BFA" w:rsidRPr="004F6DAA">
        <w:rPr>
          <w:noProof/>
        </w:rPr>
        <w:t xml:space="preserve"> w</w:t>
      </w:r>
      <w:r w:rsidR="00062BFA">
        <w:rPr>
          <w:noProof/>
        </w:rPr>
        <w:t> </w:t>
      </w:r>
      <w:r w:rsidR="00062BFA" w:rsidRPr="004F6DAA">
        <w:rPr>
          <w:noProof/>
        </w:rPr>
        <w:t>Uni</w:t>
      </w:r>
      <w:r w:rsidR="00E70E12" w:rsidRPr="004F6DAA">
        <w:rPr>
          <w:noProof/>
        </w:rPr>
        <w:t>i, udostępniających na rynku unijnym lub</w:t>
      </w:r>
      <w:r w:rsidR="00062BFA" w:rsidRPr="004F6DAA">
        <w:rPr>
          <w:noProof/>
        </w:rPr>
        <w:t xml:space="preserve"> z</w:t>
      </w:r>
      <w:r w:rsidR="00062BFA">
        <w:rPr>
          <w:noProof/>
        </w:rPr>
        <w:t> </w:t>
      </w:r>
      <w:r w:rsidR="00062BFA" w:rsidRPr="004F6DAA">
        <w:rPr>
          <w:noProof/>
        </w:rPr>
        <w:t>nie</w:t>
      </w:r>
      <w:r w:rsidR="00E70E12" w:rsidRPr="004F6DAA">
        <w:rPr>
          <w:noProof/>
        </w:rPr>
        <w:t>go wywożących każdy</w:t>
      </w:r>
      <w:r w:rsidR="00062BFA" w:rsidRPr="004F6DAA">
        <w:rPr>
          <w:noProof/>
        </w:rPr>
        <w:t xml:space="preserve"> z</w:t>
      </w:r>
      <w:r w:rsidR="00062BFA">
        <w:rPr>
          <w:noProof/>
        </w:rPr>
        <w:t> </w:t>
      </w:r>
      <w:r w:rsidR="00062BFA" w:rsidRPr="004F6DAA">
        <w:rPr>
          <w:noProof/>
        </w:rPr>
        <w:t>odn</w:t>
      </w:r>
      <w:r w:rsidR="00E70E12" w:rsidRPr="004F6DAA">
        <w:rPr>
          <w:noProof/>
        </w:rPr>
        <w:t xml:space="preserve">ośnych towarów na ich rynku, jak również </w:t>
      </w:r>
      <w:r w:rsidR="00E70E12" w:rsidRPr="00062BFA">
        <w:rPr>
          <w:noProof/>
        </w:rPr>
        <w:t>5</w:t>
      </w:r>
      <w:r w:rsidR="00062BFA" w:rsidRPr="00062BFA">
        <w:rPr>
          <w:noProof/>
        </w:rPr>
        <w:t> </w:t>
      </w:r>
      <w:r w:rsidR="00E70E12" w:rsidRPr="00062BFA">
        <w:rPr>
          <w:noProof/>
        </w:rPr>
        <w:t>%</w:t>
      </w:r>
      <w:r w:rsidR="00E70E12" w:rsidRPr="004F6DAA">
        <w:rPr>
          <w:noProof/>
        </w:rPr>
        <w:t xml:space="preserve"> ilości każdego</w:t>
      </w:r>
      <w:r w:rsidR="00062BFA" w:rsidRPr="004F6DAA">
        <w:rPr>
          <w:noProof/>
        </w:rPr>
        <w:t xml:space="preserve"> z</w:t>
      </w:r>
      <w:r w:rsidR="00062BFA">
        <w:rPr>
          <w:noProof/>
        </w:rPr>
        <w:t> </w:t>
      </w:r>
      <w:r w:rsidR="00062BFA" w:rsidRPr="004F6DAA">
        <w:rPr>
          <w:noProof/>
        </w:rPr>
        <w:t>odn</w:t>
      </w:r>
      <w:r w:rsidR="00E70E12" w:rsidRPr="004F6DAA">
        <w:rPr>
          <w:noProof/>
        </w:rPr>
        <w:t>ośnych towarów wprowadzanych do obrotu na ich rynku, udostępnianych tym rynku lub</w:t>
      </w:r>
      <w:r w:rsidR="00062BFA" w:rsidRPr="004F6DAA">
        <w:rPr>
          <w:noProof/>
        </w:rPr>
        <w:t xml:space="preserve"> z</w:t>
      </w:r>
      <w:r w:rsidR="00062BFA">
        <w:rPr>
          <w:noProof/>
        </w:rPr>
        <w:t> </w:t>
      </w:r>
      <w:r w:rsidR="00062BFA" w:rsidRPr="004F6DAA">
        <w:rPr>
          <w:noProof/>
        </w:rPr>
        <w:t>nie</w:t>
      </w:r>
      <w:r w:rsidR="00E70E12" w:rsidRPr="004F6DAA">
        <w:rPr>
          <w:noProof/>
        </w:rPr>
        <w:t>go wywożonych.</w:t>
      </w:r>
    </w:p>
    <w:p w14:paraId="33D29C16" w14:textId="77777777" w:rsidR="00E70E12" w:rsidRPr="004F6DAA" w:rsidRDefault="007B7EB7" w:rsidP="007B7EB7">
      <w:pPr>
        <w:pStyle w:val="ManualNumPar1"/>
        <w:rPr>
          <w:noProof/>
        </w:rPr>
      </w:pPr>
      <w:r w:rsidRPr="007B7EB7">
        <w:t>10.</w:t>
      </w:r>
      <w:r w:rsidRPr="007B7EB7">
        <w:tab/>
      </w:r>
      <w:r w:rsidR="00E70E12" w:rsidRPr="004F6DAA">
        <w:rPr>
          <w:noProof/>
        </w:rPr>
        <w:t>W przypadku odnośnych towarów</w:t>
      </w:r>
      <w:r w:rsidR="00062BFA" w:rsidRPr="004F6DAA">
        <w:rPr>
          <w:noProof/>
        </w:rPr>
        <w:t xml:space="preserve"> i</w:t>
      </w:r>
      <w:r w:rsidR="00062BFA">
        <w:rPr>
          <w:noProof/>
        </w:rPr>
        <w:t> </w:t>
      </w:r>
      <w:r w:rsidR="00062BFA" w:rsidRPr="004F6DAA">
        <w:rPr>
          <w:noProof/>
        </w:rPr>
        <w:t>pro</w:t>
      </w:r>
      <w:r w:rsidR="00E70E12" w:rsidRPr="004F6DAA">
        <w:rPr>
          <w:noProof/>
        </w:rPr>
        <w:t>duktów wyprodukowanych</w:t>
      </w:r>
      <w:r w:rsidR="00062BFA" w:rsidRPr="004F6DAA">
        <w:rPr>
          <w:noProof/>
        </w:rPr>
        <w:t xml:space="preserve"> w</w:t>
      </w:r>
      <w:r w:rsidR="00062BFA">
        <w:rPr>
          <w:noProof/>
        </w:rPr>
        <w:t> </w:t>
      </w:r>
      <w:r w:rsidR="00062BFA" w:rsidRPr="004F6DAA">
        <w:rPr>
          <w:noProof/>
        </w:rPr>
        <w:t>pań</w:t>
      </w:r>
      <w:r w:rsidR="00E70E12" w:rsidRPr="004F6DAA">
        <w:rPr>
          <w:noProof/>
        </w:rPr>
        <w:t>stwie lub jego części wymienionych jako obarczone wysokim ryzykiem zgodnie</w:t>
      </w:r>
      <w:r w:rsidR="00062BFA" w:rsidRPr="004F6DAA">
        <w:rPr>
          <w:noProof/>
        </w:rPr>
        <w:t xml:space="preserve"> z</w:t>
      </w:r>
      <w:r w:rsidR="00062BFA">
        <w:rPr>
          <w:noProof/>
        </w:rPr>
        <w:t> </w:t>
      </w:r>
      <w:r w:rsidR="00062BFA" w:rsidRPr="00062BFA">
        <w:rPr>
          <w:noProof/>
        </w:rPr>
        <w:t>art</w:t>
      </w:r>
      <w:r w:rsidR="00E70E12" w:rsidRPr="00062BFA">
        <w:rPr>
          <w:noProof/>
        </w:rPr>
        <w:t>.</w:t>
      </w:r>
      <w:r w:rsidR="00062BFA" w:rsidRPr="00062BFA">
        <w:rPr>
          <w:noProof/>
        </w:rPr>
        <w:t> </w:t>
      </w:r>
      <w:r w:rsidR="00E70E12" w:rsidRPr="00062BFA">
        <w:rPr>
          <w:noProof/>
        </w:rPr>
        <w:t>2</w:t>
      </w:r>
      <w:r w:rsidR="00E70E12" w:rsidRPr="004F6DAA">
        <w:rPr>
          <w:noProof/>
        </w:rPr>
        <w:t>7 lub jeżeli istnieje ryzyko wprowadzenia odnośnych towarów lub produktów wyprodukowanych</w:t>
      </w:r>
      <w:r w:rsidR="00062BFA" w:rsidRPr="004F6DAA">
        <w:rPr>
          <w:noProof/>
        </w:rPr>
        <w:t xml:space="preserve"> w</w:t>
      </w:r>
      <w:r w:rsidR="00062BFA">
        <w:rPr>
          <w:noProof/>
        </w:rPr>
        <w:t> </w:t>
      </w:r>
      <w:r w:rsidR="00062BFA" w:rsidRPr="004F6DAA">
        <w:rPr>
          <w:noProof/>
        </w:rPr>
        <w:t>tak</w:t>
      </w:r>
      <w:r w:rsidR="00E70E12" w:rsidRPr="004F6DAA">
        <w:rPr>
          <w:noProof/>
        </w:rPr>
        <w:t>ich państwach lub ich części do danego łańcucha dostaw, właściwy organ przeprowadza wzmocnione kontrole określone</w:t>
      </w:r>
      <w:r w:rsidR="00062BFA" w:rsidRPr="004F6DAA">
        <w:rPr>
          <w:noProof/>
        </w:rPr>
        <w:t xml:space="preserve"> w</w:t>
      </w:r>
      <w:r w:rsidR="00062BFA">
        <w:rPr>
          <w:noProof/>
        </w:rPr>
        <w:t> </w:t>
      </w:r>
      <w:r w:rsidR="00062BFA" w:rsidRPr="00062BFA">
        <w:rPr>
          <w:noProof/>
        </w:rPr>
        <w:t>art</w:t>
      </w:r>
      <w:r w:rsidR="00E70E12" w:rsidRPr="00062BFA">
        <w:rPr>
          <w:noProof/>
        </w:rPr>
        <w:t>.</w:t>
      </w:r>
      <w:r w:rsidR="00062BFA" w:rsidRPr="00062BFA">
        <w:rPr>
          <w:noProof/>
        </w:rPr>
        <w:t> </w:t>
      </w:r>
      <w:r w:rsidR="00E70E12" w:rsidRPr="00062BFA">
        <w:rPr>
          <w:noProof/>
        </w:rPr>
        <w:t>2</w:t>
      </w:r>
      <w:r w:rsidR="00E70E12" w:rsidRPr="004F6DAA">
        <w:rPr>
          <w:noProof/>
        </w:rPr>
        <w:t xml:space="preserve">0. </w:t>
      </w:r>
    </w:p>
    <w:p w14:paraId="31BAC8D7" w14:textId="77777777" w:rsidR="00E70E12" w:rsidRPr="004F6DAA" w:rsidRDefault="007B7EB7" w:rsidP="007B7EB7">
      <w:pPr>
        <w:pStyle w:val="ManualNumPar1"/>
        <w:rPr>
          <w:noProof/>
        </w:rPr>
      </w:pPr>
      <w:r w:rsidRPr="007B7EB7">
        <w:t>11.</w:t>
      </w:r>
      <w:r w:rsidRPr="007B7EB7">
        <w:tab/>
      </w:r>
      <w:r w:rsidR="00E70E12" w:rsidRPr="004F6DAA">
        <w:rPr>
          <w:noProof/>
        </w:rPr>
        <w:t xml:space="preserve">Bez uszczerbku dla kontroli na podstawie </w:t>
      </w:r>
      <w:r w:rsidR="00E70E12" w:rsidRPr="00062BFA">
        <w:rPr>
          <w:noProof/>
        </w:rPr>
        <w:t>ust.</w:t>
      </w:r>
      <w:r w:rsidR="00062BFA" w:rsidRPr="00062BFA">
        <w:rPr>
          <w:noProof/>
        </w:rPr>
        <w:t> </w:t>
      </w:r>
      <w:r w:rsidR="00E70E12" w:rsidRPr="00062BFA">
        <w:rPr>
          <w:noProof/>
        </w:rPr>
        <w:t>5</w:t>
      </w:r>
      <w:r w:rsidR="00062BFA" w:rsidRPr="004F6DAA">
        <w:rPr>
          <w:noProof/>
        </w:rPr>
        <w:t xml:space="preserve"> i</w:t>
      </w:r>
      <w:r w:rsidR="00062BFA">
        <w:rPr>
          <w:noProof/>
        </w:rPr>
        <w:t> </w:t>
      </w:r>
      <w:r w:rsidR="00062BFA" w:rsidRPr="004F6DAA">
        <w:rPr>
          <w:noProof/>
        </w:rPr>
        <w:t>6</w:t>
      </w:r>
      <w:r w:rsidR="00E70E12" w:rsidRPr="004F6DAA">
        <w:rPr>
          <w:noProof/>
        </w:rPr>
        <w:t xml:space="preserve"> właściwe organy przeprowadzają kontrole,</w:t>
      </w:r>
      <w:r w:rsidR="00062BFA" w:rsidRPr="004F6DAA">
        <w:rPr>
          <w:noProof/>
        </w:rPr>
        <w:t xml:space="preserve"> o</w:t>
      </w:r>
      <w:r w:rsidR="00062BFA">
        <w:rPr>
          <w:noProof/>
        </w:rPr>
        <w:t> </w:t>
      </w:r>
      <w:r w:rsidR="00062BFA" w:rsidRPr="004F6DAA">
        <w:rPr>
          <w:noProof/>
        </w:rPr>
        <w:t>któ</w:t>
      </w:r>
      <w:r w:rsidR="00E70E12" w:rsidRPr="004F6DAA">
        <w:rPr>
          <w:noProof/>
        </w:rPr>
        <w:t>rych mowa</w:t>
      </w:r>
      <w:r w:rsidR="00062BFA" w:rsidRPr="004F6DAA">
        <w:rPr>
          <w:noProof/>
        </w:rPr>
        <w:t xml:space="preserve"> w</w:t>
      </w:r>
      <w:r w:rsidR="00062BFA">
        <w:rPr>
          <w:noProof/>
        </w:rPr>
        <w:t> </w:t>
      </w:r>
      <w:r w:rsidR="00062BFA" w:rsidRPr="00062BFA">
        <w:rPr>
          <w:noProof/>
        </w:rPr>
        <w:t>ust</w:t>
      </w:r>
      <w:r w:rsidR="00E70E12" w:rsidRPr="00062BFA">
        <w:rPr>
          <w:noProof/>
        </w:rPr>
        <w:t>.</w:t>
      </w:r>
      <w:r w:rsidR="00062BFA" w:rsidRPr="00062BFA">
        <w:rPr>
          <w:noProof/>
        </w:rPr>
        <w:t> </w:t>
      </w:r>
      <w:r w:rsidR="00E70E12" w:rsidRPr="00062BFA">
        <w:rPr>
          <w:noProof/>
        </w:rPr>
        <w:t>1</w:t>
      </w:r>
      <w:r w:rsidR="00E70E12" w:rsidRPr="004F6DAA">
        <w:rPr>
          <w:noProof/>
        </w:rPr>
        <w:t>, jeżeli są</w:t>
      </w:r>
      <w:r w:rsidR="00062BFA" w:rsidRPr="004F6DAA">
        <w:rPr>
          <w:noProof/>
        </w:rPr>
        <w:t xml:space="preserve"> w</w:t>
      </w:r>
      <w:r w:rsidR="00062BFA">
        <w:rPr>
          <w:noProof/>
        </w:rPr>
        <w:t> </w:t>
      </w:r>
      <w:r w:rsidR="00062BFA" w:rsidRPr="004F6DAA">
        <w:rPr>
          <w:noProof/>
        </w:rPr>
        <w:t>pos</w:t>
      </w:r>
      <w:r w:rsidR="00E70E12" w:rsidRPr="004F6DAA">
        <w:rPr>
          <w:noProof/>
        </w:rPr>
        <w:t>iadaniu dowodów lub innych istotnych informacji,</w:t>
      </w:r>
      <w:r w:rsidR="00062BFA" w:rsidRPr="004F6DAA">
        <w:rPr>
          <w:noProof/>
        </w:rPr>
        <w:t xml:space="preserve"> w</w:t>
      </w:r>
      <w:r w:rsidR="00062BFA">
        <w:rPr>
          <w:noProof/>
        </w:rPr>
        <w:t> </w:t>
      </w:r>
      <w:r w:rsidR="00062BFA" w:rsidRPr="004F6DAA">
        <w:rPr>
          <w:noProof/>
        </w:rPr>
        <w:t>tym</w:t>
      </w:r>
      <w:r w:rsidR="00E70E12" w:rsidRPr="004F6DAA">
        <w:rPr>
          <w:noProof/>
        </w:rPr>
        <w:t xml:space="preserve"> opartych na uzasadnionych zastrzeżeniach przekazanych przez strony trzecie na podstawie </w:t>
      </w:r>
      <w:r w:rsidR="00E70E12" w:rsidRPr="00062BFA">
        <w:rPr>
          <w:noProof/>
        </w:rPr>
        <w:t>art.</w:t>
      </w:r>
      <w:r w:rsidR="00062BFA" w:rsidRPr="00062BFA">
        <w:rPr>
          <w:noProof/>
        </w:rPr>
        <w:t> </w:t>
      </w:r>
      <w:r w:rsidR="00E70E12" w:rsidRPr="00062BFA">
        <w:rPr>
          <w:noProof/>
        </w:rPr>
        <w:t>2</w:t>
      </w:r>
      <w:r w:rsidR="00E70E12" w:rsidRPr="004F6DAA">
        <w:rPr>
          <w:noProof/>
        </w:rPr>
        <w:t>9, dotyczących potencjalnej niezgodności</w:t>
      </w:r>
      <w:r w:rsidR="00062BFA" w:rsidRPr="004F6DAA">
        <w:rPr>
          <w:noProof/>
        </w:rPr>
        <w:t xml:space="preserve"> z</w:t>
      </w:r>
      <w:r w:rsidR="00062BFA">
        <w:rPr>
          <w:noProof/>
        </w:rPr>
        <w:t> </w:t>
      </w:r>
      <w:r w:rsidR="00062BFA" w:rsidRPr="004F6DAA">
        <w:rPr>
          <w:noProof/>
        </w:rPr>
        <w:t>nin</w:t>
      </w:r>
      <w:r w:rsidR="00E70E12" w:rsidRPr="004F6DAA">
        <w:rPr>
          <w:noProof/>
        </w:rPr>
        <w:t>iejszym rozporządzeniem.</w:t>
      </w:r>
    </w:p>
    <w:p w14:paraId="65B7B991" w14:textId="77777777" w:rsidR="00E70E12" w:rsidRPr="004F6DAA" w:rsidRDefault="007B7EB7" w:rsidP="007B7EB7">
      <w:pPr>
        <w:pStyle w:val="ManualNumPar1"/>
        <w:rPr>
          <w:noProof/>
        </w:rPr>
      </w:pPr>
      <w:r w:rsidRPr="007B7EB7">
        <w:t>12.</w:t>
      </w:r>
      <w:r w:rsidRPr="007B7EB7">
        <w:tab/>
      </w:r>
      <w:r w:rsidR="00E70E12" w:rsidRPr="004F6DAA">
        <w:rPr>
          <w:noProof/>
        </w:rPr>
        <w:t>Kontrole przeprowadza się bez wcześniejszego uprzedzenia podmiotu lub podmiotu handlowego,</w:t>
      </w:r>
      <w:r w:rsidR="00062BFA" w:rsidRPr="004F6DAA">
        <w:rPr>
          <w:noProof/>
        </w:rPr>
        <w:t xml:space="preserve"> z</w:t>
      </w:r>
      <w:r w:rsidR="00062BFA">
        <w:rPr>
          <w:noProof/>
        </w:rPr>
        <w:t> </w:t>
      </w:r>
      <w:r w:rsidR="00062BFA" w:rsidRPr="004F6DAA">
        <w:rPr>
          <w:noProof/>
        </w:rPr>
        <w:t>wyj</w:t>
      </w:r>
      <w:r w:rsidR="00E70E12" w:rsidRPr="004F6DAA">
        <w:rPr>
          <w:noProof/>
        </w:rPr>
        <w:t>ątkiem sytuacji, kiedy wcześniejsze powiadomienie podmiotu lub podmiotu handlowego jest konieczne do zapewnienia skuteczności kontroli.</w:t>
      </w:r>
    </w:p>
    <w:p w14:paraId="5456EB3B" w14:textId="77777777" w:rsidR="00E70E12" w:rsidRPr="004F6DAA" w:rsidRDefault="007B7EB7" w:rsidP="007B7EB7">
      <w:pPr>
        <w:pStyle w:val="ManualNumPar1"/>
        <w:rPr>
          <w:noProof/>
        </w:rPr>
      </w:pPr>
      <w:r w:rsidRPr="007B7EB7">
        <w:t>13.</w:t>
      </w:r>
      <w:r w:rsidRPr="007B7EB7">
        <w:tab/>
      </w:r>
      <w:r w:rsidR="00E70E12" w:rsidRPr="004F6DAA">
        <w:rPr>
          <w:noProof/>
        </w:rPr>
        <w:t>Właściwe organy prowadzą protokoły kontroli, wskazujące</w:t>
      </w:r>
      <w:r w:rsidR="00062BFA" w:rsidRPr="004F6DAA">
        <w:rPr>
          <w:noProof/>
        </w:rPr>
        <w:t xml:space="preserve"> w</w:t>
      </w:r>
      <w:r w:rsidR="00062BFA">
        <w:rPr>
          <w:noProof/>
        </w:rPr>
        <w:t> </w:t>
      </w:r>
      <w:r w:rsidR="00062BFA" w:rsidRPr="004F6DAA">
        <w:rPr>
          <w:noProof/>
        </w:rPr>
        <w:t>szc</w:t>
      </w:r>
      <w:r w:rsidR="00E70E12" w:rsidRPr="004F6DAA">
        <w:rPr>
          <w:noProof/>
        </w:rPr>
        <w:t>zególności ich charakter</w:t>
      </w:r>
      <w:r w:rsidR="00062BFA" w:rsidRPr="004F6DAA">
        <w:rPr>
          <w:noProof/>
        </w:rPr>
        <w:t xml:space="preserve"> i</w:t>
      </w:r>
      <w:r w:rsidR="00062BFA">
        <w:rPr>
          <w:noProof/>
        </w:rPr>
        <w:t> </w:t>
      </w:r>
      <w:r w:rsidR="00062BFA" w:rsidRPr="004F6DAA">
        <w:rPr>
          <w:noProof/>
        </w:rPr>
        <w:t>wyn</w:t>
      </w:r>
      <w:r w:rsidR="00E70E12" w:rsidRPr="004F6DAA">
        <w:rPr>
          <w:noProof/>
        </w:rPr>
        <w:t>iki, jak również środki wprowadzone</w:t>
      </w:r>
      <w:r w:rsidR="00062BFA" w:rsidRPr="004F6DAA">
        <w:rPr>
          <w:noProof/>
        </w:rPr>
        <w:t xml:space="preserve"> w</w:t>
      </w:r>
      <w:r w:rsidR="00062BFA">
        <w:rPr>
          <w:noProof/>
        </w:rPr>
        <w:t> </w:t>
      </w:r>
      <w:r w:rsidR="00062BFA" w:rsidRPr="004F6DAA">
        <w:rPr>
          <w:noProof/>
        </w:rPr>
        <w:t>prz</w:t>
      </w:r>
      <w:r w:rsidR="00E70E12" w:rsidRPr="004F6DAA">
        <w:rPr>
          <w:noProof/>
        </w:rPr>
        <w:t>ypadku niezgodności. Protokoły wszystkich kontroli są przechowywane przez co najmniej 5 lat.</w:t>
      </w:r>
    </w:p>
    <w:p w14:paraId="258B246E" w14:textId="77777777" w:rsidR="00A758ED" w:rsidRPr="004F6DAA" w:rsidRDefault="00BE6D4F" w:rsidP="00A758ED">
      <w:pPr>
        <w:pStyle w:val="Titrearticle"/>
        <w:rPr>
          <w:noProof/>
        </w:rPr>
      </w:pPr>
      <w:r w:rsidRPr="004F6DAA">
        <w:rPr>
          <w:noProof/>
        </w:rPr>
        <w:t>Artykuł 15</w:t>
      </w:r>
    </w:p>
    <w:p w14:paraId="66015C50" w14:textId="77777777" w:rsidR="00BE6D4F" w:rsidRPr="004F6DAA" w:rsidDel="002314DA" w:rsidRDefault="00BE6D4F" w:rsidP="00A758ED">
      <w:pPr>
        <w:pStyle w:val="Sous-titreobjet"/>
        <w:rPr>
          <w:noProof/>
        </w:rPr>
      </w:pPr>
      <w:r w:rsidRPr="004F6DAA">
        <w:rPr>
          <w:noProof/>
        </w:rPr>
        <w:t>Kontrole podmiotów</w:t>
      </w:r>
    </w:p>
    <w:p w14:paraId="5D3F466C" w14:textId="77777777" w:rsidR="00B437AA" w:rsidRPr="004F6DAA" w:rsidDel="002314DA" w:rsidRDefault="007B7EB7" w:rsidP="007B7EB7">
      <w:pPr>
        <w:pStyle w:val="ManualNumPar1"/>
        <w:rPr>
          <w:noProof/>
        </w:rPr>
      </w:pPr>
      <w:r w:rsidRPr="007B7EB7">
        <w:t>1.</w:t>
      </w:r>
      <w:r w:rsidRPr="007B7EB7">
        <w:tab/>
      </w:r>
      <w:r w:rsidR="00B437AA" w:rsidRPr="004F6DAA">
        <w:rPr>
          <w:noProof/>
        </w:rPr>
        <w:t>Kontrole podmiotów obejmują:</w:t>
      </w:r>
    </w:p>
    <w:p w14:paraId="5F7D8383" w14:textId="77777777" w:rsidR="00B437AA" w:rsidRPr="004F6DAA" w:rsidDel="002314DA" w:rsidRDefault="00062BFA" w:rsidP="00062BFA">
      <w:pPr>
        <w:pStyle w:val="Point1"/>
        <w:rPr>
          <w:noProof/>
        </w:rPr>
      </w:pPr>
      <w:r w:rsidRPr="00062BFA" w:rsidDel="002314DA">
        <w:rPr>
          <w:noProof/>
        </w:rPr>
        <w:t>a)</w:t>
      </w:r>
      <w:r w:rsidRPr="00062BFA" w:rsidDel="002314DA">
        <w:rPr>
          <w:noProof/>
        </w:rPr>
        <w:tab/>
      </w:r>
      <w:r w:rsidR="00B437AA" w:rsidRPr="004F6DAA">
        <w:rPr>
          <w:noProof/>
        </w:rPr>
        <w:tab/>
        <w:t>analizę systemu zasad należytej staranności,</w:t>
      </w:r>
      <w:r w:rsidRPr="004F6DAA">
        <w:rPr>
          <w:noProof/>
        </w:rPr>
        <w:t xml:space="preserve"> w</w:t>
      </w:r>
      <w:r>
        <w:rPr>
          <w:noProof/>
        </w:rPr>
        <w:t> </w:t>
      </w:r>
      <w:r w:rsidRPr="004F6DAA">
        <w:rPr>
          <w:noProof/>
        </w:rPr>
        <w:t>tym</w:t>
      </w:r>
      <w:r w:rsidR="00B437AA" w:rsidRPr="004F6DAA">
        <w:rPr>
          <w:noProof/>
        </w:rPr>
        <w:t xml:space="preserve"> ocenę ryzyka</w:t>
      </w:r>
      <w:r w:rsidRPr="004F6DAA">
        <w:rPr>
          <w:noProof/>
        </w:rPr>
        <w:t xml:space="preserve"> i</w:t>
      </w:r>
      <w:r>
        <w:rPr>
          <w:noProof/>
        </w:rPr>
        <w:t> </w:t>
      </w:r>
      <w:r w:rsidRPr="004F6DAA">
        <w:rPr>
          <w:noProof/>
        </w:rPr>
        <w:t>pro</w:t>
      </w:r>
      <w:r w:rsidR="00B437AA" w:rsidRPr="004F6DAA">
        <w:rPr>
          <w:noProof/>
        </w:rPr>
        <w:t>cedury zmniejszania ryzyka;</w:t>
      </w:r>
    </w:p>
    <w:p w14:paraId="6D2B101B" w14:textId="77777777" w:rsidR="00B437AA" w:rsidRPr="004F6DAA" w:rsidRDefault="00062BFA" w:rsidP="00062BFA">
      <w:pPr>
        <w:pStyle w:val="Point1"/>
        <w:rPr>
          <w:noProof/>
        </w:rPr>
      </w:pPr>
      <w:r w:rsidRPr="00062BFA">
        <w:rPr>
          <w:noProof/>
        </w:rPr>
        <w:t>b)</w:t>
      </w:r>
      <w:r w:rsidRPr="00062BFA">
        <w:rPr>
          <w:noProof/>
        </w:rPr>
        <w:tab/>
      </w:r>
      <w:r w:rsidR="00B437AA" w:rsidRPr="004F6DAA">
        <w:rPr>
          <w:noProof/>
        </w:rPr>
        <w:tab/>
        <w:t>analizę dokumentacji</w:t>
      </w:r>
      <w:r w:rsidRPr="004F6DAA">
        <w:rPr>
          <w:noProof/>
        </w:rPr>
        <w:t xml:space="preserve"> i</w:t>
      </w:r>
      <w:r>
        <w:rPr>
          <w:noProof/>
        </w:rPr>
        <w:t> </w:t>
      </w:r>
      <w:r w:rsidRPr="004F6DAA">
        <w:rPr>
          <w:noProof/>
        </w:rPr>
        <w:t>zap</w:t>
      </w:r>
      <w:r w:rsidR="00B437AA" w:rsidRPr="004F6DAA">
        <w:rPr>
          <w:noProof/>
        </w:rPr>
        <w:t>isów wykazujących właściwe funkcjonowanie systemu zasad należytej staranności;</w:t>
      </w:r>
    </w:p>
    <w:p w14:paraId="2815BBA5" w14:textId="77777777" w:rsidR="00B437AA" w:rsidRPr="004F6DAA" w:rsidDel="002314DA" w:rsidRDefault="00062BFA" w:rsidP="00062BFA">
      <w:pPr>
        <w:pStyle w:val="Point1"/>
        <w:rPr>
          <w:noProof/>
        </w:rPr>
      </w:pPr>
      <w:r w:rsidRPr="00062BFA" w:rsidDel="002314DA">
        <w:rPr>
          <w:noProof/>
        </w:rPr>
        <w:t>c)</w:t>
      </w:r>
      <w:r w:rsidRPr="00062BFA" w:rsidDel="002314DA">
        <w:rPr>
          <w:noProof/>
        </w:rPr>
        <w:tab/>
      </w:r>
      <w:r w:rsidR="00B437AA" w:rsidRPr="004F6DAA">
        <w:rPr>
          <w:noProof/>
        </w:rPr>
        <w:tab/>
        <w:t>analizę dokumentacji</w:t>
      </w:r>
      <w:r w:rsidRPr="004F6DAA">
        <w:rPr>
          <w:noProof/>
        </w:rPr>
        <w:t xml:space="preserve"> i</w:t>
      </w:r>
      <w:r>
        <w:rPr>
          <w:noProof/>
        </w:rPr>
        <w:t> </w:t>
      </w:r>
      <w:r w:rsidRPr="004F6DAA">
        <w:rPr>
          <w:noProof/>
        </w:rPr>
        <w:t>zap</w:t>
      </w:r>
      <w:r w:rsidR="00B437AA" w:rsidRPr="004F6DAA">
        <w:rPr>
          <w:noProof/>
        </w:rPr>
        <w:t>isów wykazujących zgodność konkretnego produktu lub towaru, który podmiot wprowadził do obrotu</w:t>
      </w:r>
      <w:r w:rsidRPr="004F6DAA">
        <w:rPr>
          <w:noProof/>
        </w:rPr>
        <w:t xml:space="preserve"> w</w:t>
      </w:r>
      <w:r>
        <w:rPr>
          <w:noProof/>
        </w:rPr>
        <w:t> </w:t>
      </w:r>
      <w:r w:rsidRPr="004F6DAA">
        <w:rPr>
          <w:noProof/>
        </w:rPr>
        <w:t>Uni</w:t>
      </w:r>
      <w:r w:rsidR="00B437AA" w:rsidRPr="004F6DAA">
        <w:rPr>
          <w:noProof/>
        </w:rPr>
        <w:t>i, zamierza wprowadzić do obrotu na tym rynku lub</w:t>
      </w:r>
      <w:r w:rsidRPr="004F6DAA">
        <w:rPr>
          <w:noProof/>
        </w:rPr>
        <w:t xml:space="preserve"> z</w:t>
      </w:r>
      <w:r>
        <w:rPr>
          <w:noProof/>
        </w:rPr>
        <w:t> </w:t>
      </w:r>
      <w:r w:rsidRPr="004F6DAA">
        <w:rPr>
          <w:noProof/>
        </w:rPr>
        <w:t>nie</w:t>
      </w:r>
      <w:r w:rsidR="00B437AA" w:rsidRPr="004F6DAA">
        <w:rPr>
          <w:noProof/>
        </w:rPr>
        <w:t>go wywozić,</w:t>
      </w:r>
      <w:r w:rsidRPr="004F6DAA">
        <w:rPr>
          <w:noProof/>
        </w:rPr>
        <w:t xml:space="preserve"> z</w:t>
      </w:r>
      <w:r>
        <w:rPr>
          <w:noProof/>
        </w:rPr>
        <w:t> </w:t>
      </w:r>
      <w:r w:rsidRPr="004F6DAA">
        <w:rPr>
          <w:noProof/>
        </w:rPr>
        <w:t>wym</w:t>
      </w:r>
      <w:r w:rsidR="00B437AA" w:rsidRPr="004F6DAA">
        <w:rPr>
          <w:noProof/>
        </w:rPr>
        <w:t>ogami niniejszego rozporządzenia;</w:t>
      </w:r>
    </w:p>
    <w:p w14:paraId="64CC68B4" w14:textId="77777777" w:rsidR="00B437AA" w:rsidRPr="004F6DAA" w:rsidRDefault="00062BFA" w:rsidP="00062BFA">
      <w:pPr>
        <w:pStyle w:val="Point1"/>
        <w:rPr>
          <w:noProof/>
        </w:rPr>
      </w:pPr>
      <w:r w:rsidRPr="00062BFA">
        <w:rPr>
          <w:noProof/>
        </w:rPr>
        <w:t>d)</w:t>
      </w:r>
      <w:r w:rsidRPr="00062BFA">
        <w:rPr>
          <w:noProof/>
        </w:rPr>
        <w:tab/>
      </w:r>
      <w:r w:rsidR="00B437AA" w:rsidRPr="004F6DAA">
        <w:rPr>
          <w:noProof/>
        </w:rPr>
        <w:tab/>
        <w:t>kontrolę oświadczeń</w:t>
      </w:r>
      <w:r w:rsidRPr="004F6DAA">
        <w:rPr>
          <w:noProof/>
        </w:rPr>
        <w:t xml:space="preserve"> o</w:t>
      </w:r>
      <w:r>
        <w:rPr>
          <w:noProof/>
        </w:rPr>
        <w:t> </w:t>
      </w:r>
      <w:r w:rsidRPr="004F6DAA">
        <w:rPr>
          <w:noProof/>
        </w:rPr>
        <w:t>zac</w:t>
      </w:r>
      <w:r w:rsidR="00B437AA" w:rsidRPr="004F6DAA">
        <w:rPr>
          <w:noProof/>
        </w:rPr>
        <w:t>howaniu należytej staranności</w:t>
      </w:r>
    </w:p>
    <w:p w14:paraId="10D9B156" w14:textId="77777777" w:rsidR="00B437AA" w:rsidRPr="004F6DAA" w:rsidRDefault="00B437AA" w:rsidP="00B437AA">
      <w:pPr>
        <w:spacing w:before="100" w:beforeAutospacing="1" w:line="257" w:lineRule="auto"/>
        <w:ind w:firstLine="907"/>
        <w:rPr>
          <w:rFonts w:eastAsia="Times New Roman"/>
          <w:noProof/>
          <w:szCs w:val="24"/>
        </w:rPr>
      </w:pPr>
      <w:r w:rsidRPr="004F6DAA">
        <w:rPr>
          <w:noProof/>
        </w:rPr>
        <w:t>oraz,</w:t>
      </w:r>
      <w:r w:rsidR="00062BFA" w:rsidRPr="004F6DAA">
        <w:rPr>
          <w:noProof/>
        </w:rPr>
        <w:t xml:space="preserve"> w</w:t>
      </w:r>
      <w:r w:rsidR="00062BFA">
        <w:rPr>
          <w:noProof/>
        </w:rPr>
        <w:t> </w:t>
      </w:r>
      <w:r w:rsidR="00062BFA" w:rsidRPr="004F6DAA">
        <w:rPr>
          <w:noProof/>
        </w:rPr>
        <w:t>sto</w:t>
      </w:r>
      <w:r w:rsidRPr="004F6DAA">
        <w:rPr>
          <w:noProof/>
        </w:rPr>
        <w:t xml:space="preserve">sownych przypadkach, </w:t>
      </w:r>
    </w:p>
    <w:p w14:paraId="0A74F1F5" w14:textId="77777777" w:rsidR="00B437AA" w:rsidRPr="004F6DAA" w:rsidRDefault="00062BFA" w:rsidP="00062BFA">
      <w:pPr>
        <w:pStyle w:val="Point1"/>
        <w:rPr>
          <w:noProof/>
        </w:rPr>
      </w:pPr>
      <w:r w:rsidRPr="00062BFA">
        <w:rPr>
          <w:noProof/>
        </w:rPr>
        <w:t>e)</w:t>
      </w:r>
      <w:r w:rsidRPr="00062BFA">
        <w:rPr>
          <w:noProof/>
        </w:rPr>
        <w:tab/>
      </w:r>
      <w:r w:rsidR="00B437AA" w:rsidRPr="004F6DAA">
        <w:rPr>
          <w:noProof/>
        </w:rPr>
        <w:tab/>
        <w:t>kontrolę na miejscu odnośnych towarów</w:t>
      </w:r>
      <w:r w:rsidRPr="004F6DAA">
        <w:rPr>
          <w:noProof/>
        </w:rPr>
        <w:t xml:space="preserve"> i</w:t>
      </w:r>
      <w:r>
        <w:rPr>
          <w:noProof/>
        </w:rPr>
        <w:t> </w:t>
      </w:r>
      <w:r w:rsidRPr="004F6DAA">
        <w:rPr>
          <w:noProof/>
        </w:rPr>
        <w:t>pro</w:t>
      </w:r>
      <w:r w:rsidR="00B437AA" w:rsidRPr="004F6DAA">
        <w:rPr>
          <w:noProof/>
        </w:rPr>
        <w:t>duktów</w:t>
      </w:r>
      <w:r w:rsidRPr="004F6DAA">
        <w:rPr>
          <w:noProof/>
        </w:rPr>
        <w:t xml:space="preserve"> w</w:t>
      </w:r>
      <w:r>
        <w:rPr>
          <w:noProof/>
        </w:rPr>
        <w:t> </w:t>
      </w:r>
      <w:r w:rsidRPr="004F6DAA">
        <w:rPr>
          <w:noProof/>
        </w:rPr>
        <w:t>cel</w:t>
      </w:r>
      <w:r w:rsidR="00B437AA" w:rsidRPr="004F6DAA">
        <w:rPr>
          <w:noProof/>
        </w:rPr>
        <w:t>u stwierdzenia ich zgodności</w:t>
      </w:r>
      <w:r w:rsidRPr="004F6DAA">
        <w:rPr>
          <w:noProof/>
        </w:rPr>
        <w:t xml:space="preserve"> z</w:t>
      </w:r>
      <w:r>
        <w:rPr>
          <w:noProof/>
        </w:rPr>
        <w:t> </w:t>
      </w:r>
      <w:r w:rsidRPr="004F6DAA">
        <w:rPr>
          <w:noProof/>
        </w:rPr>
        <w:t>dok</w:t>
      </w:r>
      <w:r w:rsidR="00B437AA" w:rsidRPr="004F6DAA">
        <w:rPr>
          <w:noProof/>
        </w:rPr>
        <w:t>umentacją stosowaną do celów zachowania należytej staranności;</w:t>
      </w:r>
    </w:p>
    <w:p w14:paraId="437302F2" w14:textId="77777777" w:rsidR="00B437AA" w:rsidRPr="004F6DAA" w:rsidRDefault="00062BFA" w:rsidP="00062BFA">
      <w:pPr>
        <w:pStyle w:val="Point1"/>
        <w:rPr>
          <w:noProof/>
        </w:rPr>
      </w:pPr>
      <w:r w:rsidRPr="00062BFA">
        <w:rPr>
          <w:noProof/>
        </w:rPr>
        <w:t>f)</w:t>
      </w:r>
      <w:r w:rsidRPr="00062BFA">
        <w:rPr>
          <w:noProof/>
        </w:rPr>
        <w:tab/>
      </w:r>
      <w:r w:rsidR="00B437AA" w:rsidRPr="004F6DAA">
        <w:rPr>
          <w:noProof/>
        </w:rPr>
        <w:tab/>
        <w:t>wszelkie środki techniczne</w:t>
      </w:r>
      <w:r w:rsidRPr="004F6DAA">
        <w:rPr>
          <w:noProof/>
        </w:rPr>
        <w:t xml:space="preserve"> i</w:t>
      </w:r>
      <w:r>
        <w:rPr>
          <w:noProof/>
        </w:rPr>
        <w:t> </w:t>
      </w:r>
      <w:r w:rsidRPr="004F6DAA">
        <w:rPr>
          <w:noProof/>
        </w:rPr>
        <w:t>nau</w:t>
      </w:r>
      <w:r w:rsidR="00B437AA" w:rsidRPr="004F6DAA">
        <w:rPr>
          <w:noProof/>
        </w:rPr>
        <w:t>kowe odpowiednie do dokładnego określenia miejsca,</w:t>
      </w:r>
      <w:r w:rsidRPr="004F6DAA">
        <w:rPr>
          <w:noProof/>
        </w:rPr>
        <w:t xml:space="preserve"> w</w:t>
      </w:r>
      <w:r>
        <w:rPr>
          <w:noProof/>
        </w:rPr>
        <w:t> </w:t>
      </w:r>
      <w:r w:rsidRPr="004F6DAA">
        <w:rPr>
          <w:noProof/>
        </w:rPr>
        <w:t>któ</w:t>
      </w:r>
      <w:r w:rsidR="00B437AA" w:rsidRPr="004F6DAA">
        <w:rPr>
          <w:noProof/>
        </w:rPr>
        <w:t>rym wyprodukowano odnośny towar lub produkt,</w:t>
      </w:r>
      <w:r w:rsidRPr="004F6DAA">
        <w:rPr>
          <w:noProof/>
        </w:rPr>
        <w:t xml:space="preserve"> w</w:t>
      </w:r>
      <w:r>
        <w:rPr>
          <w:noProof/>
        </w:rPr>
        <w:t> </w:t>
      </w:r>
      <w:r w:rsidRPr="004F6DAA">
        <w:rPr>
          <w:noProof/>
        </w:rPr>
        <w:t>tym</w:t>
      </w:r>
      <w:r w:rsidR="00B437AA" w:rsidRPr="004F6DAA">
        <w:rPr>
          <w:noProof/>
        </w:rPr>
        <w:t xml:space="preserve"> badania izotopowe; </w:t>
      </w:r>
    </w:p>
    <w:p w14:paraId="2E44C792" w14:textId="77777777" w:rsidR="00B437AA" w:rsidRPr="004F6DAA" w:rsidDel="002314DA" w:rsidRDefault="00062BFA" w:rsidP="00062BFA">
      <w:pPr>
        <w:pStyle w:val="Point1"/>
        <w:rPr>
          <w:noProof/>
        </w:rPr>
      </w:pPr>
      <w:r w:rsidRPr="00062BFA" w:rsidDel="002314DA">
        <w:rPr>
          <w:noProof/>
        </w:rPr>
        <w:t>g)</w:t>
      </w:r>
      <w:r w:rsidRPr="00062BFA" w:rsidDel="002314DA">
        <w:rPr>
          <w:noProof/>
        </w:rPr>
        <w:tab/>
      </w:r>
      <w:r w:rsidR="00B437AA" w:rsidRPr="004F6DAA">
        <w:rPr>
          <w:noProof/>
        </w:rPr>
        <w:tab/>
        <w:t>wszelkie środki techniczne</w:t>
      </w:r>
      <w:r w:rsidRPr="004F6DAA">
        <w:rPr>
          <w:noProof/>
        </w:rPr>
        <w:t xml:space="preserve"> i</w:t>
      </w:r>
      <w:r>
        <w:rPr>
          <w:noProof/>
        </w:rPr>
        <w:t> </w:t>
      </w:r>
      <w:r w:rsidRPr="004F6DAA">
        <w:rPr>
          <w:noProof/>
        </w:rPr>
        <w:t>nau</w:t>
      </w:r>
      <w:r w:rsidR="00B437AA" w:rsidRPr="004F6DAA">
        <w:rPr>
          <w:noProof/>
        </w:rPr>
        <w:t>kowe odpowiednie do ustalenia, czy odnośny towar lub produkt jest niepowodujący wylesiania,</w:t>
      </w:r>
      <w:r w:rsidRPr="004F6DAA">
        <w:rPr>
          <w:noProof/>
        </w:rPr>
        <w:t xml:space="preserve"> w</w:t>
      </w:r>
      <w:r>
        <w:rPr>
          <w:noProof/>
        </w:rPr>
        <w:t> </w:t>
      </w:r>
      <w:r w:rsidRPr="004F6DAA">
        <w:rPr>
          <w:noProof/>
        </w:rPr>
        <w:t>tym</w:t>
      </w:r>
      <w:r w:rsidR="00B437AA" w:rsidRPr="004F6DAA">
        <w:rPr>
          <w:noProof/>
        </w:rPr>
        <w:t xml:space="preserve"> dane</w:t>
      </w:r>
      <w:r w:rsidRPr="004F6DAA">
        <w:rPr>
          <w:noProof/>
        </w:rPr>
        <w:t xml:space="preserve"> z</w:t>
      </w:r>
      <w:r>
        <w:rPr>
          <w:noProof/>
        </w:rPr>
        <w:t> </w:t>
      </w:r>
      <w:r w:rsidRPr="004F6DAA">
        <w:rPr>
          <w:noProof/>
        </w:rPr>
        <w:t>obs</w:t>
      </w:r>
      <w:r w:rsidR="00B437AA" w:rsidRPr="004F6DAA">
        <w:rPr>
          <w:noProof/>
        </w:rPr>
        <w:t>erwacji Ziemi, takie jak dane</w:t>
      </w:r>
      <w:r w:rsidRPr="004F6DAA">
        <w:rPr>
          <w:noProof/>
        </w:rPr>
        <w:t xml:space="preserve"> z</w:t>
      </w:r>
      <w:r>
        <w:rPr>
          <w:noProof/>
        </w:rPr>
        <w:t> </w:t>
      </w:r>
      <w:r w:rsidRPr="004F6DAA">
        <w:rPr>
          <w:noProof/>
        </w:rPr>
        <w:t>pro</w:t>
      </w:r>
      <w:r w:rsidR="00B437AA" w:rsidRPr="004F6DAA">
        <w:rPr>
          <w:noProof/>
        </w:rPr>
        <w:t>gramu</w:t>
      </w:r>
      <w:r w:rsidRPr="004F6DAA">
        <w:rPr>
          <w:noProof/>
        </w:rPr>
        <w:t xml:space="preserve"> i</w:t>
      </w:r>
      <w:r>
        <w:rPr>
          <w:noProof/>
        </w:rPr>
        <w:t> </w:t>
      </w:r>
      <w:r w:rsidRPr="004F6DAA">
        <w:rPr>
          <w:noProof/>
        </w:rPr>
        <w:t>nar</w:t>
      </w:r>
      <w:r w:rsidR="00B437AA" w:rsidRPr="004F6DAA">
        <w:rPr>
          <w:noProof/>
        </w:rPr>
        <w:t>zędzi Copernicus, oraz</w:t>
      </w:r>
    </w:p>
    <w:p w14:paraId="1FA8F4B9" w14:textId="77777777" w:rsidR="00B437AA" w:rsidRPr="004F6DAA" w:rsidRDefault="00062BFA" w:rsidP="00062BFA">
      <w:pPr>
        <w:pStyle w:val="Point1"/>
        <w:rPr>
          <w:noProof/>
        </w:rPr>
      </w:pPr>
      <w:r w:rsidRPr="00062BFA">
        <w:rPr>
          <w:noProof/>
        </w:rPr>
        <w:t>h)</w:t>
      </w:r>
      <w:r w:rsidRPr="00062BFA">
        <w:rPr>
          <w:noProof/>
        </w:rPr>
        <w:tab/>
      </w:r>
      <w:r w:rsidR="00B437AA" w:rsidRPr="004F6DAA">
        <w:rPr>
          <w:noProof/>
        </w:rPr>
        <w:tab/>
        <w:t>kontrole wyrywkowe,</w:t>
      </w:r>
      <w:r w:rsidRPr="004F6DAA">
        <w:rPr>
          <w:noProof/>
        </w:rPr>
        <w:t xml:space="preserve"> w</w:t>
      </w:r>
      <w:r>
        <w:rPr>
          <w:noProof/>
        </w:rPr>
        <w:t> </w:t>
      </w:r>
      <w:r w:rsidRPr="004F6DAA">
        <w:rPr>
          <w:noProof/>
        </w:rPr>
        <w:t>tym</w:t>
      </w:r>
      <w:r w:rsidR="00B437AA" w:rsidRPr="004F6DAA">
        <w:rPr>
          <w:noProof/>
        </w:rPr>
        <w:t xml:space="preserve"> kontrole</w:t>
      </w:r>
      <w:r w:rsidRPr="004F6DAA">
        <w:rPr>
          <w:noProof/>
        </w:rPr>
        <w:t xml:space="preserve"> w</w:t>
      </w:r>
      <w:r>
        <w:rPr>
          <w:noProof/>
        </w:rPr>
        <w:t> </w:t>
      </w:r>
      <w:r w:rsidRPr="004F6DAA">
        <w:rPr>
          <w:noProof/>
        </w:rPr>
        <w:t>ter</w:t>
      </w:r>
      <w:r w:rsidR="00B437AA" w:rsidRPr="004F6DAA">
        <w:rPr>
          <w:noProof/>
        </w:rPr>
        <w:t>enie, także</w:t>
      </w:r>
      <w:r w:rsidRPr="004F6DAA">
        <w:rPr>
          <w:noProof/>
        </w:rPr>
        <w:t xml:space="preserve"> w</w:t>
      </w:r>
      <w:r>
        <w:rPr>
          <w:noProof/>
        </w:rPr>
        <w:t> </w:t>
      </w:r>
      <w:r w:rsidRPr="004F6DAA">
        <w:rPr>
          <w:noProof/>
        </w:rPr>
        <w:t>sto</w:t>
      </w:r>
      <w:r w:rsidR="00B437AA" w:rsidRPr="004F6DAA">
        <w:rPr>
          <w:noProof/>
        </w:rPr>
        <w:t>sownych przypadkach</w:t>
      </w:r>
      <w:r w:rsidRPr="004F6DAA">
        <w:rPr>
          <w:noProof/>
        </w:rPr>
        <w:t xml:space="preserve"> w</w:t>
      </w:r>
      <w:r>
        <w:rPr>
          <w:noProof/>
        </w:rPr>
        <w:t> </w:t>
      </w:r>
      <w:r w:rsidRPr="004F6DAA">
        <w:rPr>
          <w:noProof/>
        </w:rPr>
        <w:t>pań</w:t>
      </w:r>
      <w:r w:rsidR="00B437AA" w:rsidRPr="004F6DAA">
        <w:rPr>
          <w:noProof/>
        </w:rPr>
        <w:t>stwach trzecich</w:t>
      </w:r>
      <w:r w:rsidRPr="004F6DAA">
        <w:rPr>
          <w:noProof/>
        </w:rPr>
        <w:t xml:space="preserve"> w</w:t>
      </w:r>
      <w:r>
        <w:rPr>
          <w:noProof/>
        </w:rPr>
        <w:t> </w:t>
      </w:r>
      <w:r w:rsidRPr="004F6DAA">
        <w:rPr>
          <w:noProof/>
        </w:rPr>
        <w:t>dro</w:t>
      </w:r>
      <w:r w:rsidR="00B437AA" w:rsidRPr="004F6DAA">
        <w:rPr>
          <w:noProof/>
        </w:rPr>
        <w:t>dze współpracy</w:t>
      </w:r>
      <w:r w:rsidRPr="004F6DAA">
        <w:rPr>
          <w:noProof/>
        </w:rPr>
        <w:t xml:space="preserve"> z</w:t>
      </w:r>
      <w:r>
        <w:rPr>
          <w:noProof/>
        </w:rPr>
        <w:t> </w:t>
      </w:r>
      <w:r w:rsidRPr="004F6DAA">
        <w:rPr>
          <w:noProof/>
        </w:rPr>
        <w:t>org</w:t>
      </w:r>
      <w:r w:rsidR="00B437AA" w:rsidRPr="004F6DAA">
        <w:rPr>
          <w:noProof/>
        </w:rPr>
        <w:t>anami administracyjnymi państw trzecich.</w:t>
      </w:r>
    </w:p>
    <w:p w14:paraId="2FC11807" w14:textId="77777777" w:rsidR="00A758ED" w:rsidRPr="004F6DAA" w:rsidRDefault="00C7212E" w:rsidP="00A758ED">
      <w:pPr>
        <w:pStyle w:val="Titrearticle"/>
        <w:ind w:left="360"/>
        <w:rPr>
          <w:i w:val="0"/>
          <w:noProof/>
        </w:rPr>
      </w:pPr>
      <w:r w:rsidRPr="004F6DAA">
        <w:rPr>
          <w:noProof/>
        </w:rPr>
        <w:t>Artykuł 16</w:t>
      </w:r>
    </w:p>
    <w:p w14:paraId="1DC38E93" w14:textId="77777777" w:rsidR="00C7212E" w:rsidRPr="004F6DAA" w:rsidDel="002314DA" w:rsidRDefault="00C7212E" w:rsidP="00A758ED">
      <w:pPr>
        <w:pStyle w:val="Sous-titreobjet"/>
        <w:rPr>
          <w:noProof/>
        </w:rPr>
      </w:pPr>
      <w:r w:rsidRPr="004F6DAA">
        <w:rPr>
          <w:noProof/>
        </w:rPr>
        <w:t>Kontrole dotyczące podmiotów handlowych</w:t>
      </w:r>
    </w:p>
    <w:p w14:paraId="7241628F" w14:textId="77777777" w:rsidR="0006078B" w:rsidRPr="004F6DAA" w:rsidDel="002314DA" w:rsidRDefault="007B7EB7" w:rsidP="007B7EB7">
      <w:pPr>
        <w:pStyle w:val="ManualNumPar1"/>
        <w:rPr>
          <w:noProof/>
        </w:rPr>
      </w:pPr>
      <w:r w:rsidRPr="007B7EB7">
        <w:t>1.</w:t>
      </w:r>
      <w:r w:rsidRPr="007B7EB7">
        <w:tab/>
      </w:r>
      <w:r w:rsidR="0006078B" w:rsidRPr="004F6DAA">
        <w:rPr>
          <w:noProof/>
        </w:rPr>
        <w:t>Kontrole podmiotów handlowych obejmują:</w:t>
      </w:r>
    </w:p>
    <w:p w14:paraId="516EFAE3" w14:textId="77777777" w:rsidR="0006078B" w:rsidRPr="004F6DAA" w:rsidDel="002314DA" w:rsidRDefault="00062BFA" w:rsidP="00062BFA">
      <w:pPr>
        <w:pStyle w:val="Point1"/>
        <w:rPr>
          <w:noProof/>
        </w:rPr>
      </w:pPr>
      <w:r w:rsidRPr="00062BFA" w:rsidDel="002314DA">
        <w:rPr>
          <w:noProof/>
        </w:rPr>
        <w:t>a)</w:t>
      </w:r>
      <w:r w:rsidRPr="00062BFA" w:rsidDel="002314DA">
        <w:rPr>
          <w:noProof/>
        </w:rPr>
        <w:tab/>
      </w:r>
      <w:r w:rsidR="0006078B" w:rsidRPr="004F6DAA">
        <w:rPr>
          <w:noProof/>
        </w:rPr>
        <w:tab/>
        <w:t>analizę dokumentacji</w:t>
      </w:r>
      <w:r w:rsidRPr="004F6DAA">
        <w:rPr>
          <w:noProof/>
        </w:rPr>
        <w:t xml:space="preserve"> i</w:t>
      </w:r>
      <w:r>
        <w:rPr>
          <w:noProof/>
        </w:rPr>
        <w:t> </w:t>
      </w:r>
      <w:r w:rsidRPr="004F6DAA">
        <w:rPr>
          <w:noProof/>
        </w:rPr>
        <w:t>zap</w:t>
      </w:r>
      <w:r w:rsidR="0006078B" w:rsidRPr="004F6DAA">
        <w:rPr>
          <w:noProof/>
        </w:rPr>
        <w:t>isów wykazujących zgodność</w:t>
      </w:r>
      <w:r w:rsidRPr="004F6DAA">
        <w:rPr>
          <w:noProof/>
        </w:rPr>
        <w:t xml:space="preserve"> z</w:t>
      </w:r>
      <w:r>
        <w:rPr>
          <w:noProof/>
        </w:rPr>
        <w:t> </w:t>
      </w:r>
      <w:r w:rsidRPr="00062BFA">
        <w:rPr>
          <w:noProof/>
        </w:rPr>
        <w:t>art</w:t>
      </w:r>
      <w:r w:rsidR="0006078B" w:rsidRPr="00062BFA">
        <w:rPr>
          <w:noProof/>
        </w:rPr>
        <w:t>.</w:t>
      </w:r>
      <w:r w:rsidRPr="00062BFA">
        <w:rPr>
          <w:noProof/>
        </w:rPr>
        <w:t> </w:t>
      </w:r>
      <w:r w:rsidR="0006078B" w:rsidRPr="00062BFA">
        <w:rPr>
          <w:noProof/>
        </w:rPr>
        <w:t>6</w:t>
      </w:r>
      <w:r w:rsidR="0006078B" w:rsidRPr="004F6DAA">
        <w:rPr>
          <w:noProof/>
        </w:rPr>
        <w:t xml:space="preserve"> </w:t>
      </w:r>
      <w:r w:rsidR="0006078B" w:rsidRPr="00062BFA">
        <w:rPr>
          <w:noProof/>
        </w:rPr>
        <w:t>ust.</w:t>
      </w:r>
      <w:r w:rsidRPr="00062BFA">
        <w:rPr>
          <w:noProof/>
        </w:rPr>
        <w:t> </w:t>
      </w:r>
      <w:r w:rsidR="0006078B" w:rsidRPr="00062BFA">
        <w:rPr>
          <w:noProof/>
        </w:rPr>
        <w:t>2</w:t>
      </w:r>
      <w:r w:rsidR="0006078B" w:rsidRPr="004F6DAA">
        <w:rPr>
          <w:noProof/>
        </w:rPr>
        <w:t>;</w:t>
      </w:r>
    </w:p>
    <w:p w14:paraId="299BC8E2" w14:textId="77777777" w:rsidR="0006078B" w:rsidRPr="004F6DAA" w:rsidRDefault="00062BFA" w:rsidP="00062BFA">
      <w:pPr>
        <w:pStyle w:val="Point1"/>
        <w:rPr>
          <w:noProof/>
        </w:rPr>
      </w:pPr>
      <w:r w:rsidRPr="00062BFA">
        <w:rPr>
          <w:noProof/>
        </w:rPr>
        <w:t>b)</w:t>
      </w:r>
      <w:r w:rsidRPr="00062BFA">
        <w:rPr>
          <w:noProof/>
        </w:rPr>
        <w:tab/>
      </w:r>
      <w:r w:rsidR="0006078B" w:rsidRPr="004F6DAA">
        <w:rPr>
          <w:noProof/>
        </w:rPr>
        <w:tab/>
        <w:t>w stosownych przypadkach kontrole wyrywkowe,</w:t>
      </w:r>
      <w:r w:rsidRPr="004F6DAA">
        <w:rPr>
          <w:noProof/>
        </w:rPr>
        <w:t xml:space="preserve"> w</w:t>
      </w:r>
      <w:r>
        <w:rPr>
          <w:noProof/>
        </w:rPr>
        <w:t> </w:t>
      </w:r>
      <w:r w:rsidRPr="004F6DAA">
        <w:rPr>
          <w:noProof/>
        </w:rPr>
        <w:t>tym</w:t>
      </w:r>
      <w:r w:rsidR="0006078B" w:rsidRPr="004F6DAA">
        <w:rPr>
          <w:noProof/>
        </w:rPr>
        <w:t xml:space="preserve"> kontrole</w:t>
      </w:r>
      <w:r w:rsidRPr="004F6DAA">
        <w:rPr>
          <w:noProof/>
        </w:rPr>
        <w:t xml:space="preserve"> w</w:t>
      </w:r>
      <w:r>
        <w:rPr>
          <w:noProof/>
        </w:rPr>
        <w:t> </w:t>
      </w:r>
      <w:r w:rsidRPr="004F6DAA">
        <w:rPr>
          <w:noProof/>
        </w:rPr>
        <w:t>ter</w:t>
      </w:r>
      <w:r w:rsidR="0006078B" w:rsidRPr="004F6DAA">
        <w:rPr>
          <w:noProof/>
        </w:rPr>
        <w:t>enie.</w:t>
      </w:r>
    </w:p>
    <w:p w14:paraId="58764796" w14:textId="77777777" w:rsidR="00A758ED" w:rsidRPr="004F6DAA" w:rsidRDefault="00D4147B" w:rsidP="00A758ED">
      <w:pPr>
        <w:pStyle w:val="Titrearticle"/>
        <w:rPr>
          <w:noProof/>
        </w:rPr>
      </w:pPr>
      <w:r w:rsidRPr="004F6DAA">
        <w:rPr>
          <w:noProof/>
        </w:rPr>
        <w:t>Artykuł 17</w:t>
      </w:r>
    </w:p>
    <w:p w14:paraId="4CA53C41" w14:textId="77777777" w:rsidR="00D4147B" w:rsidRPr="004F6DAA" w:rsidRDefault="00D4147B" w:rsidP="00A758ED">
      <w:pPr>
        <w:pStyle w:val="Sous-titreobjet"/>
        <w:rPr>
          <w:noProof/>
        </w:rPr>
      </w:pPr>
      <w:r w:rsidRPr="004F6DAA">
        <w:rPr>
          <w:noProof/>
        </w:rPr>
        <w:t>Odzyskiwanie kosztów przez właściwe organy</w:t>
      </w:r>
    </w:p>
    <w:p w14:paraId="7A055FA1" w14:textId="77777777" w:rsidR="007D7B76" w:rsidRPr="004F6DAA" w:rsidRDefault="007B7EB7" w:rsidP="007B7EB7">
      <w:pPr>
        <w:pStyle w:val="ManualNumPar1"/>
        <w:rPr>
          <w:noProof/>
        </w:rPr>
      </w:pPr>
      <w:r w:rsidRPr="007B7EB7">
        <w:t>1.</w:t>
      </w:r>
      <w:r w:rsidRPr="007B7EB7">
        <w:tab/>
      </w:r>
      <w:r w:rsidR="007D7B76" w:rsidRPr="004F6DAA">
        <w:rPr>
          <w:noProof/>
        </w:rPr>
        <w:t>Państwa członkowskie mogą upoważnić swoje właściwe organy do odzyskiwania całości kosztów ich działań podejmowanych</w:t>
      </w:r>
      <w:r w:rsidR="00062BFA" w:rsidRPr="004F6DAA">
        <w:rPr>
          <w:noProof/>
        </w:rPr>
        <w:t xml:space="preserve"> w</w:t>
      </w:r>
      <w:r w:rsidR="00062BFA">
        <w:rPr>
          <w:noProof/>
        </w:rPr>
        <w:t> </w:t>
      </w:r>
      <w:r w:rsidR="00062BFA" w:rsidRPr="004F6DAA">
        <w:rPr>
          <w:noProof/>
        </w:rPr>
        <w:t>zwi</w:t>
      </w:r>
      <w:r w:rsidR="007D7B76" w:rsidRPr="004F6DAA">
        <w:rPr>
          <w:noProof/>
        </w:rPr>
        <w:t>ązku</w:t>
      </w:r>
      <w:r w:rsidR="00062BFA" w:rsidRPr="004F6DAA">
        <w:rPr>
          <w:noProof/>
        </w:rPr>
        <w:t xml:space="preserve"> z</w:t>
      </w:r>
      <w:r w:rsidR="00062BFA">
        <w:rPr>
          <w:noProof/>
        </w:rPr>
        <w:t> </w:t>
      </w:r>
      <w:r w:rsidR="00062BFA" w:rsidRPr="004F6DAA">
        <w:rPr>
          <w:noProof/>
        </w:rPr>
        <w:t>prz</w:t>
      </w:r>
      <w:r w:rsidR="007D7B76" w:rsidRPr="004F6DAA">
        <w:rPr>
          <w:noProof/>
        </w:rPr>
        <w:t>ypadkami niezgodności od podmiotów lub podmiotów handlowych.</w:t>
      </w:r>
    </w:p>
    <w:p w14:paraId="3B329169" w14:textId="77777777" w:rsidR="007D7B76" w:rsidRPr="004F6DAA" w:rsidRDefault="007B7EB7" w:rsidP="007B7EB7">
      <w:pPr>
        <w:pStyle w:val="ManualNumPar1"/>
        <w:rPr>
          <w:noProof/>
        </w:rPr>
      </w:pPr>
      <w:r w:rsidRPr="007B7EB7">
        <w:t>2.</w:t>
      </w:r>
      <w:r w:rsidRPr="007B7EB7">
        <w:tab/>
      </w:r>
      <w:r w:rsidR="007D7B76" w:rsidRPr="004F6DAA">
        <w:rPr>
          <w:noProof/>
        </w:rPr>
        <w:t>Koszty,</w:t>
      </w:r>
      <w:r w:rsidR="00062BFA" w:rsidRPr="004F6DAA">
        <w:rPr>
          <w:noProof/>
        </w:rPr>
        <w:t xml:space="preserve"> o</w:t>
      </w:r>
      <w:r w:rsidR="00062BFA">
        <w:rPr>
          <w:noProof/>
        </w:rPr>
        <w:t> </w:t>
      </w:r>
      <w:r w:rsidR="00062BFA" w:rsidRPr="004F6DAA">
        <w:rPr>
          <w:noProof/>
        </w:rPr>
        <w:t>któ</w:t>
      </w:r>
      <w:r w:rsidR="007D7B76" w:rsidRPr="004F6DAA">
        <w:rPr>
          <w:noProof/>
        </w:rPr>
        <w:t>rych mowa</w:t>
      </w:r>
      <w:r w:rsidR="00062BFA" w:rsidRPr="004F6DAA">
        <w:rPr>
          <w:noProof/>
        </w:rPr>
        <w:t xml:space="preserve"> w</w:t>
      </w:r>
      <w:r w:rsidR="00062BFA">
        <w:rPr>
          <w:noProof/>
        </w:rPr>
        <w:t> </w:t>
      </w:r>
      <w:r w:rsidR="00062BFA" w:rsidRPr="00062BFA">
        <w:rPr>
          <w:noProof/>
        </w:rPr>
        <w:t>ust</w:t>
      </w:r>
      <w:r w:rsidR="007D7B76" w:rsidRPr="00062BFA">
        <w:rPr>
          <w:noProof/>
        </w:rPr>
        <w:t>.</w:t>
      </w:r>
      <w:r w:rsidR="00062BFA" w:rsidRPr="00062BFA">
        <w:rPr>
          <w:noProof/>
        </w:rPr>
        <w:t> </w:t>
      </w:r>
      <w:r w:rsidR="007D7B76" w:rsidRPr="00062BFA">
        <w:rPr>
          <w:noProof/>
        </w:rPr>
        <w:t>1</w:t>
      </w:r>
      <w:r w:rsidR="007D7B76" w:rsidRPr="004F6DAA">
        <w:rPr>
          <w:noProof/>
        </w:rPr>
        <w:t>, mogą obejmować koszty przeprowadzenia badania, koszty przechowywania</w:t>
      </w:r>
      <w:r w:rsidR="00062BFA" w:rsidRPr="004F6DAA">
        <w:rPr>
          <w:noProof/>
        </w:rPr>
        <w:t xml:space="preserve"> i</w:t>
      </w:r>
      <w:r w:rsidR="00062BFA">
        <w:rPr>
          <w:noProof/>
        </w:rPr>
        <w:t> </w:t>
      </w:r>
      <w:r w:rsidR="00062BFA" w:rsidRPr="004F6DAA">
        <w:rPr>
          <w:noProof/>
        </w:rPr>
        <w:t>dzi</w:t>
      </w:r>
      <w:r w:rsidR="007D7B76" w:rsidRPr="004F6DAA">
        <w:rPr>
          <w:noProof/>
        </w:rPr>
        <w:t>ałań, jakie organy podjęły</w:t>
      </w:r>
      <w:r w:rsidR="00062BFA" w:rsidRPr="004F6DAA">
        <w:rPr>
          <w:noProof/>
        </w:rPr>
        <w:t xml:space="preserve"> w</w:t>
      </w:r>
      <w:r w:rsidR="00062BFA">
        <w:rPr>
          <w:noProof/>
        </w:rPr>
        <w:t> </w:t>
      </w:r>
      <w:r w:rsidR="00062BFA" w:rsidRPr="004F6DAA">
        <w:rPr>
          <w:noProof/>
        </w:rPr>
        <w:t>zwi</w:t>
      </w:r>
      <w:r w:rsidR="007D7B76" w:rsidRPr="004F6DAA">
        <w:rPr>
          <w:noProof/>
        </w:rPr>
        <w:t>ązku</w:t>
      </w:r>
      <w:r w:rsidR="00062BFA" w:rsidRPr="004F6DAA">
        <w:rPr>
          <w:noProof/>
        </w:rPr>
        <w:t xml:space="preserve"> z</w:t>
      </w:r>
      <w:r w:rsidR="00062BFA">
        <w:rPr>
          <w:noProof/>
        </w:rPr>
        <w:t> </w:t>
      </w:r>
      <w:r w:rsidR="00062BFA" w:rsidRPr="004F6DAA">
        <w:rPr>
          <w:noProof/>
        </w:rPr>
        <w:t>pro</w:t>
      </w:r>
      <w:r w:rsidR="007D7B76" w:rsidRPr="004F6DAA">
        <w:rPr>
          <w:noProof/>
        </w:rPr>
        <w:t>duktami uznanymi za niezgodne</w:t>
      </w:r>
      <w:r w:rsidR="00062BFA" w:rsidRPr="004F6DAA">
        <w:rPr>
          <w:noProof/>
        </w:rPr>
        <w:t xml:space="preserve"> z</w:t>
      </w:r>
      <w:r w:rsidR="00062BFA">
        <w:rPr>
          <w:noProof/>
        </w:rPr>
        <w:t> </w:t>
      </w:r>
      <w:r w:rsidR="00062BFA" w:rsidRPr="004F6DAA">
        <w:rPr>
          <w:noProof/>
        </w:rPr>
        <w:t>wym</w:t>
      </w:r>
      <w:r w:rsidR="007D7B76" w:rsidRPr="004F6DAA">
        <w:rPr>
          <w:noProof/>
        </w:rPr>
        <w:t>aganiami</w:t>
      </w:r>
      <w:r w:rsidR="00062BFA" w:rsidRPr="004F6DAA">
        <w:rPr>
          <w:noProof/>
        </w:rPr>
        <w:t xml:space="preserve"> i</w:t>
      </w:r>
      <w:r w:rsidR="00062BFA">
        <w:rPr>
          <w:noProof/>
        </w:rPr>
        <w:t> </w:t>
      </w:r>
      <w:r w:rsidR="00062BFA" w:rsidRPr="004F6DAA">
        <w:rPr>
          <w:noProof/>
        </w:rPr>
        <w:t>obj</w:t>
      </w:r>
      <w:r w:rsidR="007D7B76" w:rsidRPr="004F6DAA">
        <w:rPr>
          <w:noProof/>
        </w:rPr>
        <w:t>ętymi działaniem naprawczym przed dopuszczeniem ich do obrotu na rynku unijnym, wprowadzeniem ich do obrotu na tym rynku lub wywozem</w:t>
      </w:r>
      <w:r w:rsidR="00062BFA" w:rsidRPr="004F6DAA">
        <w:rPr>
          <w:noProof/>
        </w:rPr>
        <w:t xml:space="preserve"> z</w:t>
      </w:r>
      <w:r w:rsidR="00062BFA">
        <w:rPr>
          <w:noProof/>
        </w:rPr>
        <w:t> </w:t>
      </w:r>
      <w:r w:rsidR="00062BFA" w:rsidRPr="004F6DAA">
        <w:rPr>
          <w:noProof/>
        </w:rPr>
        <w:t>nie</w:t>
      </w:r>
      <w:r w:rsidR="007D7B76" w:rsidRPr="004F6DAA">
        <w:rPr>
          <w:noProof/>
        </w:rPr>
        <w:t>go.</w:t>
      </w:r>
    </w:p>
    <w:p w14:paraId="1E012E9B" w14:textId="77777777" w:rsidR="00314E07" w:rsidRPr="004F6DAA" w:rsidRDefault="00D4147B" w:rsidP="00314E07">
      <w:pPr>
        <w:pStyle w:val="Titrearticle"/>
        <w:ind w:left="720"/>
        <w:rPr>
          <w:noProof/>
        </w:rPr>
      </w:pPr>
      <w:r w:rsidRPr="004F6DAA">
        <w:rPr>
          <w:noProof/>
        </w:rPr>
        <w:t>Artykuł 18</w:t>
      </w:r>
    </w:p>
    <w:p w14:paraId="2E65B266" w14:textId="77777777" w:rsidR="00D4147B" w:rsidRPr="004F6DAA" w:rsidRDefault="00D4147B" w:rsidP="00314E07">
      <w:pPr>
        <w:pStyle w:val="Sous-titreobjet"/>
        <w:rPr>
          <w:noProof/>
        </w:rPr>
      </w:pPr>
      <w:r w:rsidRPr="004F6DAA">
        <w:rPr>
          <w:noProof/>
        </w:rPr>
        <w:t>Współpraca</w:t>
      </w:r>
      <w:r w:rsidR="00062BFA" w:rsidRPr="004F6DAA">
        <w:rPr>
          <w:noProof/>
        </w:rPr>
        <w:t xml:space="preserve"> i</w:t>
      </w:r>
      <w:r w:rsidR="00062BFA">
        <w:rPr>
          <w:noProof/>
        </w:rPr>
        <w:t> </w:t>
      </w:r>
      <w:r w:rsidR="00062BFA" w:rsidRPr="004F6DAA">
        <w:rPr>
          <w:noProof/>
        </w:rPr>
        <w:t>wym</w:t>
      </w:r>
      <w:r w:rsidRPr="004F6DAA">
        <w:rPr>
          <w:noProof/>
        </w:rPr>
        <w:t>iana informacji</w:t>
      </w:r>
    </w:p>
    <w:p w14:paraId="0E79AE7A" w14:textId="77777777" w:rsidR="00922AA8" w:rsidRPr="004F6DAA" w:rsidRDefault="007B7EB7" w:rsidP="007B7EB7">
      <w:pPr>
        <w:pStyle w:val="ManualNumPar1"/>
        <w:rPr>
          <w:noProof/>
        </w:rPr>
      </w:pPr>
      <w:r w:rsidRPr="007B7EB7">
        <w:t>1.</w:t>
      </w:r>
      <w:r w:rsidRPr="007B7EB7">
        <w:tab/>
      </w:r>
      <w:r w:rsidR="00922AA8" w:rsidRPr="004F6DAA">
        <w:rPr>
          <w:noProof/>
        </w:rPr>
        <w:t>Właściwe organy współpracują ze sobą,</w:t>
      </w:r>
      <w:r w:rsidR="00062BFA" w:rsidRPr="004F6DAA">
        <w:rPr>
          <w:noProof/>
        </w:rPr>
        <w:t xml:space="preserve"> z</w:t>
      </w:r>
      <w:r w:rsidR="00062BFA">
        <w:rPr>
          <w:noProof/>
        </w:rPr>
        <w:t> </w:t>
      </w:r>
      <w:r w:rsidR="00062BFA" w:rsidRPr="004F6DAA">
        <w:rPr>
          <w:noProof/>
        </w:rPr>
        <w:t>org</w:t>
      </w:r>
      <w:r w:rsidR="00922AA8" w:rsidRPr="004F6DAA">
        <w:rPr>
          <w:noProof/>
        </w:rPr>
        <w:t>anami innych państw członkowskich,</w:t>
      </w:r>
      <w:r w:rsidR="00062BFA" w:rsidRPr="004F6DAA">
        <w:rPr>
          <w:noProof/>
        </w:rPr>
        <w:t xml:space="preserve"> z</w:t>
      </w:r>
      <w:r w:rsidR="00062BFA">
        <w:rPr>
          <w:noProof/>
        </w:rPr>
        <w:t> </w:t>
      </w:r>
      <w:r w:rsidR="00062BFA" w:rsidRPr="004F6DAA">
        <w:rPr>
          <w:noProof/>
        </w:rPr>
        <w:t>Kom</w:t>
      </w:r>
      <w:r w:rsidR="00922AA8" w:rsidRPr="004F6DAA">
        <w:rPr>
          <w:noProof/>
        </w:rPr>
        <w:t>isją oraz,</w:t>
      </w:r>
      <w:r w:rsidR="00062BFA" w:rsidRPr="004F6DAA">
        <w:rPr>
          <w:noProof/>
        </w:rPr>
        <w:t xml:space="preserve"> w</w:t>
      </w:r>
      <w:r w:rsidR="00062BFA">
        <w:rPr>
          <w:noProof/>
        </w:rPr>
        <w:t> </w:t>
      </w:r>
      <w:r w:rsidR="00062BFA" w:rsidRPr="004F6DAA">
        <w:rPr>
          <w:noProof/>
        </w:rPr>
        <w:t>sto</w:t>
      </w:r>
      <w:r w:rsidR="00922AA8" w:rsidRPr="004F6DAA">
        <w:rPr>
          <w:noProof/>
        </w:rPr>
        <w:t>sownych przypadkach,</w:t>
      </w:r>
      <w:r w:rsidR="00062BFA" w:rsidRPr="004F6DAA">
        <w:rPr>
          <w:noProof/>
        </w:rPr>
        <w:t xml:space="preserve"> z</w:t>
      </w:r>
      <w:r w:rsidR="00062BFA">
        <w:rPr>
          <w:noProof/>
        </w:rPr>
        <w:t> </w:t>
      </w:r>
      <w:r w:rsidR="00062BFA" w:rsidRPr="004F6DAA">
        <w:rPr>
          <w:noProof/>
        </w:rPr>
        <w:t>org</w:t>
      </w:r>
      <w:r w:rsidR="00922AA8" w:rsidRPr="004F6DAA">
        <w:rPr>
          <w:noProof/>
        </w:rPr>
        <w:t>anami administracyjnymi państw trzecich</w:t>
      </w:r>
      <w:r w:rsidR="00062BFA" w:rsidRPr="004F6DAA">
        <w:rPr>
          <w:noProof/>
        </w:rPr>
        <w:t xml:space="preserve"> w</w:t>
      </w:r>
      <w:r w:rsidR="00062BFA">
        <w:rPr>
          <w:noProof/>
        </w:rPr>
        <w:t> </w:t>
      </w:r>
      <w:r w:rsidR="00062BFA" w:rsidRPr="004F6DAA">
        <w:rPr>
          <w:noProof/>
        </w:rPr>
        <w:t>cel</w:t>
      </w:r>
      <w:r w:rsidR="00922AA8" w:rsidRPr="004F6DAA">
        <w:rPr>
          <w:noProof/>
        </w:rPr>
        <w:t>u zapewnienia zgodności</w:t>
      </w:r>
      <w:r w:rsidR="00062BFA" w:rsidRPr="004F6DAA">
        <w:rPr>
          <w:noProof/>
        </w:rPr>
        <w:t xml:space="preserve"> z</w:t>
      </w:r>
      <w:r w:rsidR="00062BFA">
        <w:rPr>
          <w:noProof/>
        </w:rPr>
        <w:t> </w:t>
      </w:r>
      <w:r w:rsidR="00062BFA" w:rsidRPr="004F6DAA">
        <w:rPr>
          <w:noProof/>
        </w:rPr>
        <w:t>nin</w:t>
      </w:r>
      <w:r w:rsidR="00922AA8" w:rsidRPr="004F6DAA">
        <w:rPr>
          <w:noProof/>
        </w:rPr>
        <w:t>iejszym rozporządzeniem. </w:t>
      </w:r>
    </w:p>
    <w:p w14:paraId="6D27335E" w14:textId="77777777" w:rsidR="00922AA8" w:rsidRPr="004F6DAA" w:rsidRDefault="007B7EB7" w:rsidP="007B7EB7">
      <w:pPr>
        <w:pStyle w:val="ManualNumPar1"/>
        <w:rPr>
          <w:noProof/>
        </w:rPr>
      </w:pPr>
      <w:r w:rsidRPr="007B7EB7">
        <w:t>2.</w:t>
      </w:r>
      <w:r w:rsidRPr="007B7EB7">
        <w:tab/>
      </w:r>
      <w:r w:rsidR="00922AA8" w:rsidRPr="004F6DAA">
        <w:rPr>
          <w:noProof/>
        </w:rPr>
        <w:t>W celu stosowania</w:t>
      </w:r>
      <w:r w:rsidR="00062BFA" w:rsidRPr="004F6DAA">
        <w:rPr>
          <w:noProof/>
        </w:rPr>
        <w:t xml:space="preserve"> i</w:t>
      </w:r>
      <w:r w:rsidR="00062BFA">
        <w:rPr>
          <w:noProof/>
        </w:rPr>
        <w:t> </w:t>
      </w:r>
      <w:r w:rsidR="00062BFA" w:rsidRPr="004F6DAA">
        <w:rPr>
          <w:noProof/>
        </w:rPr>
        <w:t>egz</w:t>
      </w:r>
      <w:r w:rsidR="00922AA8" w:rsidRPr="004F6DAA">
        <w:rPr>
          <w:noProof/>
        </w:rPr>
        <w:t>ekwowania przepisów niniejszego rozporządzenia właściwe organy dokonują</w:t>
      </w:r>
      <w:r w:rsidR="00062BFA" w:rsidRPr="004F6DAA">
        <w:rPr>
          <w:noProof/>
        </w:rPr>
        <w:t xml:space="preserve"> z</w:t>
      </w:r>
      <w:r w:rsidR="00062BFA">
        <w:rPr>
          <w:noProof/>
        </w:rPr>
        <w:t> </w:t>
      </w:r>
      <w:r w:rsidR="00062BFA" w:rsidRPr="004F6DAA">
        <w:rPr>
          <w:noProof/>
        </w:rPr>
        <w:t>Kom</w:t>
      </w:r>
      <w:r w:rsidR="00922AA8" w:rsidRPr="004F6DAA">
        <w:rPr>
          <w:noProof/>
        </w:rPr>
        <w:t>isją uzgodnień administracyjnych dotyczących przekazywania informacji</w:t>
      </w:r>
      <w:r w:rsidR="00062BFA" w:rsidRPr="004F6DAA">
        <w:rPr>
          <w:noProof/>
        </w:rPr>
        <w:t xml:space="preserve"> i</w:t>
      </w:r>
      <w:r w:rsidR="00062BFA">
        <w:rPr>
          <w:noProof/>
        </w:rPr>
        <w:t> </w:t>
      </w:r>
      <w:r w:rsidR="00062BFA" w:rsidRPr="004F6DAA">
        <w:rPr>
          <w:noProof/>
        </w:rPr>
        <w:t>pro</w:t>
      </w:r>
      <w:r w:rsidR="00922AA8" w:rsidRPr="004F6DAA">
        <w:rPr>
          <w:noProof/>
        </w:rPr>
        <w:t>wadzenia dochodzeń.</w:t>
      </w:r>
    </w:p>
    <w:p w14:paraId="13EA8E12" w14:textId="77777777" w:rsidR="00922AA8" w:rsidRPr="004F6DAA" w:rsidRDefault="007B7EB7" w:rsidP="007B7EB7">
      <w:pPr>
        <w:pStyle w:val="ManualNumPar1"/>
        <w:rPr>
          <w:noProof/>
        </w:rPr>
      </w:pPr>
      <w:r w:rsidRPr="007B7EB7">
        <w:t>3.</w:t>
      </w:r>
      <w:r w:rsidRPr="007B7EB7">
        <w:tab/>
      </w:r>
      <w:r w:rsidR="00922AA8" w:rsidRPr="004F6DAA">
        <w:rPr>
          <w:noProof/>
        </w:rPr>
        <w:t>Właściwe organy prowadzą między sobą wymianę informacji niezbędnych do egzekwowania przepisów niniejszego rozporządzenia.Obejmuje to udostępnianie danych dotyczących podmiotów</w:t>
      </w:r>
      <w:r w:rsidR="00062BFA" w:rsidRPr="004F6DAA">
        <w:rPr>
          <w:noProof/>
        </w:rPr>
        <w:t xml:space="preserve"> i</w:t>
      </w:r>
      <w:r w:rsidR="00062BFA">
        <w:rPr>
          <w:noProof/>
        </w:rPr>
        <w:t> </w:t>
      </w:r>
      <w:r w:rsidR="00062BFA" w:rsidRPr="004F6DAA">
        <w:rPr>
          <w:noProof/>
        </w:rPr>
        <w:t>pod</w:t>
      </w:r>
      <w:r w:rsidR="00922AA8" w:rsidRPr="004F6DAA">
        <w:rPr>
          <w:noProof/>
        </w:rPr>
        <w:t>miotów handlowych,</w:t>
      </w:r>
      <w:r w:rsidR="00062BFA" w:rsidRPr="004F6DAA">
        <w:rPr>
          <w:noProof/>
        </w:rPr>
        <w:t xml:space="preserve"> w</w:t>
      </w:r>
      <w:r w:rsidR="00062BFA">
        <w:rPr>
          <w:noProof/>
        </w:rPr>
        <w:t> </w:t>
      </w:r>
      <w:r w:rsidR="00062BFA" w:rsidRPr="004F6DAA">
        <w:rPr>
          <w:noProof/>
        </w:rPr>
        <w:t>tym</w:t>
      </w:r>
      <w:r w:rsidR="00922AA8" w:rsidRPr="004F6DAA">
        <w:rPr>
          <w:noProof/>
        </w:rPr>
        <w:t xml:space="preserve"> oświadczeń</w:t>
      </w:r>
      <w:r w:rsidR="00062BFA" w:rsidRPr="004F6DAA">
        <w:rPr>
          <w:noProof/>
        </w:rPr>
        <w:t xml:space="preserve"> o</w:t>
      </w:r>
      <w:r w:rsidR="00062BFA">
        <w:rPr>
          <w:noProof/>
        </w:rPr>
        <w:t> </w:t>
      </w:r>
      <w:r w:rsidR="00062BFA" w:rsidRPr="004F6DAA">
        <w:rPr>
          <w:noProof/>
        </w:rPr>
        <w:t>zac</w:t>
      </w:r>
      <w:r w:rsidR="00922AA8" w:rsidRPr="004F6DAA">
        <w:rPr>
          <w:noProof/>
        </w:rPr>
        <w:t>howaniu należytej staranności, właściwym organom innych państw członkowskich oraz wymianę</w:t>
      </w:r>
      <w:r w:rsidR="00062BFA" w:rsidRPr="004F6DAA">
        <w:rPr>
          <w:noProof/>
        </w:rPr>
        <w:t xml:space="preserve"> z</w:t>
      </w:r>
      <w:r w:rsidR="00062BFA">
        <w:rPr>
          <w:noProof/>
        </w:rPr>
        <w:t> </w:t>
      </w:r>
      <w:r w:rsidR="00062BFA" w:rsidRPr="004F6DAA">
        <w:rPr>
          <w:noProof/>
        </w:rPr>
        <w:t>nim</w:t>
      </w:r>
      <w:r w:rsidR="00922AA8" w:rsidRPr="004F6DAA">
        <w:rPr>
          <w:noProof/>
        </w:rPr>
        <w:t>i tych danych</w:t>
      </w:r>
      <w:r w:rsidR="00062BFA" w:rsidRPr="004F6DAA">
        <w:rPr>
          <w:noProof/>
        </w:rPr>
        <w:t xml:space="preserve"> w</w:t>
      </w:r>
      <w:r w:rsidR="00062BFA">
        <w:rPr>
          <w:noProof/>
        </w:rPr>
        <w:t> </w:t>
      </w:r>
      <w:r w:rsidR="00062BFA" w:rsidRPr="004F6DAA">
        <w:rPr>
          <w:noProof/>
        </w:rPr>
        <w:t>cel</w:t>
      </w:r>
      <w:r w:rsidR="00922AA8" w:rsidRPr="004F6DAA">
        <w:rPr>
          <w:noProof/>
        </w:rPr>
        <w:t>u ułatwienia egzekwowania przepisów niniejszego rozporządzenia. </w:t>
      </w:r>
    </w:p>
    <w:p w14:paraId="2858F1D4" w14:textId="77777777" w:rsidR="00922AA8" w:rsidRPr="004F6DAA" w:rsidRDefault="007B7EB7" w:rsidP="007B7EB7">
      <w:pPr>
        <w:pStyle w:val="ManualNumPar1"/>
        <w:rPr>
          <w:noProof/>
        </w:rPr>
      </w:pPr>
      <w:r w:rsidRPr="007B7EB7">
        <w:t>4.</w:t>
      </w:r>
      <w:r w:rsidRPr="007B7EB7">
        <w:tab/>
      </w:r>
      <w:r w:rsidR="00922AA8" w:rsidRPr="004F6DAA">
        <w:rPr>
          <w:noProof/>
        </w:rPr>
        <w:t>Właściwe organy niezwłocznie powiadamiają właściwe organy innych państw członkowskich</w:t>
      </w:r>
      <w:r w:rsidR="00062BFA" w:rsidRPr="004F6DAA">
        <w:rPr>
          <w:noProof/>
        </w:rPr>
        <w:t xml:space="preserve"> i</w:t>
      </w:r>
      <w:r w:rsidR="00062BFA">
        <w:rPr>
          <w:noProof/>
        </w:rPr>
        <w:t> </w:t>
      </w:r>
      <w:r w:rsidR="00062BFA" w:rsidRPr="004F6DAA">
        <w:rPr>
          <w:noProof/>
        </w:rPr>
        <w:t>Kom</w:t>
      </w:r>
      <w:r w:rsidR="00922AA8" w:rsidRPr="004F6DAA">
        <w:rPr>
          <w:noProof/>
        </w:rPr>
        <w:t>isję</w:t>
      </w:r>
      <w:r w:rsidR="00062BFA" w:rsidRPr="004F6DAA">
        <w:rPr>
          <w:noProof/>
        </w:rPr>
        <w:t xml:space="preserve"> o</w:t>
      </w:r>
      <w:r w:rsidR="00062BFA">
        <w:rPr>
          <w:noProof/>
        </w:rPr>
        <w:t> </w:t>
      </w:r>
      <w:r w:rsidR="00062BFA" w:rsidRPr="004F6DAA">
        <w:rPr>
          <w:noProof/>
        </w:rPr>
        <w:t>wyk</w:t>
      </w:r>
      <w:r w:rsidR="00922AA8" w:rsidRPr="004F6DAA">
        <w:rPr>
          <w:noProof/>
        </w:rPr>
        <w:t>ryciu naruszenia przepisów niniejszego rozporządzenia oraz poważnych niedociągnięć, które mogą dotyczyć więcej niż jednego państwa członkowskiego.Właściwe organy informują</w:t>
      </w:r>
      <w:r w:rsidR="00062BFA" w:rsidRPr="004F6DAA">
        <w:rPr>
          <w:noProof/>
        </w:rPr>
        <w:t xml:space="preserve"> w</w:t>
      </w:r>
      <w:r w:rsidR="00062BFA">
        <w:rPr>
          <w:noProof/>
        </w:rPr>
        <w:t> </w:t>
      </w:r>
      <w:r w:rsidR="00062BFA" w:rsidRPr="004F6DAA">
        <w:rPr>
          <w:noProof/>
        </w:rPr>
        <w:t>szc</w:t>
      </w:r>
      <w:r w:rsidR="00922AA8" w:rsidRPr="004F6DAA">
        <w:rPr>
          <w:noProof/>
        </w:rPr>
        <w:t>zególności właściwe organy innych państw członkowskich</w:t>
      </w:r>
      <w:r w:rsidR="00062BFA" w:rsidRPr="004F6DAA">
        <w:rPr>
          <w:noProof/>
        </w:rPr>
        <w:t xml:space="preserve"> w</w:t>
      </w:r>
      <w:r w:rsidR="00062BFA">
        <w:rPr>
          <w:noProof/>
        </w:rPr>
        <w:t> </w:t>
      </w:r>
      <w:r w:rsidR="00062BFA" w:rsidRPr="004F6DAA">
        <w:rPr>
          <w:noProof/>
        </w:rPr>
        <w:t>prz</w:t>
      </w:r>
      <w:r w:rsidR="00922AA8" w:rsidRPr="004F6DAA">
        <w:rPr>
          <w:noProof/>
        </w:rPr>
        <w:t>ypadku wykrycia na rynku odnośnego towaru lub produktu niezgodnego</w:t>
      </w:r>
      <w:r w:rsidR="00062BFA" w:rsidRPr="004F6DAA">
        <w:rPr>
          <w:noProof/>
        </w:rPr>
        <w:t xml:space="preserve"> z</w:t>
      </w:r>
      <w:r w:rsidR="00062BFA">
        <w:rPr>
          <w:noProof/>
        </w:rPr>
        <w:t> </w:t>
      </w:r>
      <w:r w:rsidR="00062BFA" w:rsidRPr="004F6DAA">
        <w:rPr>
          <w:noProof/>
        </w:rPr>
        <w:t>nin</w:t>
      </w:r>
      <w:r w:rsidR="00922AA8" w:rsidRPr="004F6DAA">
        <w:rPr>
          <w:noProof/>
        </w:rPr>
        <w:t>iejszym rozporządzeniem, aby umożliwić wycofanie lub odzyskanie takiego towaru lub produktu ze sprzedaży we wszystkich państwach członkowskich. </w:t>
      </w:r>
    </w:p>
    <w:p w14:paraId="774208B6" w14:textId="77777777" w:rsidR="00922AA8" w:rsidRPr="004F6DAA" w:rsidRDefault="007B7EB7" w:rsidP="007B7EB7">
      <w:pPr>
        <w:pStyle w:val="ManualNumPar1"/>
        <w:rPr>
          <w:noProof/>
        </w:rPr>
      </w:pPr>
      <w:r w:rsidRPr="007B7EB7">
        <w:t>5.</w:t>
      </w:r>
      <w:r w:rsidRPr="007B7EB7">
        <w:tab/>
      </w:r>
      <w:r w:rsidR="00922AA8" w:rsidRPr="004F6DAA">
        <w:rPr>
          <w:noProof/>
        </w:rPr>
        <w:t>Na wniosek właściwego organu państwa członkowskie przekazują mu informacje niezbędne do zapewnienia zgodności</w:t>
      </w:r>
      <w:r w:rsidR="00062BFA" w:rsidRPr="004F6DAA">
        <w:rPr>
          <w:noProof/>
        </w:rPr>
        <w:t xml:space="preserve"> z</w:t>
      </w:r>
      <w:r w:rsidR="00062BFA">
        <w:rPr>
          <w:noProof/>
        </w:rPr>
        <w:t> </w:t>
      </w:r>
      <w:r w:rsidR="00062BFA" w:rsidRPr="004F6DAA">
        <w:rPr>
          <w:noProof/>
        </w:rPr>
        <w:t>nin</w:t>
      </w:r>
      <w:r w:rsidR="00922AA8" w:rsidRPr="004F6DAA">
        <w:rPr>
          <w:noProof/>
        </w:rPr>
        <w:t xml:space="preserve">iejszym rozporządzeniem. </w:t>
      </w:r>
    </w:p>
    <w:p w14:paraId="3B551EE3" w14:textId="77777777" w:rsidR="00314E07" w:rsidRPr="004F6DAA" w:rsidRDefault="00D4147B" w:rsidP="00314E07">
      <w:pPr>
        <w:pStyle w:val="Titrearticle"/>
        <w:rPr>
          <w:noProof/>
        </w:rPr>
      </w:pPr>
      <w:r w:rsidRPr="004F6DAA">
        <w:rPr>
          <w:noProof/>
        </w:rPr>
        <w:t>Artykuł 19</w:t>
      </w:r>
    </w:p>
    <w:p w14:paraId="4B8EAC2D" w14:textId="77777777" w:rsidR="00D4147B" w:rsidRPr="004F6DAA" w:rsidRDefault="00D4147B" w:rsidP="00314E07">
      <w:pPr>
        <w:pStyle w:val="Sous-titreobjet"/>
        <w:rPr>
          <w:noProof/>
        </w:rPr>
      </w:pPr>
      <w:r w:rsidRPr="004F6DAA">
        <w:rPr>
          <w:noProof/>
        </w:rPr>
        <w:t>Sprawozdawczość</w:t>
      </w:r>
    </w:p>
    <w:p w14:paraId="3B701FA7" w14:textId="77777777" w:rsidR="006160E0" w:rsidRPr="004F6DAA" w:rsidRDefault="007B7EB7" w:rsidP="007B7EB7">
      <w:pPr>
        <w:pStyle w:val="ManualNumPar1"/>
        <w:rPr>
          <w:noProof/>
        </w:rPr>
      </w:pPr>
      <w:r w:rsidRPr="007B7EB7">
        <w:t>1.</w:t>
      </w:r>
      <w:r w:rsidRPr="007B7EB7">
        <w:tab/>
      </w:r>
      <w:r w:rsidR="006160E0" w:rsidRPr="004F6DAA">
        <w:rPr>
          <w:noProof/>
        </w:rPr>
        <w:t>Najpóźniej do dnia 30 kwietnia każdego roku państwa członkowskie udostępniają publicznie oraz Komisji informacje na temat stosowania niniejszego rozporządzenia</w:t>
      </w:r>
      <w:r w:rsidR="00062BFA" w:rsidRPr="004F6DAA">
        <w:rPr>
          <w:noProof/>
        </w:rPr>
        <w:t xml:space="preserve"> w</w:t>
      </w:r>
      <w:r w:rsidR="00062BFA">
        <w:rPr>
          <w:noProof/>
        </w:rPr>
        <w:t> </w:t>
      </w:r>
      <w:r w:rsidR="00062BFA" w:rsidRPr="004F6DAA">
        <w:rPr>
          <w:noProof/>
        </w:rPr>
        <w:t>pop</w:t>
      </w:r>
      <w:r w:rsidR="006160E0" w:rsidRPr="004F6DAA">
        <w:rPr>
          <w:noProof/>
        </w:rPr>
        <w:t>rzednim roku kalendarzowym. Informacje te obejmują ich plany kontroli, liczbę</w:t>
      </w:r>
      <w:r w:rsidR="00062BFA" w:rsidRPr="004F6DAA">
        <w:rPr>
          <w:noProof/>
        </w:rPr>
        <w:t xml:space="preserve"> i</w:t>
      </w:r>
      <w:r w:rsidR="00062BFA">
        <w:rPr>
          <w:noProof/>
        </w:rPr>
        <w:t> </w:t>
      </w:r>
      <w:r w:rsidR="00062BFA" w:rsidRPr="004F6DAA">
        <w:rPr>
          <w:noProof/>
        </w:rPr>
        <w:t>wyn</w:t>
      </w:r>
      <w:r w:rsidR="006160E0" w:rsidRPr="004F6DAA">
        <w:rPr>
          <w:noProof/>
        </w:rPr>
        <w:t>iki kontroli przeprowadzonych</w:t>
      </w:r>
      <w:r w:rsidR="00062BFA" w:rsidRPr="004F6DAA">
        <w:rPr>
          <w:noProof/>
        </w:rPr>
        <w:t xml:space="preserve"> u</w:t>
      </w:r>
      <w:r w:rsidR="00062BFA">
        <w:rPr>
          <w:noProof/>
        </w:rPr>
        <w:t> </w:t>
      </w:r>
      <w:r w:rsidR="00062BFA" w:rsidRPr="004F6DAA">
        <w:rPr>
          <w:noProof/>
        </w:rPr>
        <w:t>pod</w:t>
      </w:r>
      <w:r w:rsidR="006160E0" w:rsidRPr="004F6DAA">
        <w:rPr>
          <w:noProof/>
        </w:rPr>
        <w:t>miotów</w:t>
      </w:r>
      <w:r w:rsidR="00062BFA" w:rsidRPr="004F6DAA">
        <w:rPr>
          <w:noProof/>
        </w:rPr>
        <w:t xml:space="preserve"> i</w:t>
      </w:r>
      <w:r w:rsidR="00062BFA">
        <w:rPr>
          <w:noProof/>
        </w:rPr>
        <w:t> </w:t>
      </w:r>
      <w:r w:rsidR="00062BFA" w:rsidRPr="004F6DAA">
        <w:rPr>
          <w:noProof/>
        </w:rPr>
        <w:t>pod</w:t>
      </w:r>
      <w:r w:rsidR="006160E0" w:rsidRPr="004F6DAA">
        <w:rPr>
          <w:noProof/>
        </w:rPr>
        <w:t>miotów handlowych,</w:t>
      </w:r>
      <w:r w:rsidR="00062BFA" w:rsidRPr="004F6DAA">
        <w:rPr>
          <w:noProof/>
        </w:rPr>
        <w:t xml:space="preserve"> w</w:t>
      </w:r>
      <w:r w:rsidR="00062BFA">
        <w:rPr>
          <w:noProof/>
        </w:rPr>
        <w:t> </w:t>
      </w:r>
      <w:r w:rsidR="00062BFA" w:rsidRPr="004F6DAA">
        <w:rPr>
          <w:noProof/>
        </w:rPr>
        <w:t>tym</w:t>
      </w:r>
      <w:r w:rsidR="006160E0" w:rsidRPr="004F6DAA">
        <w:rPr>
          <w:noProof/>
        </w:rPr>
        <w:t xml:space="preserve"> treść tych kontroli, ilość odnośnych towarów</w:t>
      </w:r>
      <w:r w:rsidR="00062BFA" w:rsidRPr="004F6DAA">
        <w:rPr>
          <w:noProof/>
        </w:rPr>
        <w:t xml:space="preserve"> i</w:t>
      </w:r>
      <w:r w:rsidR="00062BFA">
        <w:rPr>
          <w:noProof/>
        </w:rPr>
        <w:t> </w:t>
      </w:r>
      <w:r w:rsidR="00062BFA" w:rsidRPr="004F6DAA">
        <w:rPr>
          <w:noProof/>
        </w:rPr>
        <w:t>pro</w:t>
      </w:r>
      <w:r w:rsidR="006160E0" w:rsidRPr="004F6DAA">
        <w:rPr>
          <w:noProof/>
        </w:rPr>
        <w:t>duktów poddanych kontroli</w:t>
      </w:r>
      <w:r w:rsidR="00062BFA" w:rsidRPr="004F6DAA">
        <w:rPr>
          <w:noProof/>
        </w:rPr>
        <w:t xml:space="preserve"> w</w:t>
      </w:r>
      <w:r w:rsidR="00062BFA">
        <w:rPr>
          <w:noProof/>
        </w:rPr>
        <w:t> </w:t>
      </w:r>
      <w:r w:rsidR="00062BFA" w:rsidRPr="004F6DAA">
        <w:rPr>
          <w:noProof/>
        </w:rPr>
        <w:t>sto</w:t>
      </w:r>
      <w:r w:rsidR="006160E0" w:rsidRPr="004F6DAA">
        <w:rPr>
          <w:noProof/>
        </w:rPr>
        <w:t>sunku do całkowitej ilości odnośnych towarów</w:t>
      </w:r>
      <w:r w:rsidR="00062BFA" w:rsidRPr="004F6DAA">
        <w:rPr>
          <w:noProof/>
        </w:rPr>
        <w:t xml:space="preserve"> i</w:t>
      </w:r>
      <w:r w:rsidR="00062BFA">
        <w:rPr>
          <w:noProof/>
        </w:rPr>
        <w:t> </w:t>
      </w:r>
      <w:r w:rsidR="00062BFA" w:rsidRPr="004F6DAA">
        <w:rPr>
          <w:noProof/>
        </w:rPr>
        <w:t>pro</w:t>
      </w:r>
      <w:r w:rsidR="006160E0" w:rsidRPr="004F6DAA">
        <w:rPr>
          <w:noProof/>
        </w:rPr>
        <w:t>duktów wprowadzonych do obrotu, kraju pochodzenia</w:t>
      </w:r>
      <w:r w:rsidR="00062BFA" w:rsidRPr="004F6DAA">
        <w:rPr>
          <w:noProof/>
        </w:rPr>
        <w:t xml:space="preserve"> i</w:t>
      </w:r>
      <w:r w:rsidR="00062BFA">
        <w:rPr>
          <w:noProof/>
        </w:rPr>
        <w:t> </w:t>
      </w:r>
      <w:r w:rsidR="00062BFA" w:rsidRPr="004F6DAA">
        <w:rPr>
          <w:noProof/>
        </w:rPr>
        <w:t>pro</w:t>
      </w:r>
      <w:r w:rsidR="006160E0" w:rsidRPr="004F6DAA">
        <w:rPr>
          <w:noProof/>
        </w:rPr>
        <w:t>dukcji odnośnych towarów</w:t>
      </w:r>
      <w:r w:rsidR="00062BFA" w:rsidRPr="004F6DAA">
        <w:rPr>
          <w:noProof/>
        </w:rPr>
        <w:t xml:space="preserve"> i</w:t>
      </w:r>
      <w:r w:rsidR="00062BFA">
        <w:rPr>
          <w:noProof/>
        </w:rPr>
        <w:t> </w:t>
      </w:r>
      <w:r w:rsidR="00062BFA" w:rsidRPr="004F6DAA">
        <w:rPr>
          <w:noProof/>
        </w:rPr>
        <w:t>pro</w:t>
      </w:r>
      <w:r w:rsidR="006160E0" w:rsidRPr="004F6DAA">
        <w:rPr>
          <w:noProof/>
        </w:rPr>
        <w:t>duktów, jak również środki podjęte</w:t>
      </w:r>
      <w:r w:rsidR="00062BFA" w:rsidRPr="004F6DAA">
        <w:rPr>
          <w:noProof/>
        </w:rPr>
        <w:t xml:space="preserve"> w</w:t>
      </w:r>
      <w:r w:rsidR="00062BFA">
        <w:rPr>
          <w:noProof/>
        </w:rPr>
        <w:t> </w:t>
      </w:r>
      <w:r w:rsidR="00062BFA" w:rsidRPr="004F6DAA">
        <w:rPr>
          <w:noProof/>
        </w:rPr>
        <w:t>prz</w:t>
      </w:r>
      <w:r w:rsidR="006160E0" w:rsidRPr="004F6DAA">
        <w:rPr>
          <w:noProof/>
        </w:rPr>
        <w:t>ypadku niezgodności</w:t>
      </w:r>
      <w:r w:rsidR="00062BFA" w:rsidRPr="004F6DAA">
        <w:rPr>
          <w:noProof/>
        </w:rPr>
        <w:t xml:space="preserve"> i</w:t>
      </w:r>
      <w:r w:rsidR="00062BFA">
        <w:rPr>
          <w:noProof/>
        </w:rPr>
        <w:t> </w:t>
      </w:r>
      <w:r w:rsidR="00062BFA" w:rsidRPr="004F6DAA">
        <w:rPr>
          <w:noProof/>
        </w:rPr>
        <w:t>odz</w:t>
      </w:r>
      <w:r w:rsidR="006160E0" w:rsidRPr="004F6DAA">
        <w:rPr>
          <w:noProof/>
        </w:rPr>
        <w:t>yskane koszty kontroli.</w:t>
      </w:r>
    </w:p>
    <w:p w14:paraId="577B1352" w14:textId="77777777" w:rsidR="006160E0" w:rsidRPr="004F6DAA" w:rsidRDefault="007B7EB7" w:rsidP="007B7EB7">
      <w:pPr>
        <w:pStyle w:val="ManualNumPar1"/>
        <w:rPr>
          <w:noProof/>
        </w:rPr>
      </w:pPr>
      <w:r w:rsidRPr="007B7EB7">
        <w:t>2.</w:t>
      </w:r>
      <w:r w:rsidRPr="007B7EB7">
        <w:tab/>
      </w:r>
      <w:r w:rsidR="006160E0" w:rsidRPr="004F6DAA">
        <w:rPr>
          <w:noProof/>
        </w:rPr>
        <w:t>Służby Komisji co roku podają do publicznej wiadomości ogólnounijny przegląd stosowania niniejszego rozporządzenia</w:t>
      </w:r>
      <w:r w:rsidR="00062BFA" w:rsidRPr="004F6DAA">
        <w:rPr>
          <w:noProof/>
        </w:rPr>
        <w:t xml:space="preserve"> w</w:t>
      </w:r>
      <w:r w:rsidR="00062BFA">
        <w:rPr>
          <w:noProof/>
        </w:rPr>
        <w:t> </w:t>
      </w:r>
      <w:r w:rsidR="00062BFA" w:rsidRPr="004F6DAA">
        <w:rPr>
          <w:noProof/>
        </w:rPr>
        <w:t>opa</w:t>
      </w:r>
      <w:r w:rsidR="006160E0" w:rsidRPr="004F6DAA">
        <w:rPr>
          <w:noProof/>
        </w:rPr>
        <w:t>rciu</w:t>
      </w:r>
      <w:r w:rsidR="00062BFA" w:rsidRPr="004F6DAA">
        <w:rPr>
          <w:noProof/>
        </w:rPr>
        <w:t xml:space="preserve"> o</w:t>
      </w:r>
      <w:r w:rsidR="00062BFA">
        <w:rPr>
          <w:noProof/>
        </w:rPr>
        <w:t> </w:t>
      </w:r>
      <w:r w:rsidR="00062BFA" w:rsidRPr="004F6DAA">
        <w:rPr>
          <w:noProof/>
        </w:rPr>
        <w:t>dan</w:t>
      </w:r>
      <w:r w:rsidR="006160E0" w:rsidRPr="004F6DAA">
        <w:rPr>
          <w:noProof/>
        </w:rPr>
        <w:t xml:space="preserve">e przekazane przez państwa członkowskie na podstawie </w:t>
      </w:r>
      <w:r w:rsidR="006160E0" w:rsidRPr="00062BFA">
        <w:rPr>
          <w:noProof/>
        </w:rPr>
        <w:t>ust.</w:t>
      </w:r>
      <w:r w:rsidR="00062BFA" w:rsidRPr="00062BFA">
        <w:rPr>
          <w:noProof/>
        </w:rPr>
        <w:t> </w:t>
      </w:r>
      <w:r w:rsidR="006160E0" w:rsidRPr="00062BFA">
        <w:rPr>
          <w:noProof/>
        </w:rPr>
        <w:t>1</w:t>
      </w:r>
      <w:r w:rsidR="006160E0" w:rsidRPr="004F6DAA">
        <w:rPr>
          <w:noProof/>
        </w:rPr>
        <w:t xml:space="preserve">. </w:t>
      </w:r>
    </w:p>
    <w:p w14:paraId="27A11FD6" w14:textId="77777777" w:rsidR="00CE3A2F" w:rsidRPr="004F6DAA" w:rsidRDefault="00F6614D" w:rsidP="00CE3A2F">
      <w:pPr>
        <w:pStyle w:val="Titrearticle"/>
        <w:rPr>
          <w:noProof/>
        </w:rPr>
      </w:pPr>
      <w:r w:rsidRPr="004F6DAA">
        <w:rPr>
          <w:noProof/>
        </w:rPr>
        <w:t>Artykuł 20</w:t>
      </w:r>
    </w:p>
    <w:p w14:paraId="6B4F0F8F" w14:textId="77777777" w:rsidR="00F6614D" w:rsidRPr="004F6DAA" w:rsidRDefault="00F6614D" w:rsidP="00CE3A2F">
      <w:pPr>
        <w:pStyle w:val="Sous-titreobjet"/>
        <w:rPr>
          <w:noProof/>
        </w:rPr>
      </w:pPr>
      <w:r w:rsidRPr="004F6DAA">
        <w:rPr>
          <w:noProof/>
        </w:rPr>
        <w:t>Wzmocniona kontrola</w:t>
      </w:r>
    </w:p>
    <w:p w14:paraId="5314D157" w14:textId="77777777" w:rsidR="00F6614D" w:rsidRPr="004F6DAA" w:rsidRDefault="00F6614D" w:rsidP="00F6614D">
      <w:pPr>
        <w:rPr>
          <w:noProof/>
        </w:rPr>
      </w:pPr>
      <w:r w:rsidRPr="004F6DAA">
        <w:rPr>
          <w:noProof/>
        </w:rPr>
        <w:t>W przypadku gdy odnośne towary lub produkty zostały wyprodukowane</w:t>
      </w:r>
      <w:r w:rsidR="00062BFA" w:rsidRPr="004F6DAA">
        <w:rPr>
          <w:noProof/>
        </w:rPr>
        <w:t xml:space="preserve"> w</w:t>
      </w:r>
      <w:r w:rsidR="00062BFA">
        <w:rPr>
          <w:noProof/>
        </w:rPr>
        <w:t> </w:t>
      </w:r>
      <w:r w:rsidR="00062BFA" w:rsidRPr="004F6DAA">
        <w:rPr>
          <w:noProof/>
        </w:rPr>
        <w:t>pań</w:t>
      </w:r>
      <w:r w:rsidRPr="004F6DAA">
        <w:rPr>
          <w:noProof/>
        </w:rPr>
        <w:t>stwie lub jego części wymienionych</w:t>
      </w:r>
      <w:r w:rsidR="00062BFA" w:rsidRPr="004F6DAA">
        <w:rPr>
          <w:noProof/>
        </w:rPr>
        <w:t xml:space="preserve"> w</w:t>
      </w:r>
      <w:r w:rsidR="00062BFA">
        <w:rPr>
          <w:noProof/>
        </w:rPr>
        <w:t> </w:t>
      </w:r>
      <w:r w:rsidR="00062BFA" w:rsidRPr="004F6DAA">
        <w:rPr>
          <w:noProof/>
        </w:rPr>
        <w:t>wyk</w:t>
      </w:r>
      <w:r w:rsidRPr="004F6DAA">
        <w:rPr>
          <w:noProof/>
        </w:rPr>
        <w:t>azie jako obarczone wysokim ryzykiem zgodnie</w:t>
      </w:r>
      <w:r w:rsidR="00062BFA" w:rsidRPr="004F6DAA">
        <w:rPr>
          <w:noProof/>
        </w:rPr>
        <w:t xml:space="preserve"> z</w:t>
      </w:r>
      <w:r w:rsidR="00062BFA">
        <w:rPr>
          <w:noProof/>
        </w:rPr>
        <w:t> </w:t>
      </w:r>
      <w:r w:rsidR="00062BFA" w:rsidRPr="00062BFA">
        <w:rPr>
          <w:noProof/>
        </w:rPr>
        <w:t>art</w:t>
      </w:r>
      <w:r w:rsidRPr="00062BFA">
        <w:rPr>
          <w:noProof/>
        </w:rPr>
        <w:t>.</w:t>
      </w:r>
      <w:r w:rsidR="00062BFA" w:rsidRPr="00062BFA">
        <w:rPr>
          <w:noProof/>
        </w:rPr>
        <w:t> </w:t>
      </w:r>
      <w:r w:rsidRPr="00062BFA">
        <w:rPr>
          <w:noProof/>
        </w:rPr>
        <w:t>2</w:t>
      </w:r>
      <w:r w:rsidRPr="004F6DAA">
        <w:rPr>
          <w:noProof/>
        </w:rPr>
        <w:t>7 lub istnieje ryzyko, że odnośne towary lub produkty wyprodukowane</w:t>
      </w:r>
      <w:r w:rsidR="00062BFA" w:rsidRPr="004F6DAA">
        <w:rPr>
          <w:noProof/>
        </w:rPr>
        <w:t xml:space="preserve"> w</w:t>
      </w:r>
      <w:r w:rsidR="00062BFA">
        <w:rPr>
          <w:noProof/>
        </w:rPr>
        <w:t> </w:t>
      </w:r>
      <w:r w:rsidR="00062BFA" w:rsidRPr="004F6DAA">
        <w:rPr>
          <w:noProof/>
        </w:rPr>
        <w:t>tak</w:t>
      </w:r>
      <w:r w:rsidRPr="004F6DAA">
        <w:rPr>
          <w:noProof/>
        </w:rPr>
        <w:t>im państwie lub jego części wejdą do danego łańcucha dostaw, każde państwo członkowskie zapewnia, aby coroczne kontrole przeprowadzane przez jego właściwe organy obejmowały co najmniej 1</w:t>
      </w:r>
      <w:r w:rsidRPr="00062BFA">
        <w:rPr>
          <w:noProof/>
        </w:rPr>
        <w:t>5</w:t>
      </w:r>
      <w:r w:rsidR="00062BFA" w:rsidRPr="00062BFA">
        <w:rPr>
          <w:noProof/>
        </w:rPr>
        <w:t> </w:t>
      </w:r>
      <w:r w:rsidRPr="00062BFA">
        <w:rPr>
          <w:noProof/>
        </w:rPr>
        <w:t>%</w:t>
      </w:r>
      <w:r w:rsidRPr="004F6DAA">
        <w:rPr>
          <w:noProof/>
        </w:rPr>
        <w:t xml:space="preserve"> podmiotów wprowadzających do obrotu</w:t>
      </w:r>
      <w:r w:rsidR="00062BFA" w:rsidRPr="004F6DAA">
        <w:rPr>
          <w:noProof/>
        </w:rPr>
        <w:t xml:space="preserve"> w</w:t>
      </w:r>
      <w:r w:rsidR="00062BFA">
        <w:rPr>
          <w:noProof/>
        </w:rPr>
        <w:t> </w:t>
      </w:r>
      <w:r w:rsidR="00062BFA" w:rsidRPr="004F6DAA">
        <w:rPr>
          <w:noProof/>
        </w:rPr>
        <w:t>Uni</w:t>
      </w:r>
      <w:r w:rsidRPr="004F6DAA">
        <w:rPr>
          <w:noProof/>
        </w:rPr>
        <w:t>i, udostępniających na rynku unijnym lub wywożących</w:t>
      </w:r>
      <w:r w:rsidR="00062BFA" w:rsidRPr="004F6DAA">
        <w:rPr>
          <w:noProof/>
        </w:rPr>
        <w:t xml:space="preserve"> z</w:t>
      </w:r>
      <w:r w:rsidR="00062BFA">
        <w:rPr>
          <w:noProof/>
        </w:rPr>
        <w:t> </w:t>
      </w:r>
      <w:r w:rsidR="00062BFA" w:rsidRPr="004F6DAA">
        <w:rPr>
          <w:noProof/>
        </w:rPr>
        <w:t>nie</w:t>
      </w:r>
      <w:r w:rsidRPr="004F6DAA">
        <w:rPr>
          <w:noProof/>
        </w:rPr>
        <w:t>go każdy</w:t>
      </w:r>
      <w:r w:rsidR="00062BFA" w:rsidRPr="004F6DAA">
        <w:rPr>
          <w:noProof/>
        </w:rPr>
        <w:t xml:space="preserve"> z</w:t>
      </w:r>
      <w:r w:rsidR="00062BFA">
        <w:rPr>
          <w:noProof/>
        </w:rPr>
        <w:t> </w:t>
      </w:r>
      <w:r w:rsidR="00062BFA" w:rsidRPr="004F6DAA">
        <w:rPr>
          <w:noProof/>
        </w:rPr>
        <w:t>odn</w:t>
      </w:r>
      <w:r w:rsidRPr="004F6DAA">
        <w:rPr>
          <w:noProof/>
        </w:rPr>
        <w:t>ośnych towarów na ich rynku, jak również 1</w:t>
      </w:r>
      <w:r w:rsidRPr="00062BFA">
        <w:rPr>
          <w:noProof/>
        </w:rPr>
        <w:t>5</w:t>
      </w:r>
      <w:r w:rsidR="00062BFA" w:rsidRPr="00062BFA">
        <w:rPr>
          <w:noProof/>
        </w:rPr>
        <w:t> </w:t>
      </w:r>
      <w:r w:rsidRPr="00062BFA">
        <w:rPr>
          <w:noProof/>
        </w:rPr>
        <w:t>%</w:t>
      </w:r>
      <w:r w:rsidRPr="004F6DAA">
        <w:rPr>
          <w:noProof/>
        </w:rPr>
        <w:t xml:space="preserve"> ilości każdego</w:t>
      </w:r>
      <w:r w:rsidR="00062BFA" w:rsidRPr="004F6DAA">
        <w:rPr>
          <w:noProof/>
        </w:rPr>
        <w:t xml:space="preserve"> z</w:t>
      </w:r>
      <w:r w:rsidR="00062BFA">
        <w:rPr>
          <w:noProof/>
        </w:rPr>
        <w:t> </w:t>
      </w:r>
      <w:r w:rsidR="00062BFA" w:rsidRPr="004F6DAA">
        <w:rPr>
          <w:noProof/>
        </w:rPr>
        <w:t>odn</w:t>
      </w:r>
      <w:r w:rsidRPr="004F6DAA">
        <w:rPr>
          <w:noProof/>
        </w:rPr>
        <w:t>ośnych towarów wprowadzanych do obrotu na ich rynku, udostępnianych na tym rynku lub</w:t>
      </w:r>
      <w:r w:rsidR="00062BFA" w:rsidRPr="004F6DAA">
        <w:rPr>
          <w:noProof/>
        </w:rPr>
        <w:t xml:space="preserve"> z</w:t>
      </w:r>
      <w:r w:rsidR="00062BFA">
        <w:rPr>
          <w:noProof/>
        </w:rPr>
        <w:t> </w:t>
      </w:r>
      <w:r w:rsidR="00062BFA" w:rsidRPr="004F6DAA">
        <w:rPr>
          <w:noProof/>
        </w:rPr>
        <w:t>nie</w:t>
      </w:r>
      <w:r w:rsidRPr="004F6DAA">
        <w:rPr>
          <w:noProof/>
        </w:rPr>
        <w:t>go wywożonych.</w:t>
      </w:r>
    </w:p>
    <w:p w14:paraId="60AFE220" w14:textId="77777777" w:rsidR="00CE3A2F" w:rsidRPr="004F6DAA" w:rsidRDefault="00F6614D" w:rsidP="00F6614D">
      <w:pPr>
        <w:pStyle w:val="Titrearticle"/>
        <w:rPr>
          <w:noProof/>
        </w:rPr>
      </w:pPr>
      <w:r w:rsidRPr="004F6DAA">
        <w:rPr>
          <w:noProof/>
        </w:rPr>
        <w:t>Artykuł 21</w:t>
      </w:r>
    </w:p>
    <w:p w14:paraId="5682D890" w14:textId="77777777" w:rsidR="00F6614D" w:rsidRPr="004F6DAA" w:rsidRDefault="00CE3A2F" w:rsidP="00CE3A2F">
      <w:pPr>
        <w:pStyle w:val="Sous-titreobjet"/>
        <w:rPr>
          <w:noProof/>
        </w:rPr>
      </w:pPr>
      <w:r w:rsidRPr="004F6DAA">
        <w:rPr>
          <w:noProof/>
        </w:rPr>
        <w:t>Środki tymczasowe</w:t>
      </w:r>
    </w:p>
    <w:p w14:paraId="74BAFE93" w14:textId="77777777" w:rsidR="00F6614D" w:rsidRPr="004F6DAA" w:rsidRDefault="00F6614D" w:rsidP="00F6614D">
      <w:pPr>
        <w:rPr>
          <w:noProof/>
        </w:rPr>
      </w:pPr>
      <w:r w:rsidRPr="004F6DAA">
        <w:rPr>
          <w:noProof/>
        </w:rPr>
        <w:t>Jeżeli</w:t>
      </w:r>
      <w:r w:rsidR="00062BFA" w:rsidRPr="004F6DAA">
        <w:rPr>
          <w:noProof/>
        </w:rPr>
        <w:t xml:space="preserve"> w</w:t>
      </w:r>
      <w:r w:rsidR="00062BFA">
        <w:rPr>
          <w:noProof/>
        </w:rPr>
        <w:t> </w:t>
      </w:r>
      <w:r w:rsidR="00062BFA" w:rsidRPr="004F6DAA">
        <w:rPr>
          <w:noProof/>
        </w:rPr>
        <w:t>wyn</w:t>
      </w:r>
      <w:r w:rsidRPr="004F6DAA">
        <w:rPr>
          <w:noProof/>
        </w:rPr>
        <w:t>iku kontroli,</w:t>
      </w:r>
      <w:r w:rsidR="00062BFA" w:rsidRPr="004F6DAA">
        <w:rPr>
          <w:noProof/>
        </w:rPr>
        <w:t xml:space="preserve"> o</w:t>
      </w:r>
      <w:r w:rsidR="00062BFA">
        <w:rPr>
          <w:noProof/>
        </w:rPr>
        <w:t> </w:t>
      </w:r>
      <w:r w:rsidR="00062BFA" w:rsidRPr="004F6DAA">
        <w:rPr>
          <w:noProof/>
        </w:rPr>
        <w:t>któ</w:t>
      </w:r>
      <w:r w:rsidRPr="004F6DAA">
        <w:rPr>
          <w:noProof/>
        </w:rPr>
        <w:t>rych mowa</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1</w:t>
      </w:r>
      <w:r w:rsidRPr="004F6DAA">
        <w:rPr>
          <w:noProof/>
        </w:rPr>
        <w:t>5</w:t>
      </w:r>
      <w:r w:rsidR="00062BFA" w:rsidRPr="004F6DAA">
        <w:rPr>
          <w:noProof/>
        </w:rPr>
        <w:t xml:space="preserve"> i</w:t>
      </w:r>
      <w:r w:rsidR="00062BFA">
        <w:rPr>
          <w:noProof/>
        </w:rPr>
        <w:t> </w:t>
      </w:r>
      <w:r w:rsidR="00062BFA" w:rsidRPr="004F6DAA">
        <w:rPr>
          <w:noProof/>
        </w:rPr>
        <w:t>1</w:t>
      </w:r>
      <w:r w:rsidRPr="004F6DAA">
        <w:rPr>
          <w:noProof/>
        </w:rPr>
        <w:t xml:space="preserve">6, wykryto ewentualne poważne niedociągnięcia lub stwierdzono ryzyko na podstawie </w:t>
      </w:r>
      <w:r w:rsidRPr="00062BFA">
        <w:rPr>
          <w:noProof/>
        </w:rPr>
        <w:t>art.</w:t>
      </w:r>
      <w:r w:rsidR="00062BFA" w:rsidRPr="00062BFA">
        <w:rPr>
          <w:noProof/>
        </w:rPr>
        <w:t> </w:t>
      </w:r>
      <w:r w:rsidRPr="00062BFA">
        <w:rPr>
          <w:noProof/>
        </w:rPr>
        <w:t>1</w:t>
      </w:r>
      <w:r w:rsidRPr="004F6DAA">
        <w:rPr>
          <w:noProof/>
        </w:rPr>
        <w:t xml:space="preserve">4 </w:t>
      </w:r>
      <w:r w:rsidRPr="00062BFA">
        <w:rPr>
          <w:noProof/>
        </w:rPr>
        <w:t>ust.</w:t>
      </w:r>
      <w:r w:rsidR="00062BFA" w:rsidRPr="00062BFA">
        <w:rPr>
          <w:noProof/>
        </w:rPr>
        <w:t> </w:t>
      </w:r>
      <w:r w:rsidRPr="00062BFA">
        <w:rPr>
          <w:noProof/>
        </w:rPr>
        <w:t>6</w:t>
      </w:r>
      <w:r w:rsidRPr="004F6DAA">
        <w:rPr>
          <w:noProof/>
        </w:rPr>
        <w:t>, właściwe organy mogą wprowadzić natychmiastowe środki tymczasowe,</w:t>
      </w:r>
      <w:r w:rsidR="00062BFA" w:rsidRPr="004F6DAA">
        <w:rPr>
          <w:noProof/>
        </w:rPr>
        <w:t xml:space="preserve"> w</w:t>
      </w:r>
      <w:r w:rsidR="00062BFA">
        <w:rPr>
          <w:noProof/>
        </w:rPr>
        <w:t> </w:t>
      </w:r>
      <w:r w:rsidR="00062BFA" w:rsidRPr="004F6DAA">
        <w:rPr>
          <w:noProof/>
        </w:rPr>
        <w:t>tym</w:t>
      </w:r>
      <w:r w:rsidRPr="004F6DAA">
        <w:rPr>
          <w:noProof/>
        </w:rPr>
        <w:t xml:space="preserve"> zająć odnośne towary</w:t>
      </w:r>
      <w:r w:rsidR="00062BFA" w:rsidRPr="004F6DAA">
        <w:rPr>
          <w:noProof/>
        </w:rPr>
        <w:t xml:space="preserve"> i</w:t>
      </w:r>
      <w:r w:rsidR="00062BFA">
        <w:rPr>
          <w:noProof/>
        </w:rPr>
        <w:t> </w:t>
      </w:r>
      <w:r w:rsidR="00062BFA" w:rsidRPr="004F6DAA">
        <w:rPr>
          <w:noProof/>
        </w:rPr>
        <w:t>pro</w:t>
      </w:r>
      <w:r w:rsidRPr="004F6DAA">
        <w:rPr>
          <w:noProof/>
        </w:rPr>
        <w:t>dukty lub zawiesić ich wprowadzanie do obrotu lub udostępnianie na rynku unijnym oraz ich wywóz</w:t>
      </w:r>
      <w:r w:rsidR="00062BFA" w:rsidRPr="004F6DAA">
        <w:rPr>
          <w:noProof/>
        </w:rPr>
        <w:t xml:space="preserve"> z</w:t>
      </w:r>
      <w:r w:rsidR="00062BFA">
        <w:rPr>
          <w:noProof/>
        </w:rPr>
        <w:t> </w:t>
      </w:r>
      <w:r w:rsidR="00062BFA" w:rsidRPr="004F6DAA">
        <w:rPr>
          <w:noProof/>
        </w:rPr>
        <w:t>teg</w:t>
      </w:r>
      <w:r w:rsidRPr="004F6DAA">
        <w:rPr>
          <w:noProof/>
        </w:rPr>
        <w:t>o rynku.</w:t>
      </w:r>
    </w:p>
    <w:p w14:paraId="44C54DAE" w14:textId="77777777" w:rsidR="00CE3A2F" w:rsidRPr="004F6DAA" w:rsidRDefault="00F6614D" w:rsidP="00CE3A2F">
      <w:pPr>
        <w:pStyle w:val="Titrearticle"/>
        <w:ind w:left="360"/>
        <w:rPr>
          <w:noProof/>
        </w:rPr>
      </w:pPr>
      <w:r w:rsidRPr="004F6DAA">
        <w:rPr>
          <w:noProof/>
        </w:rPr>
        <w:t>Artykuł 22</w:t>
      </w:r>
    </w:p>
    <w:p w14:paraId="6041E4D9" w14:textId="77777777" w:rsidR="00F6614D" w:rsidRPr="004F6DAA" w:rsidRDefault="00F6614D" w:rsidP="00CE3A2F">
      <w:pPr>
        <w:pStyle w:val="Sous-titreobjet"/>
        <w:rPr>
          <w:noProof/>
        </w:rPr>
      </w:pPr>
      <w:r w:rsidRPr="004F6DAA">
        <w:rPr>
          <w:noProof/>
        </w:rPr>
        <w:t>Środki nadzoru rynku</w:t>
      </w:r>
    </w:p>
    <w:p w14:paraId="5AF55476" w14:textId="77777777" w:rsidR="00F6614D" w:rsidRPr="004F6DAA" w:rsidRDefault="007B7EB7" w:rsidP="007B7EB7">
      <w:pPr>
        <w:pStyle w:val="ManualNumPar1"/>
        <w:rPr>
          <w:noProof/>
        </w:rPr>
      </w:pPr>
      <w:r w:rsidRPr="007B7EB7">
        <w:t>1.</w:t>
      </w:r>
      <w:r w:rsidRPr="007B7EB7">
        <w:tab/>
      </w:r>
      <w:r w:rsidR="00F6614D" w:rsidRPr="004F6DAA">
        <w:rPr>
          <w:noProof/>
        </w:rPr>
        <w:t xml:space="preserve">Bez uszczerbku dla przepisów </w:t>
      </w:r>
      <w:r w:rsidR="00F6614D" w:rsidRPr="00062BFA">
        <w:rPr>
          <w:noProof/>
        </w:rPr>
        <w:t>art.</w:t>
      </w:r>
      <w:r w:rsidR="00062BFA" w:rsidRPr="00062BFA">
        <w:rPr>
          <w:noProof/>
        </w:rPr>
        <w:t> </w:t>
      </w:r>
      <w:r w:rsidR="00F6614D" w:rsidRPr="00062BFA">
        <w:rPr>
          <w:noProof/>
        </w:rPr>
        <w:t>2</w:t>
      </w:r>
      <w:r w:rsidR="00F6614D" w:rsidRPr="004F6DAA">
        <w:rPr>
          <w:noProof/>
        </w:rPr>
        <w:t>3, jeżeli właściwe organy ustalą, że podmiot lub podmiot handlowy nie wypełnił swoich obowiązków wynikających</w:t>
      </w:r>
      <w:r w:rsidR="00062BFA" w:rsidRPr="004F6DAA">
        <w:rPr>
          <w:noProof/>
        </w:rPr>
        <w:t xml:space="preserve"> z</w:t>
      </w:r>
      <w:r w:rsidR="00062BFA">
        <w:rPr>
          <w:noProof/>
        </w:rPr>
        <w:t> </w:t>
      </w:r>
      <w:r w:rsidR="00062BFA" w:rsidRPr="004F6DAA">
        <w:rPr>
          <w:noProof/>
        </w:rPr>
        <w:t>nin</w:t>
      </w:r>
      <w:r w:rsidR="00F6614D" w:rsidRPr="004F6DAA">
        <w:rPr>
          <w:noProof/>
        </w:rPr>
        <w:t>iejszego rozporządzenia lub że odnośny towar lub produkt nie jest zgodny</w:t>
      </w:r>
      <w:r w:rsidR="00062BFA" w:rsidRPr="004F6DAA">
        <w:rPr>
          <w:noProof/>
        </w:rPr>
        <w:t xml:space="preserve"> z</w:t>
      </w:r>
      <w:r w:rsidR="00062BFA">
        <w:rPr>
          <w:noProof/>
        </w:rPr>
        <w:t> </w:t>
      </w:r>
      <w:r w:rsidR="00062BFA" w:rsidRPr="004F6DAA">
        <w:rPr>
          <w:noProof/>
        </w:rPr>
        <w:t>nin</w:t>
      </w:r>
      <w:r w:rsidR="00F6614D" w:rsidRPr="004F6DAA">
        <w:rPr>
          <w:noProof/>
        </w:rPr>
        <w:t>iejszym rozporządzeniem, niezwłocznie żądają od danego podmiotu lub podmiotu handlowego podjęcia właściwych</w:t>
      </w:r>
      <w:r w:rsidR="00062BFA" w:rsidRPr="004F6DAA">
        <w:rPr>
          <w:noProof/>
        </w:rPr>
        <w:t xml:space="preserve"> i</w:t>
      </w:r>
      <w:r w:rsidR="00062BFA">
        <w:rPr>
          <w:noProof/>
        </w:rPr>
        <w:t> </w:t>
      </w:r>
      <w:r w:rsidR="00062BFA" w:rsidRPr="004F6DAA">
        <w:rPr>
          <w:noProof/>
        </w:rPr>
        <w:t>pro</w:t>
      </w:r>
      <w:r w:rsidR="00F6614D" w:rsidRPr="004F6DAA">
        <w:rPr>
          <w:noProof/>
        </w:rPr>
        <w:t>porcjonalnych działań naprawczych</w:t>
      </w:r>
      <w:r w:rsidR="00062BFA" w:rsidRPr="004F6DAA">
        <w:rPr>
          <w:noProof/>
        </w:rPr>
        <w:t xml:space="preserve"> w</w:t>
      </w:r>
      <w:r w:rsidR="00062BFA">
        <w:rPr>
          <w:noProof/>
        </w:rPr>
        <w:t> </w:t>
      </w:r>
      <w:r w:rsidR="00062BFA" w:rsidRPr="004F6DAA">
        <w:rPr>
          <w:noProof/>
        </w:rPr>
        <w:t>cel</w:t>
      </w:r>
      <w:r w:rsidR="00F6614D" w:rsidRPr="004F6DAA">
        <w:rPr>
          <w:noProof/>
        </w:rPr>
        <w:t>u usunięcia niezgodności.</w:t>
      </w:r>
    </w:p>
    <w:p w14:paraId="10B627D5" w14:textId="77777777" w:rsidR="00F6614D" w:rsidRPr="004F6DAA" w:rsidRDefault="007B7EB7" w:rsidP="007B7EB7">
      <w:pPr>
        <w:pStyle w:val="ManualNumPar1"/>
        <w:rPr>
          <w:noProof/>
        </w:rPr>
      </w:pPr>
      <w:r w:rsidRPr="007B7EB7">
        <w:t>2.</w:t>
      </w:r>
      <w:r w:rsidRPr="007B7EB7">
        <w:tab/>
      </w:r>
      <w:r w:rsidR="00F6614D" w:rsidRPr="004F6DAA">
        <w:rPr>
          <w:noProof/>
        </w:rPr>
        <w:t xml:space="preserve">Do celów </w:t>
      </w:r>
      <w:r w:rsidR="00F6614D" w:rsidRPr="00062BFA">
        <w:rPr>
          <w:noProof/>
        </w:rPr>
        <w:t>ust.</w:t>
      </w:r>
      <w:r w:rsidR="00062BFA" w:rsidRPr="00062BFA">
        <w:rPr>
          <w:noProof/>
        </w:rPr>
        <w:t> </w:t>
      </w:r>
      <w:r w:rsidR="00F6614D" w:rsidRPr="00062BFA">
        <w:rPr>
          <w:noProof/>
        </w:rPr>
        <w:t>1</w:t>
      </w:r>
      <w:r w:rsidR="00F6614D" w:rsidRPr="004F6DAA">
        <w:rPr>
          <w:noProof/>
        </w:rPr>
        <w:t xml:space="preserve"> działania naprawcze, których podjęcia wymaga się od podmiotu lub podmiotu handlowego, obejmują co najmniej jeden</w:t>
      </w:r>
      <w:r w:rsidR="00062BFA" w:rsidRPr="004F6DAA">
        <w:rPr>
          <w:noProof/>
        </w:rPr>
        <w:t xml:space="preserve"> z</w:t>
      </w:r>
      <w:r w:rsidR="00062BFA">
        <w:rPr>
          <w:noProof/>
        </w:rPr>
        <w:t> </w:t>
      </w:r>
      <w:r w:rsidR="00062BFA" w:rsidRPr="004F6DAA">
        <w:rPr>
          <w:noProof/>
        </w:rPr>
        <w:t>nas</w:t>
      </w:r>
      <w:r w:rsidR="00F6614D" w:rsidRPr="004F6DAA">
        <w:rPr>
          <w:noProof/>
        </w:rPr>
        <w:t>tępujących elementów:</w:t>
      </w:r>
    </w:p>
    <w:p w14:paraId="3722DE9C" w14:textId="77777777" w:rsidR="00F6614D" w:rsidRPr="004F6DAA" w:rsidRDefault="00062BFA" w:rsidP="00062BFA">
      <w:pPr>
        <w:pStyle w:val="Point1"/>
        <w:rPr>
          <w:noProof/>
        </w:rPr>
      </w:pPr>
      <w:r w:rsidRPr="00062BFA">
        <w:rPr>
          <w:noProof/>
        </w:rPr>
        <w:t>a)</w:t>
      </w:r>
      <w:r w:rsidRPr="00062BFA">
        <w:rPr>
          <w:noProof/>
        </w:rPr>
        <w:tab/>
      </w:r>
      <w:r w:rsidR="00F6614D" w:rsidRPr="004F6DAA">
        <w:rPr>
          <w:noProof/>
        </w:rPr>
        <w:tab/>
        <w:t>usunięcie wszelkich formalnych niezgodności,</w:t>
      </w:r>
      <w:r w:rsidRPr="004F6DAA">
        <w:rPr>
          <w:noProof/>
        </w:rPr>
        <w:t xml:space="preserve"> w</w:t>
      </w:r>
      <w:r>
        <w:rPr>
          <w:noProof/>
        </w:rPr>
        <w:t> </w:t>
      </w:r>
      <w:r w:rsidRPr="004F6DAA">
        <w:rPr>
          <w:noProof/>
        </w:rPr>
        <w:t>szc</w:t>
      </w:r>
      <w:r w:rsidR="00F6614D" w:rsidRPr="004F6DAA">
        <w:rPr>
          <w:noProof/>
        </w:rPr>
        <w:t>zególności</w:t>
      </w:r>
      <w:r w:rsidRPr="004F6DAA">
        <w:rPr>
          <w:noProof/>
        </w:rPr>
        <w:t xml:space="preserve"> z</w:t>
      </w:r>
      <w:r>
        <w:rPr>
          <w:noProof/>
        </w:rPr>
        <w:t> </w:t>
      </w:r>
      <w:r w:rsidRPr="004F6DAA">
        <w:rPr>
          <w:noProof/>
        </w:rPr>
        <w:t>wym</w:t>
      </w:r>
      <w:r w:rsidR="00F6614D" w:rsidRPr="004F6DAA">
        <w:rPr>
          <w:noProof/>
        </w:rPr>
        <w:t>ogami rozdziału 2 niniejszego rozporządzenia;</w:t>
      </w:r>
    </w:p>
    <w:p w14:paraId="4FC2E468" w14:textId="77777777" w:rsidR="00F6614D" w:rsidRPr="004F6DAA" w:rsidRDefault="00062BFA" w:rsidP="00062BFA">
      <w:pPr>
        <w:pStyle w:val="Point1"/>
        <w:rPr>
          <w:noProof/>
        </w:rPr>
      </w:pPr>
      <w:r w:rsidRPr="00062BFA">
        <w:rPr>
          <w:noProof/>
        </w:rPr>
        <w:t>b)</w:t>
      </w:r>
      <w:r w:rsidRPr="00062BFA">
        <w:rPr>
          <w:noProof/>
        </w:rPr>
        <w:tab/>
      </w:r>
      <w:r w:rsidR="00F6614D" w:rsidRPr="004F6DAA">
        <w:rPr>
          <w:noProof/>
        </w:rPr>
        <w:tab/>
        <w:t>uniemożliwienie wprowadzenia do obrotu na rynku unijnym, udostępnienia na tym rynku lub wywozu</w:t>
      </w:r>
      <w:r w:rsidRPr="004F6DAA">
        <w:rPr>
          <w:noProof/>
        </w:rPr>
        <w:t xml:space="preserve"> z</w:t>
      </w:r>
      <w:r>
        <w:rPr>
          <w:noProof/>
        </w:rPr>
        <w:t> </w:t>
      </w:r>
      <w:r w:rsidRPr="004F6DAA">
        <w:rPr>
          <w:noProof/>
        </w:rPr>
        <w:t>nie</w:t>
      </w:r>
      <w:r w:rsidR="00F6614D" w:rsidRPr="004F6DAA">
        <w:rPr>
          <w:noProof/>
        </w:rPr>
        <w:t>go odnośnego towaru lub produktu;</w:t>
      </w:r>
    </w:p>
    <w:p w14:paraId="02C14C8A" w14:textId="77777777" w:rsidR="00F6614D" w:rsidRPr="004F6DAA" w:rsidRDefault="00062BFA" w:rsidP="00062BFA">
      <w:pPr>
        <w:pStyle w:val="Point1"/>
        <w:rPr>
          <w:noProof/>
        </w:rPr>
      </w:pPr>
      <w:r w:rsidRPr="00062BFA">
        <w:rPr>
          <w:noProof/>
        </w:rPr>
        <w:t>c)</w:t>
      </w:r>
      <w:r w:rsidRPr="00062BFA">
        <w:rPr>
          <w:noProof/>
        </w:rPr>
        <w:tab/>
      </w:r>
      <w:r w:rsidR="00F6614D" w:rsidRPr="004F6DAA">
        <w:rPr>
          <w:noProof/>
        </w:rPr>
        <w:tab/>
        <w:t>natychmiastowe wycofanie lub odzyskanie odnośnego towaru lub produktu;</w:t>
      </w:r>
    </w:p>
    <w:p w14:paraId="4CA20D0B" w14:textId="77777777" w:rsidR="00F6614D" w:rsidRPr="004F6DAA" w:rsidRDefault="00062BFA" w:rsidP="00062BFA">
      <w:pPr>
        <w:pStyle w:val="Point1"/>
        <w:rPr>
          <w:noProof/>
        </w:rPr>
      </w:pPr>
      <w:r w:rsidRPr="00062BFA">
        <w:rPr>
          <w:noProof/>
        </w:rPr>
        <w:t>d)</w:t>
      </w:r>
      <w:r w:rsidRPr="00062BFA">
        <w:rPr>
          <w:noProof/>
        </w:rPr>
        <w:tab/>
      </w:r>
      <w:r w:rsidR="00F6614D" w:rsidRPr="004F6DAA">
        <w:rPr>
          <w:noProof/>
        </w:rPr>
        <w:tab/>
        <w:t>zniszczenie odnośnego towaru lub produktu lub przekazanie go na cele charytatywne lub</w:t>
      </w:r>
      <w:r w:rsidRPr="004F6DAA">
        <w:rPr>
          <w:noProof/>
        </w:rPr>
        <w:t xml:space="preserve"> w</w:t>
      </w:r>
      <w:r>
        <w:rPr>
          <w:noProof/>
        </w:rPr>
        <w:t> </w:t>
      </w:r>
      <w:r w:rsidRPr="004F6DAA">
        <w:rPr>
          <w:noProof/>
        </w:rPr>
        <w:t>int</w:t>
      </w:r>
      <w:r w:rsidR="00F6614D" w:rsidRPr="004F6DAA">
        <w:rPr>
          <w:noProof/>
        </w:rPr>
        <w:t>eresie publicznym.</w:t>
      </w:r>
    </w:p>
    <w:p w14:paraId="7FDB40B4" w14:textId="77777777" w:rsidR="00F6614D" w:rsidRPr="004F6DAA" w:rsidRDefault="007B7EB7" w:rsidP="007B7EB7">
      <w:pPr>
        <w:pStyle w:val="ManualNumPar1"/>
        <w:rPr>
          <w:noProof/>
        </w:rPr>
      </w:pPr>
      <w:r w:rsidRPr="007B7EB7">
        <w:t>3.</w:t>
      </w:r>
      <w:r w:rsidRPr="007B7EB7">
        <w:tab/>
      </w:r>
      <w:r w:rsidR="00F6614D" w:rsidRPr="004F6DAA">
        <w:rPr>
          <w:noProof/>
        </w:rPr>
        <w:t>Jeżeli podmiot lub podmiot handlowy nie podejmie działań naprawczych,</w:t>
      </w:r>
      <w:r w:rsidR="00062BFA" w:rsidRPr="004F6DAA">
        <w:rPr>
          <w:noProof/>
        </w:rPr>
        <w:t xml:space="preserve"> o</w:t>
      </w:r>
      <w:r w:rsidR="00062BFA">
        <w:rPr>
          <w:noProof/>
        </w:rPr>
        <w:t> </w:t>
      </w:r>
      <w:r w:rsidR="00062BFA" w:rsidRPr="004F6DAA">
        <w:rPr>
          <w:noProof/>
        </w:rPr>
        <w:t>któ</w:t>
      </w:r>
      <w:r w:rsidR="00F6614D" w:rsidRPr="004F6DAA">
        <w:rPr>
          <w:noProof/>
        </w:rPr>
        <w:t>rych mowa</w:t>
      </w:r>
      <w:r w:rsidR="00062BFA" w:rsidRPr="004F6DAA">
        <w:rPr>
          <w:noProof/>
        </w:rPr>
        <w:t xml:space="preserve"> w</w:t>
      </w:r>
      <w:r w:rsidR="00062BFA">
        <w:rPr>
          <w:noProof/>
        </w:rPr>
        <w:t> </w:t>
      </w:r>
      <w:r w:rsidR="00062BFA" w:rsidRPr="00062BFA">
        <w:rPr>
          <w:noProof/>
        </w:rPr>
        <w:t>ust</w:t>
      </w:r>
      <w:r w:rsidR="00F6614D" w:rsidRPr="00062BFA">
        <w:rPr>
          <w:noProof/>
        </w:rPr>
        <w:t>.</w:t>
      </w:r>
      <w:r w:rsidR="00062BFA" w:rsidRPr="00062BFA">
        <w:rPr>
          <w:noProof/>
        </w:rPr>
        <w:t> </w:t>
      </w:r>
      <w:r w:rsidR="00F6614D" w:rsidRPr="00062BFA">
        <w:rPr>
          <w:noProof/>
        </w:rPr>
        <w:t>2</w:t>
      </w:r>
      <w:r w:rsidR="00F6614D" w:rsidRPr="004F6DAA">
        <w:rPr>
          <w:noProof/>
        </w:rPr>
        <w:t>, lub gdy niezgodność,</w:t>
      </w:r>
      <w:r w:rsidR="00062BFA" w:rsidRPr="004F6DAA">
        <w:rPr>
          <w:noProof/>
        </w:rPr>
        <w:t xml:space="preserve"> o</w:t>
      </w:r>
      <w:r w:rsidR="00062BFA">
        <w:rPr>
          <w:noProof/>
        </w:rPr>
        <w:t> </w:t>
      </w:r>
      <w:r w:rsidR="00062BFA" w:rsidRPr="004F6DAA">
        <w:rPr>
          <w:noProof/>
        </w:rPr>
        <w:t>któ</w:t>
      </w:r>
      <w:r w:rsidR="00F6614D" w:rsidRPr="004F6DAA">
        <w:rPr>
          <w:noProof/>
        </w:rPr>
        <w:t>rej mowa</w:t>
      </w:r>
      <w:r w:rsidR="00062BFA" w:rsidRPr="004F6DAA">
        <w:rPr>
          <w:noProof/>
        </w:rPr>
        <w:t xml:space="preserve"> w</w:t>
      </w:r>
      <w:r w:rsidR="00062BFA">
        <w:rPr>
          <w:noProof/>
        </w:rPr>
        <w:t> </w:t>
      </w:r>
      <w:r w:rsidR="00062BFA" w:rsidRPr="00062BFA">
        <w:rPr>
          <w:noProof/>
        </w:rPr>
        <w:t>ust</w:t>
      </w:r>
      <w:r w:rsidR="00F6614D" w:rsidRPr="00062BFA">
        <w:rPr>
          <w:noProof/>
        </w:rPr>
        <w:t>.</w:t>
      </w:r>
      <w:r w:rsidR="00062BFA" w:rsidRPr="00062BFA">
        <w:rPr>
          <w:noProof/>
        </w:rPr>
        <w:t> </w:t>
      </w:r>
      <w:r w:rsidR="00F6614D" w:rsidRPr="00062BFA">
        <w:rPr>
          <w:noProof/>
        </w:rPr>
        <w:t>1</w:t>
      </w:r>
      <w:r w:rsidR="00F6614D" w:rsidRPr="004F6DAA">
        <w:rPr>
          <w:noProof/>
        </w:rPr>
        <w:t>, nadal się utrzymuje, właściwe organy zapewniają, aby produkt został wycofany</w:t>
      </w:r>
      <w:r w:rsidR="00062BFA" w:rsidRPr="004F6DAA">
        <w:rPr>
          <w:noProof/>
        </w:rPr>
        <w:t xml:space="preserve"> z</w:t>
      </w:r>
      <w:r w:rsidR="00062BFA">
        <w:rPr>
          <w:noProof/>
        </w:rPr>
        <w:t> </w:t>
      </w:r>
      <w:r w:rsidR="00062BFA" w:rsidRPr="004F6DAA">
        <w:rPr>
          <w:noProof/>
        </w:rPr>
        <w:t>obr</w:t>
      </w:r>
      <w:r w:rsidR="00F6614D" w:rsidRPr="004F6DAA">
        <w:rPr>
          <w:noProof/>
        </w:rPr>
        <w:t>otu lub odzyskany bądź aby udostępnienie go na rynku unijnym lub wywóz</w:t>
      </w:r>
      <w:r w:rsidR="00062BFA" w:rsidRPr="004F6DAA">
        <w:rPr>
          <w:noProof/>
        </w:rPr>
        <w:t xml:space="preserve"> z</w:t>
      </w:r>
      <w:r w:rsidR="00062BFA">
        <w:rPr>
          <w:noProof/>
        </w:rPr>
        <w:t> </w:t>
      </w:r>
      <w:r w:rsidR="00062BFA" w:rsidRPr="004F6DAA">
        <w:rPr>
          <w:noProof/>
        </w:rPr>
        <w:t>teg</w:t>
      </w:r>
      <w:r w:rsidR="00F6614D" w:rsidRPr="004F6DAA">
        <w:rPr>
          <w:noProof/>
        </w:rPr>
        <w:t>o rynku były zakazane lub ograniczone.</w:t>
      </w:r>
    </w:p>
    <w:p w14:paraId="194E24D7" w14:textId="77777777" w:rsidR="00CE3A2F" w:rsidRPr="004F6DAA" w:rsidRDefault="00F6614D" w:rsidP="00CE3A2F">
      <w:pPr>
        <w:pStyle w:val="Titrearticle"/>
        <w:rPr>
          <w:noProof/>
        </w:rPr>
      </w:pPr>
      <w:r w:rsidRPr="004F6DAA">
        <w:rPr>
          <w:noProof/>
        </w:rPr>
        <w:t>Artykuł 23</w:t>
      </w:r>
    </w:p>
    <w:p w14:paraId="65E811DD" w14:textId="77777777" w:rsidR="00F6614D" w:rsidRPr="004F6DAA" w:rsidRDefault="00F6614D" w:rsidP="00CE3A2F">
      <w:pPr>
        <w:pStyle w:val="Sous-titreobjet"/>
        <w:rPr>
          <w:noProof/>
        </w:rPr>
      </w:pPr>
      <w:r w:rsidRPr="004F6DAA">
        <w:rPr>
          <w:noProof/>
        </w:rPr>
        <w:t>Sankcje</w:t>
      </w:r>
    </w:p>
    <w:p w14:paraId="13022940" w14:textId="77777777" w:rsidR="00F6614D" w:rsidRPr="004F6DAA" w:rsidRDefault="007B7EB7" w:rsidP="007B7EB7">
      <w:pPr>
        <w:pStyle w:val="ManualNumPar1"/>
        <w:rPr>
          <w:noProof/>
        </w:rPr>
      </w:pPr>
      <w:r w:rsidRPr="007B7EB7">
        <w:t>1.</w:t>
      </w:r>
      <w:r w:rsidRPr="007B7EB7">
        <w:tab/>
      </w:r>
      <w:r w:rsidR="00F6614D" w:rsidRPr="004F6DAA">
        <w:rPr>
          <w:noProof/>
        </w:rPr>
        <w:t>Państwa członkowskie określają zasady dotyczące sankcji mających zastosowanie</w:t>
      </w:r>
      <w:r w:rsidR="00062BFA" w:rsidRPr="004F6DAA">
        <w:rPr>
          <w:noProof/>
        </w:rPr>
        <w:t xml:space="preserve"> w</w:t>
      </w:r>
      <w:r w:rsidR="00062BFA">
        <w:rPr>
          <w:noProof/>
        </w:rPr>
        <w:t> </w:t>
      </w:r>
      <w:r w:rsidR="00062BFA" w:rsidRPr="004F6DAA">
        <w:rPr>
          <w:noProof/>
        </w:rPr>
        <w:t>prz</w:t>
      </w:r>
      <w:r w:rsidR="00F6614D" w:rsidRPr="004F6DAA">
        <w:rPr>
          <w:noProof/>
        </w:rPr>
        <w:t>ypadku naruszenia przepisów niniejszego rozporządzenia przez podmioty</w:t>
      </w:r>
      <w:r w:rsidR="00062BFA" w:rsidRPr="004F6DAA">
        <w:rPr>
          <w:noProof/>
        </w:rPr>
        <w:t xml:space="preserve"> i</w:t>
      </w:r>
      <w:r w:rsidR="00062BFA">
        <w:rPr>
          <w:noProof/>
        </w:rPr>
        <w:t> </w:t>
      </w:r>
      <w:r w:rsidR="00062BFA" w:rsidRPr="004F6DAA">
        <w:rPr>
          <w:noProof/>
        </w:rPr>
        <w:t>pod</w:t>
      </w:r>
      <w:r w:rsidR="00F6614D" w:rsidRPr="004F6DAA">
        <w:rPr>
          <w:noProof/>
        </w:rPr>
        <w:t>mioty handlowe</w:t>
      </w:r>
      <w:r w:rsidR="00062BFA" w:rsidRPr="004F6DAA">
        <w:rPr>
          <w:noProof/>
        </w:rPr>
        <w:t xml:space="preserve"> i</w:t>
      </w:r>
      <w:r w:rsidR="00062BFA">
        <w:rPr>
          <w:noProof/>
        </w:rPr>
        <w:t> </w:t>
      </w:r>
      <w:r w:rsidR="00062BFA" w:rsidRPr="004F6DAA">
        <w:rPr>
          <w:noProof/>
        </w:rPr>
        <w:t>wpr</w:t>
      </w:r>
      <w:r w:rsidR="00F6614D" w:rsidRPr="004F6DAA">
        <w:rPr>
          <w:noProof/>
        </w:rPr>
        <w:t>owadzają wszelkie środki niezbędne do ich wdrożenia.Państwa członkowskie powiadamiają Komisję</w:t>
      </w:r>
      <w:r w:rsidR="00062BFA" w:rsidRPr="004F6DAA">
        <w:rPr>
          <w:noProof/>
        </w:rPr>
        <w:t xml:space="preserve"> o</w:t>
      </w:r>
      <w:r w:rsidR="00062BFA">
        <w:rPr>
          <w:noProof/>
        </w:rPr>
        <w:t> </w:t>
      </w:r>
      <w:r w:rsidR="00062BFA" w:rsidRPr="004F6DAA">
        <w:rPr>
          <w:noProof/>
        </w:rPr>
        <w:t>tyc</w:t>
      </w:r>
      <w:r w:rsidR="00F6614D" w:rsidRPr="004F6DAA">
        <w:rPr>
          <w:noProof/>
        </w:rPr>
        <w:t>h przepisach</w:t>
      </w:r>
      <w:r w:rsidR="00062BFA" w:rsidRPr="004F6DAA">
        <w:rPr>
          <w:noProof/>
        </w:rPr>
        <w:t xml:space="preserve"> i</w:t>
      </w:r>
      <w:r w:rsidR="00062BFA">
        <w:rPr>
          <w:noProof/>
        </w:rPr>
        <w:t> </w:t>
      </w:r>
      <w:r w:rsidR="00062BFA" w:rsidRPr="004F6DAA">
        <w:rPr>
          <w:noProof/>
        </w:rPr>
        <w:t>prz</w:t>
      </w:r>
      <w:r w:rsidR="00F6614D" w:rsidRPr="004F6DAA">
        <w:rPr>
          <w:noProof/>
        </w:rPr>
        <w:t>ekazują niezwłocznie informacje</w:t>
      </w:r>
      <w:r w:rsidR="00062BFA" w:rsidRPr="004F6DAA">
        <w:rPr>
          <w:noProof/>
        </w:rPr>
        <w:t xml:space="preserve"> o</w:t>
      </w:r>
      <w:r w:rsidR="00062BFA">
        <w:rPr>
          <w:noProof/>
        </w:rPr>
        <w:t> </w:t>
      </w:r>
      <w:r w:rsidR="00062BFA" w:rsidRPr="004F6DAA">
        <w:rPr>
          <w:noProof/>
        </w:rPr>
        <w:t>wsz</w:t>
      </w:r>
      <w:r w:rsidR="00F6614D" w:rsidRPr="004F6DAA">
        <w:rPr>
          <w:noProof/>
        </w:rPr>
        <w:t>elkich późniejszych zmianach dotyczących tych przepisów.</w:t>
      </w:r>
    </w:p>
    <w:p w14:paraId="54F5272F" w14:textId="77777777" w:rsidR="00F6614D" w:rsidRPr="004F6DAA" w:rsidRDefault="007B7EB7" w:rsidP="007B7EB7">
      <w:pPr>
        <w:pStyle w:val="ManualNumPar1"/>
        <w:rPr>
          <w:noProof/>
        </w:rPr>
      </w:pPr>
      <w:r w:rsidRPr="007B7EB7">
        <w:t>2.</w:t>
      </w:r>
      <w:r w:rsidRPr="007B7EB7">
        <w:tab/>
      </w:r>
      <w:r w:rsidR="00F6614D" w:rsidRPr="004F6DAA">
        <w:rPr>
          <w:noProof/>
        </w:rPr>
        <w:t>Przewidziane sankcje muszą być skuteczne, proporcjonalne</w:t>
      </w:r>
      <w:r w:rsidR="00062BFA" w:rsidRPr="004F6DAA">
        <w:rPr>
          <w:noProof/>
        </w:rPr>
        <w:t xml:space="preserve"> i</w:t>
      </w:r>
      <w:r w:rsidR="00062BFA">
        <w:rPr>
          <w:noProof/>
        </w:rPr>
        <w:t> </w:t>
      </w:r>
      <w:r w:rsidR="00062BFA" w:rsidRPr="004F6DAA">
        <w:rPr>
          <w:noProof/>
        </w:rPr>
        <w:t>ods</w:t>
      </w:r>
      <w:r w:rsidR="00F6614D" w:rsidRPr="004F6DAA">
        <w:rPr>
          <w:noProof/>
        </w:rPr>
        <w:t>traszające. Sankcje obejmują co najmniej: </w:t>
      </w:r>
    </w:p>
    <w:p w14:paraId="5BED12FC" w14:textId="77777777" w:rsidR="00F6614D" w:rsidRPr="004F6DAA" w:rsidRDefault="00062BFA" w:rsidP="00062BFA">
      <w:pPr>
        <w:pStyle w:val="Point1"/>
        <w:rPr>
          <w:noProof/>
        </w:rPr>
      </w:pPr>
      <w:r w:rsidRPr="00062BFA">
        <w:rPr>
          <w:noProof/>
        </w:rPr>
        <w:t>a)</w:t>
      </w:r>
      <w:r w:rsidRPr="00062BFA">
        <w:rPr>
          <w:noProof/>
        </w:rPr>
        <w:tab/>
      </w:r>
      <w:r w:rsidR="00F6614D" w:rsidRPr="004F6DAA">
        <w:rPr>
          <w:noProof/>
        </w:rPr>
        <w:t>grzywny proporcjonalne do szkód dla środowiska, do wartości odnośnych towarów lub produktów, których to dotyczy; poziom takich grzywien wylicza się</w:t>
      </w:r>
      <w:r w:rsidRPr="004F6DAA">
        <w:rPr>
          <w:noProof/>
        </w:rPr>
        <w:t xml:space="preserve"> w</w:t>
      </w:r>
      <w:r>
        <w:rPr>
          <w:noProof/>
        </w:rPr>
        <w:t> </w:t>
      </w:r>
      <w:r w:rsidRPr="004F6DAA">
        <w:rPr>
          <w:noProof/>
        </w:rPr>
        <w:t>tak</w:t>
      </w:r>
      <w:r w:rsidR="00F6614D" w:rsidRPr="004F6DAA">
        <w:rPr>
          <w:noProof/>
        </w:rPr>
        <w:t>i sposób, aby skutecznie pozbawiały one podmioty, które są odpowiedzialne za naruszenia, korzyści ekonomicznych uzyskanych</w:t>
      </w:r>
      <w:r w:rsidRPr="004F6DAA">
        <w:rPr>
          <w:noProof/>
        </w:rPr>
        <w:t xml:space="preserve"> w</w:t>
      </w:r>
      <w:r>
        <w:rPr>
          <w:noProof/>
        </w:rPr>
        <w:t> </w:t>
      </w:r>
      <w:r w:rsidRPr="004F6DAA">
        <w:rPr>
          <w:noProof/>
        </w:rPr>
        <w:t>wyn</w:t>
      </w:r>
      <w:r w:rsidR="00F6614D" w:rsidRPr="004F6DAA">
        <w:rPr>
          <w:noProof/>
        </w:rPr>
        <w:t>iku dopuszczenia się przez nich naruszeń, oraz stopniowo zwiększa się poziom takich grzywien</w:t>
      </w:r>
      <w:r w:rsidRPr="004F6DAA">
        <w:rPr>
          <w:noProof/>
        </w:rPr>
        <w:t xml:space="preserve"> w</w:t>
      </w:r>
      <w:r>
        <w:rPr>
          <w:noProof/>
        </w:rPr>
        <w:t> </w:t>
      </w:r>
      <w:r w:rsidRPr="004F6DAA">
        <w:rPr>
          <w:noProof/>
        </w:rPr>
        <w:t>prz</w:t>
      </w:r>
      <w:r w:rsidR="00F6614D" w:rsidRPr="004F6DAA">
        <w:rPr>
          <w:noProof/>
        </w:rPr>
        <w:t xml:space="preserve">ypadku ponownego naruszenia; maksymalna wysokość takich grzywien wynosi co najmniej </w:t>
      </w:r>
      <w:r w:rsidR="00F6614D" w:rsidRPr="00062BFA">
        <w:rPr>
          <w:noProof/>
        </w:rPr>
        <w:t>4</w:t>
      </w:r>
      <w:r w:rsidRPr="00062BFA">
        <w:rPr>
          <w:noProof/>
        </w:rPr>
        <w:t> </w:t>
      </w:r>
      <w:r w:rsidR="00F6614D" w:rsidRPr="00062BFA">
        <w:rPr>
          <w:noProof/>
        </w:rPr>
        <w:t>%</w:t>
      </w:r>
      <w:r w:rsidR="00F6614D" w:rsidRPr="004F6DAA">
        <w:rPr>
          <w:noProof/>
        </w:rPr>
        <w:t xml:space="preserve"> rocznego obrotu podmiotu lub podmiotu handlowego</w:t>
      </w:r>
      <w:r w:rsidRPr="004F6DAA">
        <w:rPr>
          <w:noProof/>
        </w:rPr>
        <w:t xml:space="preserve"> w</w:t>
      </w:r>
      <w:r>
        <w:rPr>
          <w:noProof/>
        </w:rPr>
        <w:t> </w:t>
      </w:r>
      <w:r w:rsidRPr="004F6DAA">
        <w:rPr>
          <w:noProof/>
        </w:rPr>
        <w:t>dan</w:t>
      </w:r>
      <w:r w:rsidR="00F6614D" w:rsidRPr="004F6DAA">
        <w:rPr>
          <w:noProof/>
        </w:rPr>
        <w:t>ym państwie członkowskim lub</w:t>
      </w:r>
      <w:r w:rsidRPr="004F6DAA">
        <w:rPr>
          <w:noProof/>
        </w:rPr>
        <w:t xml:space="preserve"> w</w:t>
      </w:r>
      <w:r>
        <w:rPr>
          <w:noProof/>
        </w:rPr>
        <w:t> </w:t>
      </w:r>
      <w:r w:rsidRPr="004F6DAA">
        <w:rPr>
          <w:noProof/>
        </w:rPr>
        <w:t>dan</w:t>
      </w:r>
      <w:r w:rsidR="00F6614D" w:rsidRPr="004F6DAA">
        <w:rPr>
          <w:noProof/>
        </w:rPr>
        <w:t>ych państwach członkowskich; </w:t>
      </w:r>
    </w:p>
    <w:p w14:paraId="30FE3061" w14:textId="77777777" w:rsidR="00F6614D" w:rsidRPr="004F6DAA" w:rsidRDefault="00062BFA" w:rsidP="00062BFA">
      <w:pPr>
        <w:pStyle w:val="Point1"/>
        <w:rPr>
          <w:noProof/>
        </w:rPr>
      </w:pPr>
      <w:r w:rsidRPr="00062BFA">
        <w:rPr>
          <w:noProof/>
        </w:rPr>
        <w:t>b)</w:t>
      </w:r>
      <w:r w:rsidRPr="00062BFA">
        <w:rPr>
          <w:noProof/>
        </w:rPr>
        <w:tab/>
      </w:r>
      <w:r w:rsidR="00F6614D" w:rsidRPr="004F6DAA">
        <w:rPr>
          <w:noProof/>
        </w:rPr>
        <w:t>konfiskatę odnośnych towarów</w:t>
      </w:r>
      <w:r w:rsidRPr="004F6DAA">
        <w:rPr>
          <w:noProof/>
        </w:rPr>
        <w:t xml:space="preserve"> i</w:t>
      </w:r>
      <w:r>
        <w:rPr>
          <w:noProof/>
        </w:rPr>
        <w:t> </w:t>
      </w:r>
      <w:r w:rsidRPr="004F6DAA">
        <w:rPr>
          <w:noProof/>
        </w:rPr>
        <w:t>pro</w:t>
      </w:r>
      <w:r w:rsidR="00F6614D" w:rsidRPr="004F6DAA">
        <w:rPr>
          <w:noProof/>
        </w:rPr>
        <w:t>duktów od podmiotu lub podmiotu handlowego;</w:t>
      </w:r>
    </w:p>
    <w:p w14:paraId="2292C31F" w14:textId="77777777" w:rsidR="00F6614D" w:rsidRPr="004F6DAA" w:rsidRDefault="00062BFA" w:rsidP="00062BFA">
      <w:pPr>
        <w:pStyle w:val="Point1"/>
        <w:rPr>
          <w:noProof/>
        </w:rPr>
      </w:pPr>
      <w:r w:rsidRPr="00062BFA">
        <w:rPr>
          <w:noProof/>
        </w:rPr>
        <w:t>c)</w:t>
      </w:r>
      <w:r w:rsidRPr="00062BFA">
        <w:rPr>
          <w:noProof/>
        </w:rPr>
        <w:tab/>
      </w:r>
      <w:r w:rsidR="00F6614D" w:rsidRPr="004F6DAA">
        <w:rPr>
          <w:noProof/>
        </w:rPr>
        <w:t>konfiskatę dochodów uzyskanych przez podmiot lub podmiot handlowy</w:t>
      </w:r>
      <w:r w:rsidRPr="004F6DAA">
        <w:rPr>
          <w:noProof/>
        </w:rPr>
        <w:t xml:space="preserve"> z</w:t>
      </w:r>
      <w:r>
        <w:rPr>
          <w:noProof/>
        </w:rPr>
        <w:t> </w:t>
      </w:r>
      <w:r w:rsidRPr="004F6DAA">
        <w:rPr>
          <w:noProof/>
        </w:rPr>
        <w:t>tra</w:t>
      </w:r>
      <w:r w:rsidR="00F6614D" w:rsidRPr="004F6DAA">
        <w:rPr>
          <w:noProof/>
        </w:rPr>
        <w:t>nsakcji obejmujących odnośne towary</w:t>
      </w:r>
      <w:r w:rsidRPr="004F6DAA">
        <w:rPr>
          <w:noProof/>
        </w:rPr>
        <w:t xml:space="preserve"> i</w:t>
      </w:r>
      <w:r>
        <w:rPr>
          <w:noProof/>
        </w:rPr>
        <w:t> </w:t>
      </w:r>
      <w:r w:rsidRPr="004F6DAA">
        <w:rPr>
          <w:noProof/>
        </w:rPr>
        <w:t>pro</w:t>
      </w:r>
      <w:r w:rsidR="00F6614D" w:rsidRPr="004F6DAA">
        <w:rPr>
          <w:noProof/>
        </w:rPr>
        <w:t>dukty;</w:t>
      </w:r>
    </w:p>
    <w:p w14:paraId="7354337B" w14:textId="77777777" w:rsidR="00F6614D" w:rsidRPr="004F6DAA" w:rsidRDefault="00062BFA" w:rsidP="00062BFA">
      <w:pPr>
        <w:pStyle w:val="Point1"/>
        <w:rPr>
          <w:noProof/>
        </w:rPr>
      </w:pPr>
      <w:r w:rsidRPr="00062BFA">
        <w:rPr>
          <w:noProof/>
        </w:rPr>
        <w:t>d)</w:t>
      </w:r>
      <w:r w:rsidRPr="00062BFA">
        <w:rPr>
          <w:noProof/>
        </w:rPr>
        <w:tab/>
      </w:r>
      <w:r w:rsidR="00F6614D" w:rsidRPr="004F6DAA">
        <w:rPr>
          <w:noProof/>
        </w:rPr>
        <w:t>czasowe wykluczenie</w:t>
      </w:r>
      <w:r w:rsidRPr="004F6DAA">
        <w:rPr>
          <w:noProof/>
        </w:rPr>
        <w:t xml:space="preserve"> z</w:t>
      </w:r>
      <w:r>
        <w:rPr>
          <w:noProof/>
        </w:rPr>
        <w:t> </w:t>
      </w:r>
      <w:r w:rsidRPr="004F6DAA">
        <w:rPr>
          <w:noProof/>
        </w:rPr>
        <w:t>pro</w:t>
      </w:r>
      <w:r w:rsidR="00F6614D" w:rsidRPr="004F6DAA">
        <w:rPr>
          <w:noProof/>
        </w:rPr>
        <w:t>cedur udzielania zamówień.</w:t>
      </w:r>
    </w:p>
    <w:p w14:paraId="0047F0DF" w14:textId="77777777" w:rsidR="00F6614D" w:rsidRPr="004F6DAA" w:rsidRDefault="00F6614D" w:rsidP="00B37B40">
      <w:pPr>
        <w:rPr>
          <w:noProof/>
        </w:rPr>
      </w:pPr>
    </w:p>
    <w:p w14:paraId="62F03FCD" w14:textId="77777777" w:rsidR="00201A50" w:rsidRPr="004F6DAA" w:rsidRDefault="00F6614D" w:rsidP="00F6614D">
      <w:pPr>
        <w:pStyle w:val="ChapterTitle"/>
        <w:rPr>
          <w:noProof/>
        </w:rPr>
      </w:pPr>
      <w:r w:rsidRPr="004F6DAA">
        <w:rPr>
          <w:noProof/>
        </w:rPr>
        <w:t>Rozdział 4</w:t>
      </w:r>
    </w:p>
    <w:p w14:paraId="35CC7C6F" w14:textId="77777777" w:rsidR="00F6614D" w:rsidRPr="004F6DAA" w:rsidRDefault="00F6614D" w:rsidP="0060735C">
      <w:pPr>
        <w:pStyle w:val="ChapterTitle"/>
        <w:rPr>
          <w:i/>
          <w:noProof/>
        </w:rPr>
      </w:pPr>
      <w:r w:rsidRPr="004F6DAA">
        <w:rPr>
          <w:noProof/>
        </w:rPr>
        <w:t>Procedury dotyczące odnośnych towarów</w:t>
      </w:r>
      <w:r w:rsidR="00062BFA" w:rsidRPr="004F6DAA">
        <w:rPr>
          <w:noProof/>
        </w:rPr>
        <w:t xml:space="preserve"> i</w:t>
      </w:r>
      <w:r w:rsidR="00062BFA">
        <w:rPr>
          <w:noProof/>
        </w:rPr>
        <w:t> </w:t>
      </w:r>
      <w:r w:rsidR="00062BFA" w:rsidRPr="004F6DAA">
        <w:rPr>
          <w:noProof/>
        </w:rPr>
        <w:t>pro</w:t>
      </w:r>
      <w:r w:rsidRPr="004F6DAA">
        <w:rPr>
          <w:noProof/>
        </w:rPr>
        <w:t>duktów wprowadzanych na rynek unijny lub</w:t>
      </w:r>
      <w:r w:rsidR="00062BFA" w:rsidRPr="004F6DAA">
        <w:rPr>
          <w:noProof/>
        </w:rPr>
        <w:t xml:space="preserve"> z</w:t>
      </w:r>
      <w:r w:rsidR="00062BFA">
        <w:rPr>
          <w:noProof/>
        </w:rPr>
        <w:t> </w:t>
      </w:r>
      <w:r w:rsidR="00062BFA" w:rsidRPr="004F6DAA">
        <w:rPr>
          <w:noProof/>
        </w:rPr>
        <w:t>nie</w:t>
      </w:r>
      <w:r w:rsidRPr="004F6DAA">
        <w:rPr>
          <w:noProof/>
        </w:rPr>
        <w:t xml:space="preserve">go wyprowadzanych </w:t>
      </w:r>
    </w:p>
    <w:p w14:paraId="00CE71D7" w14:textId="77777777" w:rsidR="0060735C" w:rsidRPr="004F6DAA" w:rsidRDefault="00F6614D" w:rsidP="0060735C">
      <w:pPr>
        <w:pStyle w:val="Titrearticle"/>
        <w:rPr>
          <w:noProof/>
        </w:rPr>
      </w:pPr>
      <w:r w:rsidRPr="004F6DAA">
        <w:rPr>
          <w:noProof/>
        </w:rPr>
        <w:t>Artykuł 24</w:t>
      </w:r>
    </w:p>
    <w:p w14:paraId="0AF1EB79" w14:textId="77777777" w:rsidR="00F6614D" w:rsidRPr="004F6DAA" w:rsidRDefault="00F6614D" w:rsidP="0060735C">
      <w:pPr>
        <w:pStyle w:val="Sous-titreobjet"/>
        <w:rPr>
          <w:noProof/>
        </w:rPr>
      </w:pPr>
      <w:r w:rsidRPr="004F6DAA">
        <w:rPr>
          <w:noProof/>
        </w:rPr>
        <w:t>Kontrole</w:t>
      </w:r>
    </w:p>
    <w:p w14:paraId="7DE3346E" w14:textId="77777777" w:rsidR="00F6614D" w:rsidRPr="004F6DAA" w:rsidRDefault="007B7EB7" w:rsidP="007B7EB7">
      <w:pPr>
        <w:pStyle w:val="ManualNumPar1"/>
        <w:rPr>
          <w:noProof/>
        </w:rPr>
      </w:pPr>
      <w:r w:rsidRPr="007B7EB7">
        <w:t>1.</w:t>
      </w:r>
      <w:r w:rsidRPr="007B7EB7">
        <w:tab/>
      </w:r>
      <w:r w:rsidR="00F6614D" w:rsidRPr="004F6DAA">
        <w:rPr>
          <w:noProof/>
        </w:rPr>
        <w:t>Odnośne towary</w:t>
      </w:r>
      <w:r w:rsidR="00062BFA" w:rsidRPr="004F6DAA">
        <w:rPr>
          <w:noProof/>
        </w:rPr>
        <w:t xml:space="preserve"> i</w:t>
      </w:r>
      <w:r w:rsidR="00062BFA">
        <w:rPr>
          <w:noProof/>
        </w:rPr>
        <w:t> </w:t>
      </w:r>
      <w:r w:rsidR="00062BFA" w:rsidRPr="004F6DAA">
        <w:rPr>
          <w:noProof/>
        </w:rPr>
        <w:t>pro</w:t>
      </w:r>
      <w:r w:rsidR="00F6614D" w:rsidRPr="004F6DAA">
        <w:rPr>
          <w:noProof/>
        </w:rPr>
        <w:t>dukty objęte procedurą celną „dopuszczenia do obrotu” lub „wywozu” podlegają kontrolom</w:t>
      </w:r>
      <w:r w:rsidR="00062BFA" w:rsidRPr="004F6DAA">
        <w:rPr>
          <w:noProof/>
        </w:rPr>
        <w:t xml:space="preserve"> i</w:t>
      </w:r>
      <w:r w:rsidR="00062BFA">
        <w:rPr>
          <w:noProof/>
        </w:rPr>
        <w:t> </w:t>
      </w:r>
      <w:r w:rsidR="00062BFA" w:rsidRPr="004F6DAA">
        <w:rPr>
          <w:noProof/>
        </w:rPr>
        <w:t>śro</w:t>
      </w:r>
      <w:r w:rsidR="00F6614D" w:rsidRPr="004F6DAA">
        <w:rPr>
          <w:noProof/>
        </w:rPr>
        <w:t>dkom ustanowionym</w:t>
      </w:r>
      <w:r w:rsidR="00062BFA" w:rsidRPr="004F6DAA">
        <w:rPr>
          <w:noProof/>
        </w:rPr>
        <w:t xml:space="preserve"> w</w:t>
      </w:r>
      <w:r w:rsidR="00062BFA">
        <w:rPr>
          <w:noProof/>
        </w:rPr>
        <w:t> </w:t>
      </w:r>
      <w:r w:rsidR="00062BFA" w:rsidRPr="004F6DAA">
        <w:rPr>
          <w:noProof/>
        </w:rPr>
        <w:t>nin</w:t>
      </w:r>
      <w:r w:rsidR="00F6614D" w:rsidRPr="004F6DAA">
        <w:rPr>
          <w:noProof/>
        </w:rPr>
        <w:t>iejszym rozdziale. Stosowanie niniejszego rozdziału nie narusza żadnych innych przepisów niniejszego rozporządzenia ani innych przepisów Unii regulujących dopuszczenie towarów do obrotu lub ich wywóz,</w:t>
      </w:r>
      <w:r w:rsidR="00062BFA" w:rsidRPr="004F6DAA">
        <w:rPr>
          <w:noProof/>
        </w:rPr>
        <w:t xml:space="preserve"> w</w:t>
      </w:r>
      <w:r w:rsidR="00062BFA">
        <w:rPr>
          <w:noProof/>
        </w:rPr>
        <w:t> </w:t>
      </w:r>
      <w:r w:rsidR="00062BFA" w:rsidRPr="004F6DAA">
        <w:rPr>
          <w:noProof/>
        </w:rPr>
        <w:t>szc</w:t>
      </w:r>
      <w:r w:rsidR="00F6614D" w:rsidRPr="004F6DAA">
        <w:rPr>
          <w:noProof/>
        </w:rPr>
        <w:t>zególności unijnego kodeksu celnego</w:t>
      </w:r>
      <w:r w:rsidR="00062BFA" w:rsidRPr="004F6DAA">
        <w:rPr>
          <w:noProof/>
        </w:rPr>
        <w:t xml:space="preserve"> i</w:t>
      </w:r>
      <w:r w:rsidR="00062BFA">
        <w:rPr>
          <w:noProof/>
        </w:rPr>
        <w:t> </w:t>
      </w:r>
      <w:r w:rsidR="00062BFA" w:rsidRPr="004F6DAA">
        <w:rPr>
          <w:noProof/>
        </w:rPr>
        <w:t>jeg</w:t>
      </w:r>
      <w:r w:rsidR="00F6614D" w:rsidRPr="004F6DAA">
        <w:rPr>
          <w:noProof/>
        </w:rPr>
        <w:t xml:space="preserve">o </w:t>
      </w:r>
      <w:r w:rsidR="00F6614D" w:rsidRPr="00062BFA">
        <w:rPr>
          <w:noProof/>
        </w:rPr>
        <w:t>art.</w:t>
      </w:r>
      <w:r w:rsidR="00062BFA" w:rsidRPr="00062BFA">
        <w:rPr>
          <w:noProof/>
        </w:rPr>
        <w:t> </w:t>
      </w:r>
      <w:r w:rsidR="00F6614D" w:rsidRPr="00062BFA">
        <w:rPr>
          <w:noProof/>
        </w:rPr>
        <w:t>4</w:t>
      </w:r>
      <w:r w:rsidR="00F6614D" w:rsidRPr="004F6DAA">
        <w:rPr>
          <w:noProof/>
        </w:rPr>
        <w:t>6, 47, 134</w:t>
      </w:r>
      <w:r w:rsidR="00062BFA" w:rsidRPr="004F6DAA">
        <w:rPr>
          <w:noProof/>
        </w:rPr>
        <w:t xml:space="preserve"> i</w:t>
      </w:r>
      <w:r w:rsidR="00062BFA">
        <w:rPr>
          <w:noProof/>
        </w:rPr>
        <w:t> </w:t>
      </w:r>
      <w:r w:rsidR="00062BFA" w:rsidRPr="004F6DAA">
        <w:rPr>
          <w:noProof/>
        </w:rPr>
        <w:t>2</w:t>
      </w:r>
      <w:r w:rsidR="00F6614D" w:rsidRPr="004F6DAA">
        <w:rPr>
          <w:noProof/>
        </w:rPr>
        <w:t>67. Rozdział VII rozporządzenia (UE) 2019/1020 Parlamentu Europejskiego</w:t>
      </w:r>
      <w:r w:rsidR="00062BFA" w:rsidRPr="004F6DAA">
        <w:rPr>
          <w:noProof/>
        </w:rPr>
        <w:t xml:space="preserve"> i</w:t>
      </w:r>
      <w:r w:rsidR="00062BFA">
        <w:rPr>
          <w:noProof/>
        </w:rPr>
        <w:t> </w:t>
      </w:r>
      <w:r w:rsidR="00062BFA" w:rsidRPr="004F6DAA">
        <w:rPr>
          <w:noProof/>
        </w:rPr>
        <w:t>Rad</w:t>
      </w:r>
      <w:r w:rsidR="00F6614D" w:rsidRPr="004F6DAA">
        <w:rPr>
          <w:noProof/>
        </w:rPr>
        <w:t>y</w:t>
      </w:r>
      <w:r w:rsidR="00F6614D" w:rsidRPr="004F6DAA">
        <w:rPr>
          <w:rStyle w:val="Odwoanieprzypisudolnego"/>
          <w:noProof/>
          <w:szCs w:val="24"/>
        </w:rPr>
        <w:footnoteReference w:id="50"/>
      </w:r>
      <w:r w:rsidR="00F6614D" w:rsidRPr="004F6DAA">
        <w:rPr>
          <w:noProof/>
        </w:rPr>
        <w:t xml:space="preserve"> nie ma jednak zastosowania do kontroli odnośnych towarów</w:t>
      </w:r>
      <w:r w:rsidR="00062BFA" w:rsidRPr="004F6DAA">
        <w:rPr>
          <w:noProof/>
        </w:rPr>
        <w:t xml:space="preserve"> i</w:t>
      </w:r>
      <w:r w:rsidR="00062BFA">
        <w:rPr>
          <w:noProof/>
        </w:rPr>
        <w:t> </w:t>
      </w:r>
      <w:r w:rsidR="00062BFA" w:rsidRPr="004F6DAA">
        <w:rPr>
          <w:noProof/>
        </w:rPr>
        <w:t>pro</w:t>
      </w:r>
      <w:r w:rsidR="00F6614D" w:rsidRPr="004F6DAA">
        <w:rPr>
          <w:noProof/>
        </w:rPr>
        <w:t>duktów wprowadzanych na rynek unijny</w:t>
      </w:r>
      <w:r w:rsidR="00062BFA" w:rsidRPr="004F6DAA">
        <w:rPr>
          <w:noProof/>
        </w:rPr>
        <w:t xml:space="preserve"> w</w:t>
      </w:r>
      <w:r w:rsidR="00062BFA">
        <w:rPr>
          <w:noProof/>
        </w:rPr>
        <w:t> </w:t>
      </w:r>
      <w:r w:rsidR="00062BFA" w:rsidRPr="004F6DAA">
        <w:rPr>
          <w:noProof/>
        </w:rPr>
        <w:t>zak</w:t>
      </w:r>
      <w:r w:rsidR="00F6614D" w:rsidRPr="004F6DAA">
        <w:rPr>
          <w:noProof/>
        </w:rPr>
        <w:t>resie dotyczącym stosowania</w:t>
      </w:r>
      <w:r w:rsidR="00062BFA" w:rsidRPr="004F6DAA">
        <w:rPr>
          <w:noProof/>
        </w:rPr>
        <w:t xml:space="preserve"> i</w:t>
      </w:r>
      <w:r w:rsidR="00062BFA">
        <w:rPr>
          <w:noProof/>
        </w:rPr>
        <w:t> </w:t>
      </w:r>
      <w:r w:rsidR="00062BFA" w:rsidRPr="004F6DAA">
        <w:rPr>
          <w:noProof/>
        </w:rPr>
        <w:t>egz</w:t>
      </w:r>
      <w:r w:rsidR="00F6614D" w:rsidRPr="004F6DAA">
        <w:rPr>
          <w:noProof/>
        </w:rPr>
        <w:t xml:space="preserve">ekwowania niniejszego rozporządzenia. </w:t>
      </w:r>
    </w:p>
    <w:p w14:paraId="105F6380" w14:textId="77777777" w:rsidR="00F6614D" w:rsidRPr="004F6DAA" w:rsidRDefault="007B7EB7" w:rsidP="007B7EB7">
      <w:pPr>
        <w:pStyle w:val="ManualNumPar1"/>
        <w:rPr>
          <w:noProof/>
        </w:rPr>
      </w:pPr>
      <w:r w:rsidRPr="007B7EB7">
        <w:t>2.</w:t>
      </w:r>
      <w:r w:rsidRPr="007B7EB7">
        <w:tab/>
      </w:r>
      <w:r w:rsidR="00F6614D" w:rsidRPr="004F6DAA">
        <w:rPr>
          <w:noProof/>
        </w:rPr>
        <w:t>Właściwe organy są odpowiedzialne za ogólne egzekwowanie przepisów niniejszego rozporządzenia</w:t>
      </w:r>
      <w:r w:rsidR="00062BFA" w:rsidRPr="004F6DAA">
        <w:rPr>
          <w:noProof/>
        </w:rPr>
        <w:t xml:space="preserve"> w</w:t>
      </w:r>
      <w:r w:rsidR="00062BFA">
        <w:rPr>
          <w:noProof/>
        </w:rPr>
        <w:t> </w:t>
      </w:r>
      <w:r w:rsidR="00062BFA" w:rsidRPr="004F6DAA">
        <w:rPr>
          <w:noProof/>
        </w:rPr>
        <w:t>odn</w:t>
      </w:r>
      <w:r w:rsidR="00F6614D" w:rsidRPr="004F6DAA">
        <w:rPr>
          <w:noProof/>
        </w:rPr>
        <w:t>iesieniu do odnośnych towarów</w:t>
      </w:r>
      <w:r w:rsidR="00062BFA" w:rsidRPr="004F6DAA">
        <w:rPr>
          <w:noProof/>
        </w:rPr>
        <w:t xml:space="preserve"> i</w:t>
      </w:r>
      <w:r w:rsidR="00062BFA">
        <w:rPr>
          <w:noProof/>
        </w:rPr>
        <w:t> </w:t>
      </w:r>
      <w:r w:rsidR="00062BFA" w:rsidRPr="004F6DAA">
        <w:rPr>
          <w:noProof/>
        </w:rPr>
        <w:t>pro</w:t>
      </w:r>
      <w:r w:rsidR="00F6614D" w:rsidRPr="004F6DAA">
        <w:rPr>
          <w:noProof/>
        </w:rPr>
        <w:t>duktów wprowadzanych na rynek unijny lub</w:t>
      </w:r>
      <w:r w:rsidR="00062BFA" w:rsidRPr="004F6DAA">
        <w:rPr>
          <w:noProof/>
        </w:rPr>
        <w:t xml:space="preserve"> z</w:t>
      </w:r>
      <w:r w:rsidR="00062BFA">
        <w:rPr>
          <w:noProof/>
        </w:rPr>
        <w:t> </w:t>
      </w:r>
      <w:r w:rsidR="00062BFA" w:rsidRPr="004F6DAA">
        <w:rPr>
          <w:noProof/>
        </w:rPr>
        <w:t>nie</w:t>
      </w:r>
      <w:r w:rsidR="00F6614D" w:rsidRPr="004F6DAA">
        <w:rPr>
          <w:noProof/>
        </w:rPr>
        <w:t>go wyprowadzanych</w:t>
      </w:r>
      <w:r w:rsidR="00062BFA" w:rsidRPr="004F6DAA">
        <w:rPr>
          <w:noProof/>
        </w:rPr>
        <w:t>. W</w:t>
      </w:r>
      <w:r w:rsidR="00062BFA">
        <w:rPr>
          <w:noProof/>
        </w:rPr>
        <w:t> </w:t>
      </w:r>
      <w:r w:rsidR="00062BFA" w:rsidRPr="004F6DAA">
        <w:rPr>
          <w:noProof/>
        </w:rPr>
        <w:t>szc</w:t>
      </w:r>
      <w:r w:rsidR="00F6614D" w:rsidRPr="004F6DAA">
        <w:rPr>
          <w:noProof/>
        </w:rPr>
        <w:t>zególności właściwe organy są odpowiedzialne za ustalenie,</w:t>
      </w:r>
      <w:r w:rsidR="00062BFA" w:rsidRPr="004F6DAA">
        <w:rPr>
          <w:noProof/>
        </w:rPr>
        <w:t xml:space="preserve"> w</w:t>
      </w:r>
      <w:r w:rsidR="00062BFA">
        <w:rPr>
          <w:noProof/>
        </w:rPr>
        <w:t> </w:t>
      </w:r>
      <w:r w:rsidR="00062BFA" w:rsidRPr="004F6DAA">
        <w:rPr>
          <w:noProof/>
        </w:rPr>
        <w:t>dro</w:t>
      </w:r>
      <w:r w:rsidR="00F6614D" w:rsidRPr="004F6DAA">
        <w:rPr>
          <w:noProof/>
        </w:rPr>
        <w:t xml:space="preserve">dze kontroli na podstawie </w:t>
      </w:r>
      <w:r w:rsidR="00F6614D" w:rsidRPr="00062BFA">
        <w:rPr>
          <w:noProof/>
        </w:rPr>
        <w:t>art.</w:t>
      </w:r>
      <w:r w:rsidR="00062BFA" w:rsidRPr="00062BFA">
        <w:rPr>
          <w:noProof/>
        </w:rPr>
        <w:t> </w:t>
      </w:r>
      <w:r w:rsidR="00F6614D" w:rsidRPr="00062BFA">
        <w:rPr>
          <w:noProof/>
        </w:rPr>
        <w:t>1</w:t>
      </w:r>
      <w:r w:rsidR="00F6614D" w:rsidRPr="004F6DAA">
        <w:rPr>
          <w:noProof/>
        </w:rPr>
        <w:t xml:space="preserve">4 </w:t>
      </w:r>
      <w:r w:rsidR="00F6614D" w:rsidRPr="00062BFA">
        <w:rPr>
          <w:noProof/>
        </w:rPr>
        <w:t>ust.</w:t>
      </w:r>
      <w:r w:rsidR="00062BFA" w:rsidRPr="00062BFA">
        <w:rPr>
          <w:noProof/>
        </w:rPr>
        <w:t> </w:t>
      </w:r>
      <w:r w:rsidR="00F6614D" w:rsidRPr="00062BFA">
        <w:rPr>
          <w:noProof/>
        </w:rPr>
        <w:t>1</w:t>
      </w:r>
      <w:r w:rsidR="00F6614D" w:rsidRPr="004F6DAA">
        <w:rPr>
          <w:noProof/>
        </w:rPr>
        <w:t>, czy każdy taki odnośny towar lub produkt spełnia wymogi niniejszego rozporządzenia. Właściwe organy wykonują te obowiązki zgodnie</w:t>
      </w:r>
      <w:r w:rsidR="00062BFA" w:rsidRPr="004F6DAA">
        <w:rPr>
          <w:noProof/>
        </w:rPr>
        <w:t xml:space="preserve"> z</w:t>
      </w:r>
      <w:r w:rsidR="00062BFA">
        <w:rPr>
          <w:noProof/>
        </w:rPr>
        <w:t> </w:t>
      </w:r>
      <w:r w:rsidR="00062BFA" w:rsidRPr="004F6DAA">
        <w:rPr>
          <w:noProof/>
        </w:rPr>
        <w:t>wła</w:t>
      </w:r>
      <w:r w:rsidR="00F6614D" w:rsidRPr="004F6DAA">
        <w:rPr>
          <w:noProof/>
        </w:rPr>
        <w:t xml:space="preserve">ściwymi przepisami rozdziału 3 niniejszego rozporządzenia. </w:t>
      </w:r>
    </w:p>
    <w:p w14:paraId="3678E737" w14:textId="77777777" w:rsidR="00F6614D" w:rsidRPr="004F6DAA" w:rsidRDefault="007B7EB7" w:rsidP="007B7EB7">
      <w:pPr>
        <w:pStyle w:val="ManualNumPar1"/>
        <w:rPr>
          <w:noProof/>
        </w:rPr>
      </w:pPr>
      <w:r w:rsidRPr="007B7EB7">
        <w:t>3.</w:t>
      </w:r>
      <w:r w:rsidRPr="007B7EB7">
        <w:tab/>
      </w:r>
      <w:r w:rsidR="00F6614D" w:rsidRPr="004F6DAA">
        <w:rPr>
          <w:noProof/>
        </w:rPr>
        <w:t>Organy celne kontrolują prawidłowość zgłoszenia odnośnych towarów</w:t>
      </w:r>
      <w:r w:rsidR="00062BFA" w:rsidRPr="004F6DAA">
        <w:rPr>
          <w:noProof/>
        </w:rPr>
        <w:t xml:space="preserve"> i</w:t>
      </w:r>
      <w:r w:rsidR="00062BFA">
        <w:rPr>
          <w:noProof/>
        </w:rPr>
        <w:t> </w:t>
      </w:r>
      <w:r w:rsidR="00062BFA" w:rsidRPr="004F6DAA">
        <w:rPr>
          <w:noProof/>
        </w:rPr>
        <w:t>pro</w:t>
      </w:r>
      <w:r w:rsidR="00F6614D" w:rsidRPr="004F6DAA">
        <w:rPr>
          <w:noProof/>
        </w:rPr>
        <w:t>duktów wprowadzanych na rynek unijny lub</w:t>
      </w:r>
      <w:r w:rsidR="00062BFA" w:rsidRPr="004F6DAA">
        <w:rPr>
          <w:noProof/>
        </w:rPr>
        <w:t xml:space="preserve"> z</w:t>
      </w:r>
      <w:r w:rsidR="00062BFA">
        <w:rPr>
          <w:noProof/>
        </w:rPr>
        <w:t> </w:t>
      </w:r>
      <w:r w:rsidR="00062BFA" w:rsidRPr="004F6DAA">
        <w:rPr>
          <w:noProof/>
        </w:rPr>
        <w:t>nie</w:t>
      </w:r>
      <w:r w:rsidR="00F6614D" w:rsidRPr="004F6DAA">
        <w:rPr>
          <w:noProof/>
        </w:rPr>
        <w:t>go wyprowadzanych. Takie kontrole opierają się przede wszystkim na analizie ryzyka mającej na celu identyfikację</w:t>
      </w:r>
      <w:r w:rsidR="00062BFA" w:rsidRPr="004F6DAA">
        <w:rPr>
          <w:noProof/>
        </w:rPr>
        <w:t xml:space="preserve"> i</w:t>
      </w:r>
      <w:r w:rsidR="00062BFA">
        <w:rPr>
          <w:noProof/>
        </w:rPr>
        <w:t> </w:t>
      </w:r>
      <w:r w:rsidR="00062BFA" w:rsidRPr="004F6DAA">
        <w:rPr>
          <w:noProof/>
        </w:rPr>
        <w:t>oce</w:t>
      </w:r>
      <w:r w:rsidR="00F6614D" w:rsidRPr="004F6DAA">
        <w:rPr>
          <w:noProof/>
        </w:rPr>
        <w:t>nę ryzyka oraz opracowanie niezbędnych środków zaradczych, i są przeprowadzane na szczeblu unijnym</w:t>
      </w:r>
      <w:r w:rsidR="00062BFA" w:rsidRPr="004F6DAA">
        <w:rPr>
          <w:noProof/>
        </w:rPr>
        <w:t xml:space="preserve"> z</w:t>
      </w:r>
      <w:r w:rsidR="00062BFA">
        <w:rPr>
          <w:noProof/>
        </w:rPr>
        <w:t> </w:t>
      </w:r>
      <w:r w:rsidR="00062BFA" w:rsidRPr="004F6DAA">
        <w:rPr>
          <w:noProof/>
        </w:rPr>
        <w:t>zas</w:t>
      </w:r>
      <w:r w:rsidR="00F6614D" w:rsidRPr="004F6DAA">
        <w:rPr>
          <w:noProof/>
        </w:rPr>
        <w:t xml:space="preserve">tosowaniem ram wspólnego zarządzania ryzykiem. </w:t>
      </w:r>
    </w:p>
    <w:p w14:paraId="574AE7EB" w14:textId="77777777" w:rsidR="00F6614D" w:rsidRPr="004F6DAA" w:rsidRDefault="007B7EB7" w:rsidP="007B7EB7">
      <w:pPr>
        <w:pStyle w:val="ManualNumPar1"/>
        <w:rPr>
          <w:noProof/>
        </w:rPr>
      </w:pPr>
      <w:r w:rsidRPr="007B7EB7">
        <w:t>4.</w:t>
      </w:r>
      <w:r w:rsidRPr="007B7EB7">
        <w:tab/>
      </w:r>
      <w:r w:rsidR="00F6614D" w:rsidRPr="004F6DAA">
        <w:rPr>
          <w:noProof/>
        </w:rPr>
        <w:t>Numer referencyjny oświadczenia</w:t>
      </w:r>
      <w:r w:rsidR="00062BFA" w:rsidRPr="004F6DAA">
        <w:rPr>
          <w:noProof/>
        </w:rPr>
        <w:t xml:space="preserve"> o</w:t>
      </w:r>
      <w:r w:rsidR="00062BFA">
        <w:rPr>
          <w:noProof/>
        </w:rPr>
        <w:t> </w:t>
      </w:r>
      <w:r w:rsidR="00062BFA" w:rsidRPr="004F6DAA">
        <w:rPr>
          <w:noProof/>
        </w:rPr>
        <w:t>zac</w:t>
      </w:r>
      <w:r w:rsidR="00F6614D" w:rsidRPr="004F6DAA">
        <w:rPr>
          <w:noProof/>
        </w:rPr>
        <w:t>howaniu należytej staranności przypisany przez system informacyjny,</w:t>
      </w:r>
      <w:r w:rsidR="00062BFA" w:rsidRPr="004F6DAA">
        <w:rPr>
          <w:noProof/>
        </w:rPr>
        <w:t xml:space="preserve"> o</w:t>
      </w:r>
      <w:r w:rsidR="00062BFA">
        <w:rPr>
          <w:noProof/>
        </w:rPr>
        <w:t> </w:t>
      </w:r>
      <w:r w:rsidR="00062BFA" w:rsidRPr="004F6DAA">
        <w:rPr>
          <w:noProof/>
        </w:rPr>
        <w:t>któ</w:t>
      </w:r>
      <w:r w:rsidR="00F6614D" w:rsidRPr="004F6DAA">
        <w:rPr>
          <w:noProof/>
        </w:rPr>
        <w:t>rym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3</w:t>
      </w:r>
      <w:r w:rsidR="00F6614D" w:rsidRPr="004F6DAA">
        <w:rPr>
          <w:noProof/>
        </w:rPr>
        <w:t>1,</w:t>
      </w:r>
      <w:r w:rsidR="00062BFA" w:rsidRPr="004F6DAA">
        <w:rPr>
          <w:noProof/>
        </w:rPr>
        <w:t xml:space="preserve"> w</w:t>
      </w:r>
      <w:r w:rsidR="00062BFA">
        <w:rPr>
          <w:noProof/>
        </w:rPr>
        <w:t> </w:t>
      </w:r>
      <w:r w:rsidR="00062BFA" w:rsidRPr="004F6DAA">
        <w:rPr>
          <w:noProof/>
        </w:rPr>
        <w:t>odn</w:t>
      </w:r>
      <w:r w:rsidR="00F6614D" w:rsidRPr="004F6DAA">
        <w:rPr>
          <w:noProof/>
        </w:rPr>
        <w:t>iesieniu do odnośnego towaru lub produktu wprowadzanego do Unii lub wyprowadzanego</w:t>
      </w:r>
      <w:r w:rsidR="00062BFA" w:rsidRPr="004F6DAA">
        <w:rPr>
          <w:noProof/>
        </w:rPr>
        <w:t xml:space="preserve"> z</w:t>
      </w:r>
      <w:r w:rsidR="00062BFA">
        <w:rPr>
          <w:noProof/>
        </w:rPr>
        <w:t> </w:t>
      </w:r>
      <w:r w:rsidR="00062BFA" w:rsidRPr="004F6DAA">
        <w:rPr>
          <w:noProof/>
        </w:rPr>
        <w:t>Uni</w:t>
      </w:r>
      <w:r w:rsidR="00F6614D" w:rsidRPr="004F6DAA">
        <w:rPr>
          <w:noProof/>
        </w:rPr>
        <w:t>i, jest udostępniany organom celnym przy składaniu zgłoszenia celnego do dopuszczenia do obrotu lub wywozu tego odnośnego towaru lub produktu,</w:t>
      </w:r>
      <w:r w:rsidR="00062BFA" w:rsidRPr="004F6DAA">
        <w:rPr>
          <w:noProof/>
        </w:rPr>
        <w:t xml:space="preserve"> z</w:t>
      </w:r>
      <w:r w:rsidR="00062BFA">
        <w:rPr>
          <w:noProof/>
        </w:rPr>
        <w:t> </w:t>
      </w:r>
      <w:r w:rsidR="00062BFA" w:rsidRPr="004F6DAA">
        <w:rPr>
          <w:noProof/>
        </w:rPr>
        <w:t>wyj</w:t>
      </w:r>
      <w:r w:rsidR="00F6614D" w:rsidRPr="004F6DAA">
        <w:rPr>
          <w:noProof/>
        </w:rPr>
        <w:t>ątkiem przypadków,</w:t>
      </w:r>
      <w:r w:rsidR="00062BFA" w:rsidRPr="004F6DAA">
        <w:rPr>
          <w:noProof/>
        </w:rPr>
        <w:t xml:space="preserve"> w</w:t>
      </w:r>
      <w:r w:rsidR="00062BFA">
        <w:rPr>
          <w:noProof/>
        </w:rPr>
        <w:t> </w:t>
      </w:r>
      <w:r w:rsidR="00062BFA" w:rsidRPr="004F6DAA">
        <w:rPr>
          <w:noProof/>
        </w:rPr>
        <w:t>któ</w:t>
      </w:r>
      <w:r w:rsidR="00F6614D" w:rsidRPr="004F6DAA">
        <w:rPr>
          <w:noProof/>
        </w:rPr>
        <w:t>rych oświadczenie</w:t>
      </w:r>
      <w:r w:rsidR="00062BFA" w:rsidRPr="004F6DAA">
        <w:rPr>
          <w:noProof/>
        </w:rPr>
        <w:t xml:space="preserve"> o</w:t>
      </w:r>
      <w:r w:rsidR="00062BFA">
        <w:rPr>
          <w:noProof/>
        </w:rPr>
        <w:t> </w:t>
      </w:r>
      <w:r w:rsidR="00062BFA" w:rsidRPr="004F6DAA">
        <w:rPr>
          <w:noProof/>
        </w:rPr>
        <w:t>zac</w:t>
      </w:r>
      <w:r w:rsidR="00F6614D" w:rsidRPr="004F6DAA">
        <w:rPr>
          <w:noProof/>
        </w:rPr>
        <w:t>howaniu należytej staranności jest składane zgodnie</w:t>
      </w:r>
      <w:r w:rsidR="00062BFA" w:rsidRPr="004F6DAA">
        <w:rPr>
          <w:noProof/>
        </w:rPr>
        <w:t xml:space="preserve"> z</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2</w:t>
      </w:r>
      <w:r w:rsidR="00F6614D" w:rsidRPr="004F6DAA">
        <w:rPr>
          <w:noProof/>
        </w:rPr>
        <w:t xml:space="preserve">6 </w:t>
      </w:r>
      <w:r w:rsidR="00F6614D" w:rsidRPr="00062BFA">
        <w:rPr>
          <w:noProof/>
        </w:rPr>
        <w:t>ust.</w:t>
      </w:r>
      <w:r w:rsidR="00062BFA" w:rsidRPr="00062BFA">
        <w:rPr>
          <w:noProof/>
        </w:rPr>
        <w:t> </w:t>
      </w:r>
      <w:r w:rsidR="00F6614D" w:rsidRPr="00062BFA">
        <w:rPr>
          <w:noProof/>
        </w:rPr>
        <w:t>2</w:t>
      </w:r>
      <w:r w:rsidR="00F6614D" w:rsidRPr="004F6DAA">
        <w:rPr>
          <w:noProof/>
        </w:rPr>
        <w:t xml:space="preserve">. </w:t>
      </w:r>
    </w:p>
    <w:p w14:paraId="6FB01263" w14:textId="77777777" w:rsidR="00F6614D" w:rsidRPr="004F6DAA" w:rsidRDefault="007B7EB7" w:rsidP="007B7EB7">
      <w:pPr>
        <w:pStyle w:val="ManualNumPar1"/>
        <w:rPr>
          <w:noProof/>
        </w:rPr>
      </w:pPr>
      <w:r w:rsidRPr="007B7EB7">
        <w:t>5.</w:t>
      </w:r>
      <w:r w:rsidRPr="007B7EB7">
        <w:tab/>
      </w:r>
      <w:r w:rsidR="00F6614D" w:rsidRPr="004F6DAA">
        <w:rPr>
          <w:noProof/>
        </w:rPr>
        <w:t>Po otrzymaniu zgłoszenia do dopuszczenia do obrotu lub wywozu odnośnego towaru lub produktu wprowadzanego na rynek unijny lub opuszczającego ten rynek, organy celne weryfikują status oświadczenia</w:t>
      </w:r>
      <w:r w:rsidR="00062BFA" w:rsidRPr="004F6DAA">
        <w:rPr>
          <w:noProof/>
        </w:rPr>
        <w:t xml:space="preserve"> o</w:t>
      </w:r>
      <w:r w:rsidR="00062BFA">
        <w:rPr>
          <w:noProof/>
        </w:rPr>
        <w:t> </w:t>
      </w:r>
      <w:r w:rsidR="00062BFA" w:rsidRPr="004F6DAA">
        <w:rPr>
          <w:noProof/>
        </w:rPr>
        <w:t>zac</w:t>
      </w:r>
      <w:r w:rsidR="00F6614D" w:rsidRPr="004F6DAA">
        <w:rPr>
          <w:noProof/>
        </w:rPr>
        <w:t>howaniu należytej staranności przy użyciu elektronicznego interfejsu,</w:t>
      </w:r>
      <w:r w:rsidR="00062BFA" w:rsidRPr="004F6DAA">
        <w:rPr>
          <w:noProof/>
        </w:rPr>
        <w:t xml:space="preserve"> o</w:t>
      </w:r>
      <w:r w:rsidR="00062BFA">
        <w:rPr>
          <w:noProof/>
        </w:rPr>
        <w:t> </w:t>
      </w:r>
      <w:r w:rsidR="00062BFA" w:rsidRPr="004F6DAA">
        <w:rPr>
          <w:noProof/>
        </w:rPr>
        <w:t>któ</w:t>
      </w:r>
      <w:r w:rsidR="00F6614D" w:rsidRPr="004F6DAA">
        <w:rPr>
          <w:noProof/>
        </w:rPr>
        <w:t>rym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2</w:t>
      </w:r>
      <w:r w:rsidR="00F6614D" w:rsidRPr="004F6DAA">
        <w:rPr>
          <w:noProof/>
        </w:rPr>
        <w:t xml:space="preserve">6 </w:t>
      </w:r>
      <w:r w:rsidR="00F6614D" w:rsidRPr="00062BFA">
        <w:rPr>
          <w:noProof/>
        </w:rPr>
        <w:t>ust.</w:t>
      </w:r>
      <w:r w:rsidR="00062BFA" w:rsidRPr="00062BFA">
        <w:rPr>
          <w:noProof/>
        </w:rPr>
        <w:t> </w:t>
      </w:r>
      <w:r w:rsidR="00F6614D" w:rsidRPr="00062BFA">
        <w:rPr>
          <w:noProof/>
        </w:rPr>
        <w:t>1</w:t>
      </w:r>
      <w:r w:rsidR="00062BFA" w:rsidRPr="004F6DAA">
        <w:rPr>
          <w:noProof/>
        </w:rPr>
        <w:t>. O</w:t>
      </w:r>
      <w:r w:rsidR="00062BFA">
        <w:rPr>
          <w:noProof/>
        </w:rPr>
        <w:t> </w:t>
      </w:r>
      <w:r w:rsidR="00062BFA" w:rsidRPr="004F6DAA">
        <w:rPr>
          <w:noProof/>
        </w:rPr>
        <w:t>każ</w:t>
      </w:r>
      <w:r w:rsidR="00F6614D" w:rsidRPr="004F6DAA">
        <w:rPr>
          <w:noProof/>
        </w:rPr>
        <w:t>dej zmianie statusu</w:t>
      </w:r>
      <w:r w:rsidR="00062BFA" w:rsidRPr="004F6DAA">
        <w:rPr>
          <w:noProof/>
        </w:rPr>
        <w:t xml:space="preserve"> w</w:t>
      </w:r>
      <w:r w:rsidR="00062BFA">
        <w:rPr>
          <w:noProof/>
        </w:rPr>
        <w:t> </w:t>
      </w:r>
      <w:r w:rsidR="00062BFA" w:rsidRPr="004F6DAA">
        <w:rPr>
          <w:noProof/>
        </w:rPr>
        <w:t>sys</w:t>
      </w:r>
      <w:r w:rsidR="00F6614D" w:rsidRPr="004F6DAA">
        <w:rPr>
          <w:noProof/>
        </w:rPr>
        <w:t>temie informacyjnym,</w:t>
      </w:r>
      <w:r w:rsidR="00062BFA" w:rsidRPr="004F6DAA">
        <w:rPr>
          <w:noProof/>
        </w:rPr>
        <w:t xml:space="preserve"> o</w:t>
      </w:r>
      <w:r w:rsidR="00062BFA">
        <w:rPr>
          <w:noProof/>
        </w:rPr>
        <w:t> </w:t>
      </w:r>
      <w:r w:rsidR="00062BFA" w:rsidRPr="004F6DAA">
        <w:rPr>
          <w:noProof/>
        </w:rPr>
        <w:t>któ</w:t>
      </w:r>
      <w:r w:rsidR="00F6614D" w:rsidRPr="004F6DAA">
        <w:rPr>
          <w:noProof/>
        </w:rPr>
        <w:t>rym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3</w:t>
      </w:r>
      <w:r w:rsidR="00F6614D" w:rsidRPr="004F6DAA">
        <w:rPr>
          <w:noProof/>
        </w:rPr>
        <w:t xml:space="preserve">1, która ma miejsce przed dopuszczeniem do obrotu lub wywozem odnośnego towaru lub produktu, organy celne nadzorujące odnośny towar lub produkt powiadamiane są automatycznie. </w:t>
      </w:r>
    </w:p>
    <w:p w14:paraId="50BE4F02" w14:textId="77777777" w:rsidR="00F6614D" w:rsidRPr="004F6DAA" w:rsidRDefault="007B7EB7" w:rsidP="007B7EB7">
      <w:pPr>
        <w:pStyle w:val="ManualNumPar1"/>
        <w:rPr>
          <w:noProof/>
        </w:rPr>
      </w:pPr>
      <w:r w:rsidRPr="007B7EB7">
        <w:t>6.</w:t>
      </w:r>
      <w:r w:rsidRPr="007B7EB7">
        <w:tab/>
      </w:r>
      <w:r w:rsidR="00F6614D" w:rsidRPr="004F6DAA">
        <w:rPr>
          <w:noProof/>
        </w:rPr>
        <w:t xml:space="preserve">Jeżeli po przeprowadzeniu analizy ryzyka na podstawie </w:t>
      </w:r>
      <w:r w:rsidR="00F6614D" w:rsidRPr="00062BFA">
        <w:rPr>
          <w:noProof/>
        </w:rPr>
        <w:t>art.</w:t>
      </w:r>
      <w:r w:rsidR="00062BFA" w:rsidRPr="00062BFA">
        <w:rPr>
          <w:noProof/>
        </w:rPr>
        <w:t> </w:t>
      </w:r>
      <w:r w:rsidR="00F6614D" w:rsidRPr="00062BFA">
        <w:rPr>
          <w:noProof/>
        </w:rPr>
        <w:t>1</w:t>
      </w:r>
      <w:r w:rsidR="00F6614D" w:rsidRPr="004F6DAA">
        <w:rPr>
          <w:noProof/>
        </w:rPr>
        <w:t xml:space="preserve">4 </w:t>
      </w:r>
      <w:r w:rsidR="00F6614D" w:rsidRPr="00062BFA">
        <w:rPr>
          <w:noProof/>
        </w:rPr>
        <w:t>ust.</w:t>
      </w:r>
      <w:r w:rsidR="00062BFA" w:rsidRPr="00062BFA">
        <w:rPr>
          <w:noProof/>
        </w:rPr>
        <w:t> </w:t>
      </w:r>
      <w:r w:rsidR="00F6614D" w:rsidRPr="00062BFA">
        <w:rPr>
          <w:noProof/>
        </w:rPr>
        <w:t>4</w:t>
      </w:r>
      <w:r w:rsidR="00F6614D" w:rsidRPr="004F6DAA">
        <w:rPr>
          <w:noProof/>
        </w:rPr>
        <w:t xml:space="preserve"> status odpowiedniego oświadczenia</w:t>
      </w:r>
      <w:r w:rsidR="00062BFA" w:rsidRPr="004F6DAA">
        <w:rPr>
          <w:noProof/>
        </w:rPr>
        <w:t xml:space="preserve"> o</w:t>
      </w:r>
      <w:r w:rsidR="00062BFA">
        <w:rPr>
          <w:noProof/>
        </w:rPr>
        <w:t> </w:t>
      </w:r>
      <w:r w:rsidR="00062BFA" w:rsidRPr="004F6DAA">
        <w:rPr>
          <w:noProof/>
        </w:rPr>
        <w:t>zac</w:t>
      </w:r>
      <w:r w:rsidR="00F6614D" w:rsidRPr="004F6DAA">
        <w:rPr>
          <w:noProof/>
        </w:rPr>
        <w:t>howaniu należytej staranności wskazuje</w:t>
      </w:r>
      <w:r w:rsidR="00062BFA" w:rsidRPr="004F6DAA">
        <w:rPr>
          <w:noProof/>
        </w:rPr>
        <w:t xml:space="preserve"> w</w:t>
      </w:r>
      <w:r w:rsidR="00062BFA">
        <w:rPr>
          <w:noProof/>
        </w:rPr>
        <w:t> </w:t>
      </w:r>
      <w:r w:rsidR="00062BFA" w:rsidRPr="004F6DAA">
        <w:rPr>
          <w:noProof/>
        </w:rPr>
        <w:t>sys</w:t>
      </w:r>
      <w:r w:rsidR="00F6614D" w:rsidRPr="004F6DAA">
        <w:rPr>
          <w:noProof/>
        </w:rPr>
        <w:t xml:space="preserve">temie informacyjnym ustanowionym na mocy </w:t>
      </w:r>
      <w:r w:rsidR="00F6614D" w:rsidRPr="00062BFA">
        <w:rPr>
          <w:noProof/>
        </w:rPr>
        <w:t>art.</w:t>
      </w:r>
      <w:r w:rsidR="00062BFA" w:rsidRPr="00062BFA">
        <w:rPr>
          <w:noProof/>
        </w:rPr>
        <w:t> </w:t>
      </w:r>
      <w:r w:rsidR="00F6614D" w:rsidRPr="00062BFA">
        <w:rPr>
          <w:noProof/>
        </w:rPr>
        <w:t>3</w:t>
      </w:r>
      <w:r w:rsidR="00F6614D" w:rsidRPr="004F6DAA">
        <w:rPr>
          <w:noProof/>
        </w:rPr>
        <w:t>1, że odnośny towar lub produkt wymaga kontroli przed wprowadzeniem do obrotu lub udostępnieniem na rynku UE lub przed wywozem, organy celne zawieszają dopuszczenie do obrotu lub wywóz tego odnośnego towaru lub produktu.</w:t>
      </w:r>
    </w:p>
    <w:p w14:paraId="2FE9E10F" w14:textId="77777777" w:rsidR="00F6614D" w:rsidRPr="004F6DAA" w:rsidRDefault="007B7EB7" w:rsidP="007B7EB7">
      <w:pPr>
        <w:pStyle w:val="ManualNumPar1"/>
        <w:rPr>
          <w:noProof/>
        </w:rPr>
      </w:pPr>
      <w:r w:rsidRPr="007B7EB7">
        <w:t>7.</w:t>
      </w:r>
      <w:r w:rsidRPr="007B7EB7">
        <w:tab/>
      </w:r>
      <w:r w:rsidR="00F6614D" w:rsidRPr="004F6DAA">
        <w:rPr>
          <w:noProof/>
        </w:rPr>
        <w:t>W przypadku spełnienia wszystkich pozostałych wymogów</w:t>
      </w:r>
      <w:r w:rsidR="00062BFA" w:rsidRPr="004F6DAA">
        <w:rPr>
          <w:noProof/>
        </w:rPr>
        <w:t xml:space="preserve"> i</w:t>
      </w:r>
      <w:r w:rsidR="00062BFA">
        <w:rPr>
          <w:noProof/>
        </w:rPr>
        <w:t> </w:t>
      </w:r>
      <w:r w:rsidR="00062BFA" w:rsidRPr="004F6DAA">
        <w:rPr>
          <w:noProof/>
        </w:rPr>
        <w:t>for</w:t>
      </w:r>
      <w:r w:rsidR="00F6614D" w:rsidRPr="004F6DAA">
        <w:rPr>
          <w:noProof/>
        </w:rPr>
        <w:t>malności związanych</w:t>
      </w:r>
      <w:r w:rsidR="00062BFA" w:rsidRPr="004F6DAA">
        <w:rPr>
          <w:noProof/>
        </w:rPr>
        <w:t xml:space="preserve"> z</w:t>
      </w:r>
      <w:r w:rsidR="00062BFA">
        <w:rPr>
          <w:noProof/>
        </w:rPr>
        <w:t> </w:t>
      </w:r>
      <w:r w:rsidR="00062BFA" w:rsidRPr="004F6DAA">
        <w:rPr>
          <w:noProof/>
        </w:rPr>
        <w:t>dop</w:t>
      </w:r>
      <w:r w:rsidR="00F6614D" w:rsidRPr="004F6DAA">
        <w:rPr>
          <w:noProof/>
        </w:rPr>
        <w:t>uszczeniem do obrotu lub wywozu na podstawie prawa Unii lub krajowego, organy celne zezwalają</w:t>
      </w:r>
      <w:r w:rsidR="00F6614D" w:rsidRPr="004F6DAA">
        <w:rPr>
          <w:b/>
          <w:noProof/>
        </w:rPr>
        <w:t xml:space="preserve"> </w:t>
      </w:r>
      <w:r w:rsidR="00F6614D" w:rsidRPr="004F6DAA">
        <w:rPr>
          <w:noProof/>
        </w:rPr>
        <w:t>na dopuszczenie do obrotu lub wywóz odnośnego towaru lub produktu</w:t>
      </w:r>
      <w:r w:rsidR="00062BFA" w:rsidRPr="004F6DAA">
        <w:rPr>
          <w:noProof/>
        </w:rPr>
        <w:t xml:space="preserve"> w</w:t>
      </w:r>
      <w:r w:rsidR="00062BFA">
        <w:rPr>
          <w:noProof/>
        </w:rPr>
        <w:t> </w:t>
      </w:r>
      <w:r w:rsidR="00062BFA" w:rsidRPr="004F6DAA">
        <w:rPr>
          <w:noProof/>
        </w:rPr>
        <w:t>każ</w:t>
      </w:r>
      <w:r w:rsidR="00F6614D" w:rsidRPr="004F6DAA">
        <w:rPr>
          <w:noProof/>
        </w:rPr>
        <w:t>dym</w:t>
      </w:r>
      <w:r w:rsidR="00062BFA" w:rsidRPr="004F6DAA">
        <w:rPr>
          <w:noProof/>
        </w:rPr>
        <w:t xml:space="preserve"> z</w:t>
      </w:r>
      <w:r w:rsidR="00062BFA">
        <w:rPr>
          <w:noProof/>
        </w:rPr>
        <w:t> </w:t>
      </w:r>
      <w:r w:rsidR="00062BFA" w:rsidRPr="004F6DAA">
        <w:rPr>
          <w:noProof/>
        </w:rPr>
        <w:t>nas</w:t>
      </w:r>
      <w:r w:rsidR="00F6614D" w:rsidRPr="004F6DAA">
        <w:rPr>
          <w:noProof/>
        </w:rPr>
        <w:t xml:space="preserve">tępujących przypadków: </w:t>
      </w:r>
    </w:p>
    <w:p w14:paraId="3A6BD46A" w14:textId="77777777" w:rsidR="00F6614D" w:rsidRPr="004F6DAA" w:rsidRDefault="00062BFA" w:rsidP="00062BFA">
      <w:pPr>
        <w:pStyle w:val="Point1"/>
        <w:rPr>
          <w:noProof/>
        </w:rPr>
      </w:pPr>
      <w:r w:rsidRPr="00062BFA">
        <w:rPr>
          <w:noProof/>
        </w:rPr>
        <w:t>a)</w:t>
      </w:r>
      <w:r w:rsidRPr="00062BFA">
        <w:rPr>
          <w:noProof/>
        </w:rPr>
        <w:tab/>
      </w:r>
      <w:r w:rsidR="00F6614D" w:rsidRPr="004F6DAA">
        <w:rPr>
          <w:noProof/>
        </w:rPr>
        <w:t xml:space="preserve">jeżeli po przeprowadzeniu analizy ryzyka na podstawie </w:t>
      </w:r>
      <w:r w:rsidR="00F6614D" w:rsidRPr="00062BFA">
        <w:rPr>
          <w:noProof/>
        </w:rPr>
        <w:t>art.</w:t>
      </w:r>
      <w:r w:rsidRPr="00062BFA">
        <w:rPr>
          <w:noProof/>
        </w:rPr>
        <w:t> </w:t>
      </w:r>
      <w:r w:rsidR="00F6614D" w:rsidRPr="00062BFA">
        <w:rPr>
          <w:noProof/>
        </w:rPr>
        <w:t>1</w:t>
      </w:r>
      <w:r w:rsidR="00F6614D" w:rsidRPr="004F6DAA">
        <w:rPr>
          <w:noProof/>
        </w:rPr>
        <w:t xml:space="preserve">4 </w:t>
      </w:r>
      <w:r w:rsidR="00F6614D" w:rsidRPr="00062BFA">
        <w:rPr>
          <w:noProof/>
        </w:rPr>
        <w:t>ust.</w:t>
      </w:r>
      <w:r w:rsidRPr="00062BFA">
        <w:rPr>
          <w:noProof/>
        </w:rPr>
        <w:t> </w:t>
      </w:r>
      <w:r w:rsidR="00F6614D" w:rsidRPr="00062BFA">
        <w:rPr>
          <w:noProof/>
        </w:rPr>
        <w:t>4</w:t>
      </w:r>
      <w:r w:rsidR="00F6614D" w:rsidRPr="004F6DAA">
        <w:rPr>
          <w:noProof/>
        </w:rPr>
        <w:t xml:space="preserve"> właściwe organy nie wskazały</w:t>
      </w:r>
      <w:r w:rsidRPr="004F6DAA">
        <w:rPr>
          <w:noProof/>
        </w:rPr>
        <w:t xml:space="preserve"> w</w:t>
      </w:r>
      <w:r>
        <w:rPr>
          <w:noProof/>
        </w:rPr>
        <w:t> </w:t>
      </w:r>
      <w:r w:rsidRPr="004F6DAA">
        <w:rPr>
          <w:noProof/>
        </w:rPr>
        <w:t>sys</w:t>
      </w:r>
      <w:r w:rsidR="00F6614D" w:rsidRPr="004F6DAA">
        <w:rPr>
          <w:noProof/>
        </w:rPr>
        <w:t xml:space="preserve">temie informacyjnym ustanowionym na mocy </w:t>
      </w:r>
      <w:r w:rsidR="00F6614D" w:rsidRPr="00062BFA">
        <w:rPr>
          <w:noProof/>
        </w:rPr>
        <w:t>art.</w:t>
      </w:r>
      <w:r w:rsidRPr="00062BFA">
        <w:rPr>
          <w:noProof/>
        </w:rPr>
        <w:t> </w:t>
      </w:r>
      <w:r w:rsidR="00F6614D" w:rsidRPr="00062BFA">
        <w:rPr>
          <w:noProof/>
        </w:rPr>
        <w:t>3</w:t>
      </w:r>
      <w:r w:rsidR="00F6614D" w:rsidRPr="004F6DAA">
        <w:rPr>
          <w:noProof/>
        </w:rPr>
        <w:t xml:space="preserve">1 odnośnego towaru lub produktu jako wymagającego zawieszenia dopuszczenia do obrotu lub wywozu na podstawie </w:t>
      </w:r>
      <w:r w:rsidR="00F6614D" w:rsidRPr="00062BFA">
        <w:rPr>
          <w:noProof/>
        </w:rPr>
        <w:t>ust.</w:t>
      </w:r>
      <w:r w:rsidRPr="00062BFA">
        <w:rPr>
          <w:noProof/>
        </w:rPr>
        <w:t> </w:t>
      </w:r>
      <w:r w:rsidR="00F6614D" w:rsidRPr="00062BFA">
        <w:rPr>
          <w:noProof/>
        </w:rPr>
        <w:t>6</w:t>
      </w:r>
      <w:r w:rsidR="00F6614D" w:rsidRPr="004F6DAA">
        <w:rPr>
          <w:noProof/>
        </w:rPr>
        <w:t xml:space="preserve">; </w:t>
      </w:r>
    </w:p>
    <w:p w14:paraId="55C0C9C9" w14:textId="77777777" w:rsidR="00F6614D" w:rsidRPr="004F6DAA" w:rsidRDefault="00062BFA" w:rsidP="00062BFA">
      <w:pPr>
        <w:pStyle w:val="Point1"/>
        <w:rPr>
          <w:noProof/>
        </w:rPr>
      </w:pPr>
      <w:r w:rsidRPr="00062BFA">
        <w:rPr>
          <w:noProof/>
        </w:rPr>
        <w:t>b)</w:t>
      </w:r>
      <w:r w:rsidRPr="00062BFA">
        <w:rPr>
          <w:noProof/>
        </w:rPr>
        <w:tab/>
      </w:r>
      <w:r w:rsidR="00F6614D" w:rsidRPr="004F6DAA">
        <w:rPr>
          <w:noProof/>
        </w:rPr>
        <w:t>w przypadku gdy dopuszczenie do obrotu lub wywozu zostało zawieszone zgodnie</w:t>
      </w:r>
      <w:r w:rsidRPr="004F6DAA">
        <w:rPr>
          <w:noProof/>
        </w:rPr>
        <w:t xml:space="preserve"> z</w:t>
      </w:r>
      <w:r>
        <w:rPr>
          <w:noProof/>
        </w:rPr>
        <w:t> </w:t>
      </w:r>
      <w:r w:rsidRPr="00062BFA">
        <w:rPr>
          <w:noProof/>
        </w:rPr>
        <w:t>ust</w:t>
      </w:r>
      <w:r w:rsidR="00F6614D" w:rsidRPr="00062BFA">
        <w:rPr>
          <w:noProof/>
        </w:rPr>
        <w:t>.</w:t>
      </w:r>
      <w:r w:rsidRPr="00062BFA">
        <w:rPr>
          <w:noProof/>
        </w:rPr>
        <w:t> </w:t>
      </w:r>
      <w:r w:rsidR="00F6614D" w:rsidRPr="00062BFA">
        <w:rPr>
          <w:noProof/>
        </w:rPr>
        <w:t>6</w:t>
      </w:r>
      <w:r w:rsidR="00F6614D" w:rsidRPr="004F6DAA">
        <w:rPr>
          <w:noProof/>
        </w:rPr>
        <w:t>, właściwe organy nie zwróciły się,</w:t>
      </w:r>
      <w:r w:rsidRPr="004F6DAA">
        <w:rPr>
          <w:noProof/>
        </w:rPr>
        <w:t xml:space="preserve"> w</w:t>
      </w:r>
      <w:r>
        <w:rPr>
          <w:noProof/>
        </w:rPr>
        <w:t> </w:t>
      </w:r>
      <w:r w:rsidRPr="004F6DAA">
        <w:rPr>
          <w:noProof/>
        </w:rPr>
        <w:t>ter</w:t>
      </w:r>
      <w:r w:rsidR="00F6614D" w:rsidRPr="004F6DAA">
        <w:rPr>
          <w:noProof/>
        </w:rPr>
        <w:t>minie 3 dni roboczych wskazanym</w:t>
      </w:r>
      <w:r w:rsidRPr="004F6DAA">
        <w:rPr>
          <w:noProof/>
        </w:rPr>
        <w:t xml:space="preserve"> w</w:t>
      </w:r>
      <w:r>
        <w:rPr>
          <w:noProof/>
        </w:rPr>
        <w:t> </w:t>
      </w:r>
      <w:r w:rsidRPr="00062BFA">
        <w:rPr>
          <w:noProof/>
        </w:rPr>
        <w:t>art</w:t>
      </w:r>
      <w:r w:rsidR="00F6614D" w:rsidRPr="00062BFA">
        <w:rPr>
          <w:noProof/>
        </w:rPr>
        <w:t>.</w:t>
      </w:r>
      <w:r w:rsidRPr="00062BFA">
        <w:rPr>
          <w:noProof/>
        </w:rPr>
        <w:t> </w:t>
      </w:r>
      <w:r w:rsidR="00F6614D" w:rsidRPr="00062BFA">
        <w:rPr>
          <w:noProof/>
        </w:rPr>
        <w:t>1</w:t>
      </w:r>
      <w:r w:rsidR="00F6614D" w:rsidRPr="004F6DAA">
        <w:rPr>
          <w:noProof/>
        </w:rPr>
        <w:t xml:space="preserve">4 </w:t>
      </w:r>
      <w:r w:rsidR="00F6614D" w:rsidRPr="00062BFA">
        <w:rPr>
          <w:noProof/>
        </w:rPr>
        <w:t>ust.</w:t>
      </w:r>
      <w:r w:rsidRPr="00062BFA">
        <w:rPr>
          <w:noProof/>
        </w:rPr>
        <w:t> </w:t>
      </w:r>
      <w:r w:rsidR="00F6614D" w:rsidRPr="00062BFA">
        <w:rPr>
          <w:noProof/>
        </w:rPr>
        <w:t>7</w:t>
      </w:r>
      <w:r w:rsidR="00F6614D" w:rsidRPr="004F6DAA">
        <w:rPr>
          <w:noProof/>
        </w:rPr>
        <w:t>,</w:t>
      </w:r>
      <w:r w:rsidRPr="004F6DAA">
        <w:rPr>
          <w:noProof/>
        </w:rPr>
        <w:t xml:space="preserve"> o</w:t>
      </w:r>
      <w:r>
        <w:rPr>
          <w:noProof/>
        </w:rPr>
        <w:t> </w:t>
      </w:r>
      <w:r w:rsidRPr="004F6DAA">
        <w:rPr>
          <w:noProof/>
        </w:rPr>
        <w:t>pot</w:t>
      </w:r>
      <w:r w:rsidR="00F6614D" w:rsidRPr="004F6DAA">
        <w:rPr>
          <w:noProof/>
        </w:rPr>
        <w:t xml:space="preserve">wierdzenie potrzeby utrzymania zawieszenia dopuszczenia do obrotu lub wywozu odnośnego towaru lub produktu; </w:t>
      </w:r>
    </w:p>
    <w:p w14:paraId="600A17B5" w14:textId="77777777" w:rsidR="00F6614D" w:rsidRPr="004F6DAA" w:rsidRDefault="00062BFA" w:rsidP="00062BFA">
      <w:pPr>
        <w:pStyle w:val="Point1"/>
        <w:rPr>
          <w:noProof/>
        </w:rPr>
      </w:pPr>
      <w:r w:rsidRPr="00062BFA">
        <w:rPr>
          <w:noProof/>
        </w:rPr>
        <w:t>c)</w:t>
      </w:r>
      <w:r w:rsidRPr="00062BFA">
        <w:rPr>
          <w:noProof/>
        </w:rPr>
        <w:tab/>
      </w:r>
      <w:r w:rsidR="00F6614D" w:rsidRPr="004F6DAA">
        <w:rPr>
          <w:noProof/>
        </w:rPr>
        <w:t xml:space="preserve">w przypadku gdy właściwe organy powiadomiły organy celne za pośrednictwem systemu informacyjnego ustanowionego na podstawie </w:t>
      </w:r>
      <w:r w:rsidR="00F6614D" w:rsidRPr="00062BFA">
        <w:rPr>
          <w:noProof/>
        </w:rPr>
        <w:t>art.</w:t>
      </w:r>
      <w:r w:rsidRPr="00062BFA">
        <w:rPr>
          <w:noProof/>
        </w:rPr>
        <w:t> </w:t>
      </w:r>
      <w:r w:rsidR="00F6614D" w:rsidRPr="00062BFA">
        <w:rPr>
          <w:noProof/>
        </w:rPr>
        <w:t>3</w:t>
      </w:r>
      <w:r w:rsidR="00F6614D" w:rsidRPr="004F6DAA">
        <w:rPr>
          <w:noProof/>
        </w:rPr>
        <w:t>1, że zawieszenie dopuszczenia do obrotu lub wywozu odnośnych towarów</w:t>
      </w:r>
      <w:r w:rsidRPr="004F6DAA">
        <w:rPr>
          <w:noProof/>
        </w:rPr>
        <w:t xml:space="preserve"> i</w:t>
      </w:r>
      <w:r>
        <w:rPr>
          <w:noProof/>
        </w:rPr>
        <w:t> </w:t>
      </w:r>
      <w:r w:rsidRPr="004F6DAA">
        <w:rPr>
          <w:noProof/>
        </w:rPr>
        <w:t>pro</w:t>
      </w:r>
      <w:r w:rsidR="00F6614D" w:rsidRPr="004F6DAA">
        <w:rPr>
          <w:noProof/>
        </w:rPr>
        <w:t xml:space="preserve">duktów może zostać zniesione. </w:t>
      </w:r>
    </w:p>
    <w:p w14:paraId="7E3C65F9" w14:textId="77777777" w:rsidR="00F6614D" w:rsidRPr="004F6DAA" w:rsidRDefault="00F6614D" w:rsidP="00F6614D">
      <w:pPr>
        <w:ind w:left="850"/>
        <w:rPr>
          <w:noProof/>
        </w:rPr>
      </w:pPr>
      <w:r w:rsidRPr="004F6DAA">
        <w:rPr>
          <w:noProof/>
        </w:rPr>
        <w:t>Dopuszczenia do obrotu lub wywozu nie uznaje się za dowód zgodności</w:t>
      </w:r>
      <w:r w:rsidR="00062BFA" w:rsidRPr="004F6DAA">
        <w:rPr>
          <w:noProof/>
        </w:rPr>
        <w:t xml:space="preserve"> z</w:t>
      </w:r>
      <w:r w:rsidR="00062BFA">
        <w:rPr>
          <w:noProof/>
        </w:rPr>
        <w:t> </w:t>
      </w:r>
      <w:r w:rsidR="00062BFA" w:rsidRPr="004F6DAA">
        <w:rPr>
          <w:noProof/>
        </w:rPr>
        <w:t>pra</w:t>
      </w:r>
      <w:r w:rsidRPr="004F6DAA">
        <w:rPr>
          <w:noProof/>
        </w:rPr>
        <w:t>wem Unii,</w:t>
      </w:r>
      <w:r w:rsidR="00062BFA" w:rsidRPr="004F6DAA">
        <w:rPr>
          <w:noProof/>
        </w:rPr>
        <w:t xml:space="preserve"> a</w:t>
      </w:r>
      <w:r w:rsidR="00062BFA">
        <w:rPr>
          <w:noProof/>
        </w:rPr>
        <w:t> </w:t>
      </w:r>
      <w:r w:rsidR="00062BFA" w:rsidRPr="004F6DAA">
        <w:rPr>
          <w:noProof/>
        </w:rPr>
        <w:t>w</w:t>
      </w:r>
      <w:r w:rsidR="00062BFA">
        <w:rPr>
          <w:noProof/>
        </w:rPr>
        <w:t> </w:t>
      </w:r>
      <w:r w:rsidR="00062BFA" w:rsidRPr="004F6DAA">
        <w:rPr>
          <w:noProof/>
        </w:rPr>
        <w:t>szc</w:t>
      </w:r>
      <w:r w:rsidRPr="004F6DAA">
        <w:rPr>
          <w:noProof/>
        </w:rPr>
        <w:t>zególności</w:t>
      </w:r>
      <w:r w:rsidR="00062BFA" w:rsidRPr="004F6DAA">
        <w:rPr>
          <w:noProof/>
        </w:rPr>
        <w:t xml:space="preserve"> z</w:t>
      </w:r>
      <w:r w:rsidR="00062BFA">
        <w:rPr>
          <w:noProof/>
        </w:rPr>
        <w:t> </w:t>
      </w:r>
      <w:r w:rsidR="00062BFA" w:rsidRPr="004F6DAA">
        <w:rPr>
          <w:noProof/>
        </w:rPr>
        <w:t>nin</w:t>
      </w:r>
      <w:r w:rsidRPr="004F6DAA">
        <w:rPr>
          <w:noProof/>
        </w:rPr>
        <w:t>iejszym rozporządzeniem.</w:t>
      </w:r>
    </w:p>
    <w:p w14:paraId="6E20FEE2" w14:textId="77777777" w:rsidR="00F6614D" w:rsidRPr="004F6DAA" w:rsidRDefault="007B7EB7" w:rsidP="007B7EB7">
      <w:pPr>
        <w:pStyle w:val="ManualNumPar1"/>
        <w:rPr>
          <w:noProof/>
        </w:rPr>
      </w:pPr>
      <w:r w:rsidRPr="007B7EB7">
        <w:t>8.</w:t>
      </w:r>
      <w:r w:rsidRPr="007B7EB7">
        <w:tab/>
      </w:r>
      <w:r w:rsidR="00F6614D" w:rsidRPr="004F6DAA">
        <w:rPr>
          <w:noProof/>
        </w:rPr>
        <w:t>Jeżeli właściwe organy stwierdzą, że odnośny towar lub produkt wprowadzany na rynek unijny lub wyprowadzany</w:t>
      </w:r>
      <w:r w:rsidR="00062BFA" w:rsidRPr="004F6DAA">
        <w:rPr>
          <w:noProof/>
        </w:rPr>
        <w:t xml:space="preserve"> z</w:t>
      </w:r>
      <w:r w:rsidR="00062BFA">
        <w:rPr>
          <w:noProof/>
        </w:rPr>
        <w:t> </w:t>
      </w:r>
      <w:r w:rsidR="00062BFA" w:rsidRPr="004F6DAA">
        <w:rPr>
          <w:noProof/>
        </w:rPr>
        <w:t>nie</w:t>
      </w:r>
      <w:r w:rsidR="00F6614D" w:rsidRPr="004F6DAA">
        <w:rPr>
          <w:noProof/>
        </w:rPr>
        <w:t>go nie jest zgodny</w:t>
      </w:r>
      <w:r w:rsidR="00062BFA" w:rsidRPr="004F6DAA">
        <w:rPr>
          <w:noProof/>
        </w:rPr>
        <w:t xml:space="preserve"> z</w:t>
      </w:r>
      <w:r w:rsidR="00062BFA">
        <w:rPr>
          <w:noProof/>
        </w:rPr>
        <w:t> </w:t>
      </w:r>
      <w:r w:rsidR="00062BFA" w:rsidRPr="004F6DAA">
        <w:rPr>
          <w:noProof/>
        </w:rPr>
        <w:t>nin</w:t>
      </w:r>
      <w:r w:rsidR="00F6614D" w:rsidRPr="004F6DAA">
        <w:rPr>
          <w:noProof/>
        </w:rPr>
        <w:t>iejszym rozporządzeniem, powiadamiają</w:t>
      </w:r>
      <w:r w:rsidR="00062BFA" w:rsidRPr="004F6DAA">
        <w:rPr>
          <w:noProof/>
        </w:rPr>
        <w:t xml:space="preserve"> o</w:t>
      </w:r>
      <w:r w:rsidR="00062BFA">
        <w:rPr>
          <w:noProof/>
        </w:rPr>
        <w:t> </w:t>
      </w:r>
      <w:r w:rsidR="00062BFA" w:rsidRPr="004F6DAA">
        <w:rPr>
          <w:noProof/>
        </w:rPr>
        <w:t>tym</w:t>
      </w:r>
      <w:r w:rsidR="00F6614D" w:rsidRPr="004F6DAA">
        <w:rPr>
          <w:noProof/>
        </w:rPr>
        <w:t xml:space="preserve"> organy celne za pośrednictwem systemu informacyjnego ustanowionego na podstawie </w:t>
      </w:r>
      <w:r w:rsidR="00F6614D" w:rsidRPr="00062BFA">
        <w:rPr>
          <w:noProof/>
        </w:rPr>
        <w:t>art.</w:t>
      </w:r>
      <w:r w:rsidR="00062BFA" w:rsidRPr="00062BFA">
        <w:rPr>
          <w:noProof/>
        </w:rPr>
        <w:t> </w:t>
      </w:r>
      <w:r w:rsidR="00F6614D" w:rsidRPr="00062BFA">
        <w:rPr>
          <w:noProof/>
        </w:rPr>
        <w:t>3</w:t>
      </w:r>
      <w:r w:rsidR="00F6614D" w:rsidRPr="004F6DAA">
        <w:rPr>
          <w:noProof/>
        </w:rPr>
        <w:t>1. Właściwe organy mogą również wskazać</w:t>
      </w:r>
      <w:r w:rsidR="00062BFA" w:rsidRPr="004F6DAA">
        <w:rPr>
          <w:noProof/>
        </w:rPr>
        <w:t xml:space="preserve"> w</w:t>
      </w:r>
      <w:r w:rsidR="00062BFA">
        <w:rPr>
          <w:noProof/>
        </w:rPr>
        <w:t> </w:t>
      </w:r>
      <w:r w:rsidR="00062BFA" w:rsidRPr="004F6DAA">
        <w:rPr>
          <w:noProof/>
        </w:rPr>
        <w:t>sys</w:t>
      </w:r>
      <w:r w:rsidR="00F6614D" w:rsidRPr="004F6DAA">
        <w:rPr>
          <w:noProof/>
        </w:rPr>
        <w:t xml:space="preserve">temie informacyjnym, że sprzeciwiają się objęciu odnośnego towaru lub produktu innymi szczegółowymi procedurami celnymi. </w:t>
      </w:r>
    </w:p>
    <w:p w14:paraId="02DF2701" w14:textId="77777777" w:rsidR="00F6614D" w:rsidRPr="004F6DAA" w:rsidRDefault="00F6614D" w:rsidP="00F6614D">
      <w:pPr>
        <w:ind w:left="850"/>
        <w:rPr>
          <w:noProof/>
        </w:rPr>
      </w:pPr>
      <w:r w:rsidRPr="004F6DAA">
        <w:rPr>
          <w:noProof/>
        </w:rPr>
        <w:t>Po powiadomieniu</w:t>
      </w:r>
      <w:r w:rsidR="00062BFA" w:rsidRPr="004F6DAA">
        <w:rPr>
          <w:noProof/>
        </w:rPr>
        <w:t xml:space="preserve"> o</w:t>
      </w:r>
      <w:r w:rsidR="00062BFA">
        <w:rPr>
          <w:noProof/>
        </w:rPr>
        <w:t> </w:t>
      </w:r>
      <w:r w:rsidR="00062BFA" w:rsidRPr="004F6DAA">
        <w:rPr>
          <w:noProof/>
        </w:rPr>
        <w:t>tym</w:t>
      </w:r>
      <w:r w:rsidRPr="004F6DAA">
        <w:rPr>
          <w:noProof/>
        </w:rPr>
        <w:t xml:space="preserve"> statusie organy celne nie zezwalają na</w:t>
      </w:r>
      <w:r w:rsidRPr="004F6DAA">
        <w:rPr>
          <w:b/>
          <w:noProof/>
        </w:rPr>
        <w:t xml:space="preserve"> </w:t>
      </w:r>
      <w:r w:rsidRPr="004F6DAA">
        <w:rPr>
          <w:noProof/>
        </w:rPr>
        <w:t>dopuszczenie do obrotu lub wywóz odnośnego towaru lub produktu. Zamieszczają one również następującą uwagę</w:t>
      </w:r>
      <w:r w:rsidR="00062BFA" w:rsidRPr="004F6DAA">
        <w:rPr>
          <w:noProof/>
        </w:rPr>
        <w:t xml:space="preserve"> w</w:t>
      </w:r>
      <w:r w:rsidR="00062BFA">
        <w:rPr>
          <w:noProof/>
        </w:rPr>
        <w:t> </w:t>
      </w:r>
      <w:r w:rsidR="00062BFA" w:rsidRPr="004F6DAA">
        <w:rPr>
          <w:noProof/>
        </w:rPr>
        <w:t>sys</w:t>
      </w:r>
      <w:r w:rsidRPr="004F6DAA">
        <w:rPr>
          <w:noProof/>
        </w:rPr>
        <w:t>temie przetwarzania danych organów celnych oraz,</w:t>
      </w:r>
      <w:r w:rsidR="00062BFA" w:rsidRPr="004F6DAA">
        <w:rPr>
          <w:noProof/>
        </w:rPr>
        <w:t xml:space="preserve"> o</w:t>
      </w:r>
      <w:r w:rsidR="00062BFA">
        <w:rPr>
          <w:noProof/>
        </w:rPr>
        <w:t> </w:t>
      </w:r>
      <w:r w:rsidR="00062BFA" w:rsidRPr="004F6DAA">
        <w:rPr>
          <w:noProof/>
        </w:rPr>
        <w:t>ile</w:t>
      </w:r>
      <w:r w:rsidRPr="004F6DAA">
        <w:rPr>
          <w:noProof/>
        </w:rPr>
        <w:t xml:space="preserve"> to możliwe, na fakturze handlowej towarzyszącej odnośnemu towarowi lub produktowi oraz na każdym innym istotnym dokumencie towarzyszącym: „Towar lub produkt niezgodny</w:t>
      </w:r>
      <w:r w:rsidR="00062BFA" w:rsidRPr="004F6DAA">
        <w:rPr>
          <w:noProof/>
        </w:rPr>
        <w:t xml:space="preserve"> z</w:t>
      </w:r>
      <w:r w:rsidR="00062BFA">
        <w:rPr>
          <w:noProof/>
        </w:rPr>
        <w:t> </w:t>
      </w:r>
      <w:r w:rsidR="00062BFA" w:rsidRPr="004F6DAA">
        <w:rPr>
          <w:noProof/>
        </w:rPr>
        <w:t>wym</w:t>
      </w:r>
      <w:r w:rsidRPr="004F6DAA">
        <w:rPr>
          <w:noProof/>
        </w:rPr>
        <w:t xml:space="preserve">ogami — niedopuszczony do obrotu/wywozu — rozporządzenie (UE) 2021/XXXX.” </w:t>
      </w:r>
      <w:r w:rsidRPr="004F6DAA">
        <w:rPr>
          <w:i/>
          <w:noProof/>
          <w:color w:val="FF0000"/>
        </w:rPr>
        <w:t>[Urząd publikacji: proszę zamieścić odesłanie do niniejszego rozporządzenia]</w:t>
      </w:r>
    </w:p>
    <w:p w14:paraId="45E8116D" w14:textId="77777777" w:rsidR="00F6614D" w:rsidRPr="004F6DAA" w:rsidRDefault="00F6614D" w:rsidP="00F6614D">
      <w:pPr>
        <w:ind w:left="850"/>
        <w:rPr>
          <w:noProof/>
        </w:rPr>
      </w:pPr>
      <w:r w:rsidRPr="004F6DAA">
        <w:rPr>
          <w:noProof/>
        </w:rPr>
        <w:t>Jeżeli odnośny towar lub produkt jest następnie zgłaszany do innych procedur celnych</w:t>
      </w:r>
      <w:r w:rsidR="00062BFA" w:rsidRPr="004F6DAA">
        <w:rPr>
          <w:noProof/>
        </w:rPr>
        <w:t xml:space="preserve"> i</w:t>
      </w:r>
      <w:r w:rsidR="00062BFA">
        <w:rPr>
          <w:noProof/>
        </w:rPr>
        <w:t> </w:t>
      </w:r>
      <w:r w:rsidR="00062BFA" w:rsidRPr="004F6DAA">
        <w:rPr>
          <w:noProof/>
        </w:rPr>
        <w:t>pod</w:t>
      </w:r>
      <w:r w:rsidRPr="004F6DAA">
        <w:rPr>
          <w:noProof/>
        </w:rPr>
        <w:t xml:space="preserve"> warunkiem że właściwe organy nie zgłosiły sprzeciwu wobec takiego wprowadzenia, podmiot włącza takie powiadomienie do zgłoszeń celnych</w:t>
      </w:r>
      <w:r w:rsidR="00062BFA" w:rsidRPr="004F6DAA">
        <w:rPr>
          <w:noProof/>
        </w:rPr>
        <w:t xml:space="preserve"> i</w:t>
      </w:r>
      <w:r w:rsidR="00062BFA">
        <w:rPr>
          <w:noProof/>
        </w:rPr>
        <w:t> </w:t>
      </w:r>
      <w:r w:rsidR="00062BFA" w:rsidRPr="004F6DAA">
        <w:rPr>
          <w:noProof/>
        </w:rPr>
        <w:t>rej</w:t>
      </w:r>
      <w:r w:rsidRPr="004F6DAA">
        <w:rPr>
          <w:noProof/>
        </w:rPr>
        <w:t>estruje je, na tych samych warunkach,</w:t>
      </w:r>
      <w:r w:rsidR="00062BFA" w:rsidRPr="004F6DAA">
        <w:rPr>
          <w:noProof/>
        </w:rPr>
        <w:t xml:space="preserve"> w</w:t>
      </w:r>
      <w:r w:rsidR="00062BFA">
        <w:rPr>
          <w:noProof/>
        </w:rPr>
        <w:t> </w:t>
      </w:r>
      <w:r w:rsidR="00062BFA" w:rsidRPr="004F6DAA">
        <w:rPr>
          <w:noProof/>
        </w:rPr>
        <w:t>sys</w:t>
      </w:r>
      <w:r w:rsidRPr="004F6DAA">
        <w:rPr>
          <w:noProof/>
        </w:rPr>
        <w:t>temie przetwarzania danych organów celnych oraz,</w:t>
      </w:r>
      <w:r w:rsidR="00062BFA" w:rsidRPr="004F6DAA">
        <w:rPr>
          <w:noProof/>
        </w:rPr>
        <w:t xml:space="preserve"> w</w:t>
      </w:r>
      <w:r w:rsidR="00062BFA">
        <w:rPr>
          <w:noProof/>
        </w:rPr>
        <w:t> </w:t>
      </w:r>
      <w:r w:rsidR="00062BFA" w:rsidRPr="004F6DAA">
        <w:rPr>
          <w:noProof/>
        </w:rPr>
        <w:t>mia</w:t>
      </w:r>
      <w:r w:rsidRPr="004F6DAA">
        <w:rPr>
          <w:noProof/>
        </w:rPr>
        <w:t>rę możliwości,</w:t>
      </w:r>
      <w:r w:rsidR="00062BFA" w:rsidRPr="004F6DAA">
        <w:rPr>
          <w:noProof/>
        </w:rPr>
        <w:t xml:space="preserve"> w</w:t>
      </w:r>
      <w:r w:rsidR="00062BFA">
        <w:rPr>
          <w:noProof/>
        </w:rPr>
        <w:t> </w:t>
      </w:r>
      <w:r w:rsidR="00062BFA" w:rsidRPr="004F6DAA">
        <w:rPr>
          <w:noProof/>
        </w:rPr>
        <w:t>dok</w:t>
      </w:r>
      <w:r w:rsidRPr="004F6DAA">
        <w:rPr>
          <w:noProof/>
        </w:rPr>
        <w:t>umentach towarzyszących wykorzystywanych</w:t>
      </w:r>
      <w:r w:rsidR="00062BFA" w:rsidRPr="004F6DAA">
        <w:rPr>
          <w:noProof/>
        </w:rPr>
        <w:t xml:space="preserve">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tak</w:t>
      </w:r>
      <w:r w:rsidRPr="004F6DAA">
        <w:rPr>
          <w:noProof/>
        </w:rPr>
        <w:t xml:space="preserve">imi procedurami. </w:t>
      </w:r>
    </w:p>
    <w:p w14:paraId="72F1680D" w14:textId="77777777" w:rsidR="00F6614D" w:rsidRPr="004F6DAA" w:rsidRDefault="007B7EB7" w:rsidP="007B7EB7">
      <w:pPr>
        <w:pStyle w:val="ManualNumPar1"/>
        <w:rPr>
          <w:noProof/>
        </w:rPr>
      </w:pPr>
      <w:r w:rsidRPr="007B7EB7">
        <w:t>9.</w:t>
      </w:r>
      <w:r w:rsidRPr="007B7EB7">
        <w:tab/>
      </w:r>
      <w:r w:rsidR="00F6614D" w:rsidRPr="004F6DAA">
        <w:rPr>
          <w:noProof/>
        </w:rPr>
        <w:t>Powiadomienia</w:t>
      </w:r>
      <w:r w:rsidR="00062BFA" w:rsidRPr="004F6DAA">
        <w:rPr>
          <w:noProof/>
        </w:rPr>
        <w:t xml:space="preserve"> i</w:t>
      </w:r>
      <w:r w:rsidR="00062BFA">
        <w:rPr>
          <w:noProof/>
        </w:rPr>
        <w:t> </w:t>
      </w:r>
      <w:r w:rsidR="00062BFA" w:rsidRPr="004F6DAA">
        <w:rPr>
          <w:noProof/>
        </w:rPr>
        <w:t>wni</w:t>
      </w:r>
      <w:r w:rsidR="00F6614D" w:rsidRPr="004F6DAA">
        <w:rPr>
          <w:noProof/>
        </w:rPr>
        <w:t xml:space="preserve">oski na podstawie </w:t>
      </w:r>
      <w:r w:rsidR="00F6614D" w:rsidRPr="00062BFA">
        <w:rPr>
          <w:noProof/>
        </w:rPr>
        <w:t>ust.</w:t>
      </w:r>
      <w:r w:rsidR="00062BFA" w:rsidRPr="00062BFA">
        <w:rPr>
          <w:noProof/>
        </w:rPr>
        <w:t> </w:t>
      </w:r>
      <w:r w:rsidR="00F6614D" w:rsidRPr="00062BFA">
        <w:rPr>
          <w:noProof/>
        </w:rPr>
        <w:t>5</w:t>
      </w:r>
      <w:r w:rsidR="00F6614D" w:rsidRPr="004F6DAA">
        <w:rPr>
          <w:noProof/>
        </w:rPr>
        <w:t>–8 niniejszego artykułu są przekazywane za pośrednictwem elektronicznego interfejsu,</w:t>
      </w:r>
      <w:r w:rsidR="00062BFA" w:rsidRPr="004F6DAA">
        <w:rPr>
          <w:noProof/>
        </w:rPr>
        <w:t xml:space="preserve"> o</w:t>
      </w:r>
      <w:r w:rsidR="00062BFA">
        <w:rPr>
          <w:noProof/>
        </w:rPr>
        <w:t> </w:t>
      </w:r>
      <w:r w:rsidR="00062BFA" w:rsidRPr="004F6DAA">
        <w:rPr>
          <w:noProof/>
        </w:rPr>
        <w:t>któ</w:t>
      </w:r>
      <w:r w:rsidR="00F6614D" w:rsidRPr="004F6DAA">
        <w:rPr>
          <w:noProof/>
        </w:rPr>
        <w:t>rym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2</w:t>
      </w:r>
      <w:r w:rsidR="00F6614D" w:rsidRPr="004F6DAA">
        <w:rPr>
          <w:noProof/>
        </w:rPr>
        <w:t xml:space="preserve">6 </w:t>
      </w:r>
      <w:r w:rsidR="00F6614D" w:rsidRPr="00062BFA">
        <w:rPr>
          <w:noProof/>
        </w:rPr>
        <w:t>ust.</w:t>
      </w:r>
      <w:r w:rsidR="00062BFA" w:rsidRPr="00062BFA">
        <w:rPr>
          <w:noProof/>
        </w:rPr>
        <w:t> </w:t>
      </w:r>
      <w:r w:rsidR="00F6614D" w:rsidRPr="00062BFA">
        <w:rPr>
          <w:noProof/>
        </w:rPr>
        <w:t>1</w:t>
      </w:r>
      <w:r w:rsidR="00F6614D" w:rsidRPr="004F6DAA">
        <w:rPr>
          <w:noProof/>
        </w:rPr>
        <w:t>. Ust. 5–8 stosuje się od chwili wdrożenia elektronicznego interfejsu,</w:t>
      </w:r>
      <w:r w:rsidR="00062BFA" w:rsidRPr="004F6DAA">
        <w:rPr>
          <w:noProof/>
        </w:rPr>
        <w:t xml:space="preserve"> o</w:t>
      </w:r>
      <w:r w:rsidR="00062BFA">
        <w:rPr>
          <w:noProof/>
        </w:rPr>
        <w:t> </w:t>
      </w:r>
      <w:r w:rsidR="00062BFA" w:rsidRPr="004F6DAA">
        <w:rPr>
          <w:noProof/>
        </w:rPr>
        <w:t>któ</w:t>
      </w:r>
      <w:r w:rsidR="00F6614D" w:rsidRPr="004F6DAA">
        <w:rPr>
          <w:noProof/>
        </w:rPr>
        <w:t>rym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2</w:t>
      </w:r>
      <w:r w:rsidR="00F6614D" w:rsidRPr="004F6DAA">
        <w:rPr>
          <w:noProof/>
        </w:rPr>
        <w:t xml:space="preserve">6 </w:t>
      </w:r>
      <w:r w:rsidR="00F6614D" w:rsidRPr="00062BFA">
        <w:rPr>
          <w:noProof/>
        </w:rPr>
        <w:t>ust.</w:t>
      </w:r>
      <w:r w:rsidR="00062BFA" w:rsidRPr="00062BFA">
        <w:rPr>
          <w:noProof/>
        </w:rPr>
        <w:t> </w:t>
      </w:r>
      <w:r w:rsidR="00F6614D" w:rsidRPr="00062BFA">
        <w:rPr>
          <w:noProof/>
        </w:rPr>
        <w:t>1</w:t>
      </w:r>
      <w:r w:rsidR="00F6614D" w:rsidRPr="004F6DAA">
        <w:rPr>
          <w:noProof/>
        </w:rPr>
        <w:t xml:space="preserve">. </w:t>
      </w:r>
    </w:p>
    <w:p w14:paraId="3231A951" w14:textId="77777777" w:rsidR="00F6614D" w:rsidRPr="004F6DAA" w:rsidRDefault="007B7EB7" w:rsidP="007B7EB7">
      <w:pPr>
        <w:pStyle w:val="ManualNumPar1"/>
        <w:rPr>
          <w:noProof/>
        </w:rPr>
      </w:pPr>
      <w:r w:rsidRPr="007B7EB7">
        <w:t>10.</w:t>
      </w:r>
      <w:r w:rsidRPr="007B7EB7">
        <w:tab/>
      </w:r>
      <w:r w:rsidR="00F6614D" w:rsidRPr="004F6DAA">
        <w:rPr>
          <w:noProof/>
        </w:rPr>
        <w:t>Organy celne mogą zniszczyć odnośny towar lub produkt niezgodny</w:t>
      </w:r>
      <w:r w:rsidR="00062BFA" w:rsidRPr="004F6DAA">
        <w:rPr>
          <w:noProof/>
        </w:rPr>
        <w:t xml:space="preserve"> z</w:t>
      </w:r>
      <w:r w:rsidR="00062BFA">
        <w:rPr>
          <w:noProof/>
        </w:rPr>
        <w:t> </w:t>
      </w:r>
      <w:r w:rsidR="00062BFA" w:rsidRPr="004F6DAA">
        <w:rPr>
          <w:noProof/>
        </w:rPr>
        <w:t>wym</w:t>
      </w:r>
      <w:r w:rsidR="00F6614D" w:rsidRPr="004F6DAA">
        <w:rPr>
          <w:noProof/>
        </w:rPr>
        <w:t>ogami na wniosek właściwych organów lub gdy uznają to za konieczne</w:t>
      </w:r>
      <w:r w:rsidR="00062BFA" w:rsidRPr="004F6DAA">
        <w:rPr>
          <w:noProof/>
        </w:rPr>
        <w:t xml:space="preserve"> i</w:t>
      </w:r>
      <w:r w:rsidR="00062BFA">
        <w:rPr>
          <w:noProof/>
        </w:rPr>
        <w:t> </w:t>
      </w:r>
      <w:r w:rsidR="00062BFA" w:rsidRPr="004F6DAA">
        <w:rPr>
          <w:noProof/>
        </w:rPr>
        <w:t>pro</w:t>
      </w:r>
      <w:r w:rsidR="00F6614D" w:rsidRPr="004F6DAA">
        <w:rPr>
          <w:noProof/>
        </w:rPr>
        <w:t>porcjonalne. Koszt takiego środka ponosi osoba fizyczna lub prawna będąca</w:t>
      </w:r>
      <w:r w:rsidR="00062BFA" w:rsidRPr="004F6DAA">
        <w:rPr>
          <w:noProof/>
        </w:rPr>
        <w:t xml:space="preserve"> w</w:t>
      </w:r>
      <w:r w:rsidR="00062BFA">
        <w:rPr>
          <w:noProof/>
        </w:rPr>
        <w:t> </w:t>
      </w:r>
      <w:r w:rsidR="00062BFA" w:rsidRPr="004F6DAA">
        <w:rPr>
          <w:noProof/>
        </w:rPr>
        <w:t>pos</w:t>
      </w:r>
      <w:r w:rsidR="00F6614D" w:rsidRPr="004F6DAA">
        <w:rPr>
          <w:noProof/>
        </w:rPr>
        <w:t>iadaniu odnośnego towaru lub produktu. Art. 197</w:t>
      </w:r>
      <w:r w:rsidR="00062BFA" w:rsidRPr="004F6DAA">
        <w:rPr>
          <w:noProof/>
        </w:rPr>
        <w:t xml:space="preserve"> i</w:t>
      </w:r>
      <w:r w:rsidR="00062BFA">
        <w:rPr>
          <w:noProof/>
        </w:rPr>
        <w:t> </w:t>
      </w:r>
      <w:r w:rsidR="00062BFA" w:rsidRPr="004F6DAA">
        <w:rPr>
          <w:noProof/>
        </w:rPr>
        <w:t>1</w:t>
      </w:r>
      <w:r w:rsidR="00F6614D" w:rsidRPr="004F6DAA">
        <w:rPr>
          <w:noProof/>
        </w:rPr>
        <w:t xml:space="preserve">98 rozporządzenia (UE) </w:t>
      </w:r>
      <w:r w:rsidR="00F6614D" w:rsidRPr="00062BFA">
        <w:rPr>
          <w:noProof/>
        </w:rPr>
        <w:t>nr</w:t>
      </w:r>
      <w:r w:rsidR="00062BFA" w:rsidRPr="00062BFA">
        <w:rPr>
          <w:noProof/>
        </w:rPr>
        <w:t> </w:t>
      </w:r>
      <w:r w:rsidR="00F6614D" w:rsidRPr="00062BFA">
        <w:rPr>
          <w:noProof/>
        </w:rPr>
        <w:t>9</w:t>
      </w:r>
      <w:r w:rsidR="00F6614D" w:rsidRPr="004F6DAA">
        <w:rPr>
          <w:noProof/>
        </w:rPr>
        <w:t>52/2013 stosuje się odpowiednio. Na wniosek właściwych organów odnośne towary</w:t>
      </w:r>
      <w:r w:rsidR="00062BFA" w:rsidRPr="004F6DAA">
        <w:rPr>
          <w:noProof/>
        </w:rPr>
        <w:t xml:space="preserve"> i</w:t>
      </w:r>
      <w:r w:rsidR="00062BFA">
        <w:rPr>
          <w:noProof/>
        </w:rPr>
        <w:t> </w:t>
      </w:r>
      <w:r w:rsidR="00062BFA" w:rsidRPr="004F6DAA">
        <w:rPr>
          <w:noProof/>
        </w:rPr>
        <w:t>pro</w:t>
      </w:r>
      <w:r w:rsidR="00F6614D" w:rsidRPr="004F6DAA">
        <w:rPr>
          <w:noProof/>
        </w:rPr>
        <w:t>dukty niezgodne</w:t>
      </w:r>
      <w:r w:rsidR="00062BFA" w:rsidRPr="004F6DAA">
        <w:rPr>
          <w:noProof/>
        </w:rPr>
        <w:t xml:space="preserve"> z</w:t>
      </w:r>
      <w:r w:rsidR="00062BFA">
        <w:rPr>
          <w:noProof/>
        </w:rPr>
        <w:t> </w:t>
      </w:r>
      <w:r w:rsidR="00062BFA" w:rsidRPr="004F6DAA">
        <w:rPr>
          <w:noProof/>
        </w:rPr>
        <w:t>wym</w:t>
      </w:r>
      <w:r w:rsidR="00F6614D" w:rsidRPr="004F6DAA">
        <w:rPr>
          <w:noProof/>
        </w:rPr>
        <w:t>ogami mogą zostać skonfiskowane</w:t>
      </w:r>
      <w:r w:rsidR="00062BFA" w:rsidRPr="004F6DAA">
        <w:rPr>
          <w:noProof/>
        </w:rPr>
        <w:t xml:space="preserve"> i</w:t>
      </w:r>
      <w:r w:rsidR="00062BFA">
        <w:rPr>
          <w:noProof/>
        </w:rPr>
        <w:t> </w:t>
      </w:r>
      <w:r w:rsidR="00062BFA" w:rsidRPr="004F6DAA">
        <w:rPr>
          <w:noProof/>
        </w:rPr>
        <w:t>prz</w:t>
      </w:r>
      <w:r w:rsidR="00F6614D" w:rsidRPr="004F6DAA">
        <w:rPr>
          <w:noProof/>
        </w:rPr>
        <w:t>ekazane przez organy celne do dyspozycji właściwych organów.</w:t>
      </w:r>
    </w:p>
    <w:p w14:paraId="36396629" w14:textId="77777777" w:rsidR="0060735C" w:rsidRPr="004F6DAA" w:rsidRDefault="00F6614D" w:rsidP="0060735C">
      <w:pPr>
        <w:pStyle w:val="Titrearticle"/>
        <w:rPr>
          <w:noProof/>
        </w:rPr>
      </w:pPr>
      <w:r w:rsidRPr="004F6DAA">
        <w:rPr>
          <w:noProof/>
        </w:rPr>
        <w:t>Artykuł 25</w:t>
      </w:r>
    </w:p>
    <w:p w14:paraId="531115A6" w14:textId="77777777" w:rsidR="00F6614D" w:rsidRPr="004F6DAA" w:rsidRDefault="00F6614D" w:rsidP="0060735C">
      <w:pPr>
        <w:pStyle w:val="Sous-titreobjet"/>
        <w:rPr>
          <w:noProof/>
        </w:rPr>
      </w:pPr>
      <w:r w:rsidRPr="004F6DAA">
        <w:rPr>
          <w:noProof/>
        </w:rPr>
        <w:t>Wymiana informacji</w:t>
      </w:r>
      <w:r w:rsidR="00062BFA" w:rsidRPr="004F6DAA">
        <w:rPr>
          <w:noProof/>
        </w:rPr>
        <w:t xml:space="preserve"> i</w:t>
      </w:r>
      <w:r w:rsidR="00062BFA">
        <w:rPr>
          <w:noProof/>
        </w:rPr>
        <w:t> </w:t>
      </w:r>
      <w:r w:rsidR="00062BFA" w:rsidRPr="004F6DAA">
        <w:rPr>
          <w:noProof/>
        </w:rPr>
        <w:t>wsp</w:t>
      </w:r>
      <w:r w:rsidRPr="004F6DAA">
        <w:rPr>
          <w:noProof/>
        </w:rPr>
        <w:t>ółpraca między organami</w:t>
      </w:r>
    </w:p>
    <w:p w14:paraId="51786A94" w14:textId="77777777" w:rsidR="00F6614D" w:rsidRPr="004F6DAA" w:rsidRDefault="007B7EB7" w:rsidP="007B7EB7">
      <w:pPr>
        <w:pStyle w:val="ManualNumPar1"/>
        <w:rPr>
          <w:noProof/>
        </w:rPr>
      </w:pPr>
      <w:r w:rsidRPr="007B7EB7">
        <w:t>1.</w:t>
      </w:r>
      <w:r w:rsidRPr="007B7EB7">
        <w:tab/>
      </w:r>
      <w:r w:rsidR="00F6614D" w:rsidRPr="004F6DAA">
        <w:rPr>
          <w:noProof/>
        </w:rPr>
        <w:t>Aby umożliwić stosowanie podejścia opartego na analizie ryzyka,</w:t>
      </w:r>
      <w:r w:rsidR="00062BFA" w:rsidRPr="004F6DAA">
        <w:rPr>
          <w:noProof/>
        </w:rPr>
        <w:t xml:space="preserve"> o</w:t>
      </w:r>
      <w:r w:rsidR="00062BFA">
        <w:rPr>
          <w:noProof/>
        </w:rPr>
        <w:t> </w:t>
      </w:r>
      <w:r w:rsidR="00062BFA" w:rsidRPr="004F6DAA">
        <w:rPr>
          <w:noProof/>
        </w:rPr>
        <w:t>któ</w:t>
      </w:r>
      <w:r w:rsidR="00F6614D" w:rsidRPr="004F6DAA">
        <w:rPr>
          <w:noProof/>
        </w:rPr>
        <w:t>rym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1</w:t>
      </w:r>
      <w:r w:rsidR="00F6614D" w:rsidRPr="004F6DAA">
        <w:rPr>
          <w:noProof/>
        </w:rPr>
        <w:t xml:space="preserve">4 </w:t>
      </w:r>
      <w:r w:rsidR="00F6614D" w:rsidRPr="00062BFA">
        <w:rPr>
          <w:noProof/>
        </w:rPr>
        <w:t>ust.</w:t>
      </w:r>
      <w:r w:rsidR="00062BFA" w:rsidRPr="00062BFA">
        <w:rPr>
          <w:noProof/>
        </w:rPr>
        <w:t> </w:t>
      </w:r>
      <w:r w:rsidR="00F6614D" w:rsidRPr="00062BFA">
        <w:rPr>
          <w:noProof/>
        </w:rPr>
        <w:t>3</w:t>
      </w:r>
      <w:r w:rsidR="00F6614D" w:rsidRPr="004F6DAA">
        <w:rPr>
          <w:noProof/>
        </w:rPr>
        <w:t>, wobec odnośnych towarów</w:t>
      </w:r>
      <w:r w:rsidR="00062BFA" w:rsidRPr="004F6DAA">
        <w:rPr>
          <w:noProof/>
        </w:rPr>
        <w:t xml:space="preserve"> i</w:t>
      </w:r>
      <w:r w:rsidR="00062BFA">
        <w:rPr>
          <w:noProof/>
        </w:rPr>
        <w:t> </w:t>
      </w:r>
      <w:r w:rsidR="00062BFA" w:rsidRPr="004F6DAA">
        <w:rPr>
          <w:noProof/>
        </w:rPr>
        <w:t>pro</w:t>
      </w:r>
      <w:r w:rsidR="00F6614D" w:rsidRPr="004F6DAA">
        <w:rPr>
          <w:noProof/>
        </w:rPr>
        <w:t>duktów wprowadzanych na rynek unijny lub</w:t>
      </w:r>
      <w:r w:rsidR="00062BFA" w:rsidRPr="004F6DAA">
        <w:rPr>
          <w:noProof/>
        </w:rPr>
        <w:t xml:space="preserve"> z</w:t>
      </w:r>
      <w:r w:rsidR="00062BFA">
        <w:rPr>
          <w:noProof/>
        </w:rPr>
        <w:t> </w:t>
      </w:r>
      <w:r w:rsidR="00062BFA" w:rsidRPr="004F6DAA">
        <w:rPr>
          <w:noProof/>
        </w:rPr>
        <w:t>nie</w:t>
      </w:r>
      <w:r w:rsidR="00F6614D" w:rsidRPr="004F6DAA">
        <w:rPr>
          <w:noProof/>
        </w:rPr>
        <w:t>go wyprowadzanych oraz aby zapewnić skuteczność kontroli</w:t>
      </w:r>
      <w:r w:rsidR="00062BFA" w:rsidRPr="004F6DAA">
        <w:rPr>
          <w:noProof/>
        </w:rPr>
        <w:t xml:space="preserve"> i</w:t>
      </w:r>
      <w:r w:rsidR="00062BFA">
        <w:rPr>
          <w:noProof/>
        </w:rPr>
        <w:t> </w:t>
      </w:r>
      <w:r w:rsidR="00062BFA" w:rsidRPr="004F6DAA">
        <w:rPr>
          <w:noProof/>
        </w:rPr>
        <w:t>ich</w:t>
      </w:r>
      <w:r w:rsidR="00F6614D" w:rsidRPr="004F6DAA">
        <w:rPr>
          <w:noProof/>
        </w:rPr>
        <w:t xml:space="preserve"> przeprowadzanie zgodnie</w:t>
      </w:r>
      <w:r w:rsidR="00062BFA" w:rsidRPr="004F6DAA">
        <w:rPr>
          <w:noProof/>
        </w:rPr>
        <w:t xml:space="preserve"> z</w:t>
      </w:r>
      <w:r w:rsidR="00062BFA">
        <w:rPr>
          <w:noProof/>
        </w:rPr>
        <w:t> </w:t>
      </w:r>
      <w:r w:rsidR="00062BFA" w:rsidRPr="004F6DAA">
        <w:rPr>
          <w:noProof/>
        </w:rPr>
        <w:t>wym</w:t>
      </w:r>
      <w:r w:rsidR="00F6614D" w:rsidRPr="004F6DAA">
        <w:rPr>
          <w:noProof/>
        </w:rPr>
        <w:t>ogami niniejszego rozporządzenia, Komisja, właściwe organy</w:t>
      </w:r>
      <w:r w:rsidR="00062BFA" w:rsidRPr="004F6DAA">
        <w:rPr>
          <w:noProof/>
        </w:rPr>
        <w:t xml:space="preserve"> i</w:t>
      </w:r>
      <w:r w:rsidR="00062BFA">
        <w:rPr>
          <w:noProof/>
        </w:rPr>
        <w:t> </w:t>
      </w:r>
      <w:r w:rsidR="00062BFA" w:rsidRPr="004F6DAA">
        <w:rPr>
          <w:noProof/>
        </w:rPr>
        <w:t>org</w:t>
      </w:r>
      <w:r w:rsidR="00F6614D" w:rsidRPr="004F6DAA">
        <w:rPr>
          <w:noProof/>
        </w:rPr>
        <w:t>any celne ściśle ze sobą współpracują</w:t>
      </w:r>
      <w:r w:rsidR="00062BFA" w:rsidRPr="004F6DAA">
        <w:rPr>
          <w:noProof/>
        </w:rPr>
        <w:t xml:space="preserve"> i</w:t>
      </w:r>
      <w:r w:rsidR="00062BFA">
        <w:rPr>
          <w:noProof/>
        </w:rPr>
        <w:t> </w:t>
      </w:r>
      <w:r w:rsidR="00062BFA" w:rsidRPr="004F6DAA">
        <w:rPr>
          <w:noProof/>
        </w:rPr>
        <w:t>wym</w:t>
      </w:r>
      <w:r w:rsidR="00F6614D" w:rsidRPr="004F6DAA">
        <w:rPr>
          <w:noProof/>
        </w:rPr>
        <w:t xml:space="preserve">ieniają informacje. </w:t>
      </w:r>
    </w:p>
    <w:p w14:paraId="139D917A" w14:textId="77777777" w:rsidR="00F6614D" w:rsidRPr="004F6DAA" w:rsidRDefault="007B7EB7" w:rsidP="007B7EB7">
      <w:pPr>
        <w:pStyle w:val="ManualNumPar1"/>
        <w:rPr>
          <w:noProof/>
        </w:rPr>
      </w:pPr>
      <w:r w:rsidRPr="007B7EB7">
        <w:t>2.</w:t>
      </w:r>
      <w:r w:rsidRPr="007B7EB7">
        <w:tab/>
      </w:r>
      <w:r w:rsidR="00F6614D" w:rsidRPr="004F6DAA">
        <w:rPr>
          <w:noProof/>
        </w:rPr>
        <w:t>Organy celne</w:t>
      </w:r>
      <w:r w:rsidR="00062BFA" w:rsidRPr="004F6DAA">
        <w:rPr>
          <w:noProof/>
        </w:rPr>
        <w:t xml:space="preserve"> i</w:t>
      </w:r>
      <w:r w:rsidR="00062BFA">
        <w:rPr>
          <w:noProof/>
        </w:rPr>
        <w:t> </w:t>
      </w:r>
      <w:r w:rsidR="00062BFA" w:rsidRPr="004F6DAA">
        <w:rPr>
          <w:noProof/>
        </w:rPr>
        <w:t>wła</w:t>
      </w:r>
      <w:r w:rsidR="00F6614D" w:rsidRPr="004F6DAA">
        <w:rPr>
          <w:noProof/>
        </w:rPr>
        <w:t>ściwe organy współpracują zgodnie</w:t>
      </w:r>
      <w:r w:rsidR="00062BFA" w:rsidRPr="004F6DAA">
        <w:rPr>
          <w:noProof/>
        </w:rPr>
        <w:t xml:space="preserve"> z</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4</w:t>
      </w:r>
      <w:r w:rsidR="00F6614D" w:rsidRPr="004F6DAA">
        <w:rPr>
          <w:noProof/>
        </w:rPr>
        <w:t xml:space="preserve">7 </w:t>
      </w:r>
      <w:r w:rsidR="00F6614D" w:rsidRPr="00062BFA">
        <w:rPr>
          <w:noProof/>
        </w:rPr>
        <w:t>ust.</w:t>
      </w:r>
      <w:r w:rsidR="00062BFA" w:rsidRPr="00062BFA">
        <w:rPr>
          <w:noProof/>
        </w:rPr>
        <w:t> </w:t>
      </w:r>
      <w:r w:rsidR="00F6614D" w:rsidRPr="00062BFA">
        <w:rPr>
          <w:noProof/>
        </w:rPr>
        <w:t>2</w:t>
      </w:r>
      <w:r w:rsidR="00F6614D" w:rsidRPr="004F6DAA">
        <w:rPr>
          <w:noProof/>
        </w:rPr>
        <w:t xml:space="preserve"> rozporządzenia (UE) </w:t>
      </w:r>
      <w:r w:rsidR="00F6614D" w:rsidRPr="00062BFA">
        <w:rPr>
          <w:noProof/>
        </w:rPr>
        <w:t>nr</w:t>
      </w:r>
      <w:r w:rsidR="00062BFA" w:rsidRPr="00062BFA">
        <w:rPr>
          <w:noProof/>
        </w:rPr>
        <w:t> </w:t>
      </w:r>
      <w:r w:rsidR="00F6614D" w:rsidRPr="00062BFA">
        <w:rPr>
          <w:noProof/>
        </w:rPr>
        <w:t>9</w:t>
      </w:r>
      <w:r w:rsidR="00F6614D" w:rsidRPr="004F6DAA">
        <w:rPr>
          <w:noProof/>
        </w:rPr>
        <w:t>52/2013</w:t>
      </w:r>
      <w:r w:rsidR="00062BFA" w:rsidRPr="004F6DAA">
        <w:rPr>
          <w:noProof/>
        </w:rPr>
        <w:t xml:space="preserve"> i</w:t>
      </w:r>
      <w:r w:rsidR="00062BFA">
        <w:rPr>
          <w:noProof/>
        </w:rPr>
        <w:t> </w:t>
      </w:r>
      <w:r w:rsidR="00062BFA" w:rsidRPr="004F6DAA">
        <w:rPr>
          <w:noProof/>
        </w:rPr>
        <w:t>pro</w:t>
      </w:r>
      <w:r w:rsidR="00F6614D" w:rsidRPr="004F6DAA">
        <w:rPr>
          <w:noProof/>
        </w:rPr>
        <w:t>wadzą wymianę informacji niezbędnych do wypełniania swoich funkcji na podstawie niniejszego rozporządzenia,</w:t>
      </w:r>
      <w:r w:rsidR="00062BFA" w:rsidRPr="004F6DAA">
        <w:rPr>
          <w:noProof/>
        </w:rPr>
        <w:t xml:space="preserve"> w</w:t>
      </w:r>
      <w:r w:rsidR="00062BFA">
        <w:rPr>
          <w:noProof/>
        </w:rPr>
        <w:t> </w:t>
      </w:r>
      <w:r w:rsidR="00062BFA" w:rsidRPr="004F6DAA">
        <w:rPr>
          <w:noProof/>
        </w:rPr>
        <w:t>tym</w:t>
      </w:r>
      <w:r w:rsidR="00F6614D" w:rsidRPr="004F6DAA">
        <w:rPr>
          <w:noProof/>
        </w:rPr>
        <w:t xml:space="preserve"> za pośrednictwem środków elektronicznych. </w:t>
      </w:r>
    </w:p>
    <w:p w14:paraId="1EE2A367" w14:textId="77777777" w:rsidR="00F6614D" w:rsidRPr="004F6DAA" w:rsidRDefault="007B7EB7" w:rsidP="007B7EB7">
      <w:pPr>
        <w:pStyle w:val="ManualNumPar1"/>
        <w:rPr>
          <w:noProof/>
        </w:rPr>
      </w:pPr>
      <w:r w:rsidRPr="007B7EB7">
        <w:t>3.</w:t>
      </w:r>
      <w:r w:rsidRPr="007B7EB7">
        <w:tab/>
      </w:r>
      <w:r w:rsidR="00F6614D" w:rsidRPr="004F6DAA">
        <w:rPr>
          <w:noProof/>
        </w:rPr>
        <w:t xml:space="preserve">Informacje na temat ryzyka są wymieniane: </w:t>
      </w:r>
    </w:p>
    <w:p w14:paraId="77A37517" w14:textId="77777777" w:rsidR="00F6614D" w:rsidRPr="004F6DAA" w:rsidRDefault="00062BFA" w:rsidP="00062BFA">
      <w:pPr>
        <w:pStyle w:val="Point1"/>
        <w:rPr>
          <w:noProof/>
        </w:rPr>
      </w:pPr>
      <w:r w:rsidRPr="00062BFA">
        <w:rPr>
          <w:noProof/>
        </w:rPr>
        <w:t>a)</w:t>
      </w:r>
      <w:r w:rsidRPr="00062BFA">
        <w:rPr>
          <w:noProof/>
        </w:rPr>
        <w:tab/>
      </w:r>
      <w:r w:rsidR="00F6614D" w:rsidRPr="004F6DAA">
        <w:rPr>
          <w:noProof/>
        </w:rPr>
        <w:t>między organami celnymi zgodnie</w:t>
      </w:r>
      <w:r w:rsidRPr="004F6DAA">
        <w:rPr>
          <w:noProof/>
        </w:rPr>
        <w:t xml:space="preserve"> z</w:t>
      </w:r>
      <w:r>
        <w:rPr>
          <w:noProof/>
        </w:rPr>
        <w:t> </w:t>
      </w:r>
      <w:r w:rsidRPr="00062BFA">
        <w:rPr>
          <w:noProof/>
        </w:rPr>
        <w:t>art</w:t>
      </w:r>
      <w:r w:rsidR="00F6614D" w:rsidRPr="00062BFA">
        <w:rPr>
          <w:noProof/>
        </w:rPr>
        <w:t>.</w:t>
      </w:r>
      <w:r w:rsidRPr="00062BFA">
        <w:rPr>
          <w:noProof/>
        </w:rPr>
        <w:t> </w:t>
      </w:r>
      <w:r w:rsidR="00F6614D" w:rsidRPr="00062BFA">
        <w:rPr>
          <w:noProof/>
        </w:rPr>
        <w:t>4</w:t>
      </w:r>
      <w:r w:rsidR="00F6614D" w:rsidRPr="004F6DAA">
        <w:rPr>
          <w:noProof/>
        </w:rPr>
        <w:t xml:space="preserve">6 </w:t>
      </w:r>
      <w:r w:rsidR="00F6614D" w:rsidRPr="00062BFA">
        <w:rPr>
          <w:noProof/>
        </w:rPr>
        <w:t>ust.</w:t>
      </w:r>
      <w:r w:rsidRPr="00062BFA">
        <w:rPr>
          <w:noProof/>
        </w:rPr>
        <w:t> </w:t>
      </w:r>
      <w:r w:rsidR="00F6614D" w:rsidRPr="00062BFA">
        <w:rPr>
          <w:noProof/>
        </w:rPr>
        <w:t>5</w:t>
      </w:r>
      <w:r w:rsidR="00F6614D" w:rsidRPr="004F6DAA">
        <w:rPr>
          <w:noProof/>
        </w:rPr>
        <w:t xml:space="preserve"> rozporządzenia (UE) </w:t>
      </w:r>
      <w:r w:rsidR="00F6614D" w:rsidRPr="00062BFA">
        <w:rPr>
          <w:noProof/>
        </w:rPr>
        <w:t>nr</w:t>
      </w:r>
      <w:r w:rsidRPr="00062BFA">
        <w:rPr>
          <w:noProof/>
        </w:rPr>
        <w:t> </w:t>
      </w:r>
      <w:r w:rsidR="00F6614D" w:rsidRPr="00062BFA">
        <w:rPr>
          <w:noProof/>
        </w:rPr>
        <w:t>9</w:t>
      </w:r>
      <w:r w:rsidR="00F6614D" w:rsidRPr="004F6DAA">
        <w:rPr>
          <w:noProof/>
        </w:rPr>
        <w:t xml:space="preserve">52/2013 oraz </w:t>
      </w:r>
    </w:p>
    <w:p w14:paraId="54CFE8EB" w14:textId="77777777" w:rsidR="00F6614D" w:rsidRPr="004F6DAA" w:rsidRDefault="00062BFA" w:rsidP="00062BFA">
      <w:pPr>
        <w:pStyle w:val="Point1"/>
        <w:rPr>
          <w:noProof/>
        </w:rPr>
      </w:pPr>
      <w:r w:rsidRPr="00062BFA">
        <w:rPr>
          <w:noProof/>
        </w:rPr>
        <w:t>b)</w:t>
      </w:r>
      <w:r w:rsidRPr="00062BFA">
        <w:rPr>
          <w:noProof/>
        </w:rPr>
        <w:tab/>
      </w:r>
      <w:r w:rsidR="00F6614D" w:rsidRPr="004F6DAA">
        <w:rPr>
          <w:noProof/>
        </w:rPr>
        <w:t>między organami celnymi</w:t>
      </w:r>
      <w:r w:rsidRPr="004F6DAA">
        <w:rPr>
          <w:noProof/>
        </w:rPr>
        <w:t xml:space="preserve"> i</w:t>
      </w:r>
      <w:r>
        <w:rPr>
          <w:noProof/>
        </w:rPr>
        <w:t> </w:t>
      </w:r>
      <w:r w:rsidRPr="004F6DAA">
        <w:rPr>
          <w:noProof/>
        </w:rPr>
        <w:t>Kom</w:t>
      </w:r>
      <w:r w:rsidR="00F6614D" w:rsidRPr="004F6DAA">
        <w:rPr>
          <w:noProof/>
        </w:rPr>
        <w:t>isją zgodnie</w:t>
      </w:r>
      <w:r w:rsidRPr="004F6DAA">
        <w:rPr>
          <w:noProof/>
        </w:rPr>
        <w:t xml:space="preserve"> z</w:t>
      </w:r>
      <w:r>
        <w:rPr>
          <w:noProof/>
        </w:rPr>
        <w:t> </w:t>
      </w:r>
      <w:r w:rsidRPr="00062BFA">
        <w:rPr>
          <w:noProof/>
        </w:rPr>
        <w:t>art</w:t>
      </w:r>
      <w:r w:rsidR="00F6614D" w:rsidRPr="00062BFA">
        <w:rPr>
          <w:noProof/>
        </w:rPr>
        <w:t>.</w:t>
      </w:r>
      <w:r w:rsidRPr="00062BFA">
        <w:rPr>
          <w:noProof/>
        </w:rPr>
        <w:t> </w:t>
      </w:r>
      <w:r w:rsidR="00F6614D" w:rsidRPr="00062BFA">
        <w:rPr>
          <w:noProof/>
        </w:rPr>
        <w:t>1</w:t>
      </w:r>
      <w:r w:rsidR="00F6614D" w:rsidRPr="004F6DAA">
        <w:rPr>
          <w:noProof/>
        </w:rPr>
        <w:t xml:space="preserve">6 </w:t>
      </w:r>
      <w:r w:rsidR="00F6614D" w:rsidRPr="00062BFA">
        <w:rPr>
          <w:noProof/>
        </w:rPr>
        <w:t>ust.</w:t>
      </w:r>
      <w:r w:rsidRPr="00062BFA">
        <w:rPr>
          <w:noProof/>
        </w:rPr>
        <w:t> </w:t>
      </w:r>
      <w:r w:rsidR="00F6614D" w:rsidRPr="00062BFA">
        <w:rPr>
          <w:noProof/>
        </w:rPr>
        <w:t>1</w:t>
      </w:r>
      <w:r w:rsidR="00F6614D" w:rsidRPr="004F6DAA">
        <w:rPr>
          <w:noProof/>
        </w:rPr>
        <w:t xml:space="preserve"> rozporządzenia (UE) </w:t>
      </w:r>
      <w:r w:rsidR="00F6614D" w:rsidRPr="00062BFA">
        <w:rPr>
          <w:noProof/>
        </w:rPr>
        <w:t>nr</w:t>
      </w:r>
      <w:r w:rsidRPr="00062BFA">
        <w:rPr>
          <w:noProof/>
        </w:rPr>
        <w:t> </w:t>
      </w:r>
      <w:r w:rsidR="00F6614D" w:rsidRPr="00062BFA">
        <w:rPr>
          <w:noProof/>
        </w:rPr>
        <w:t>9</w:t>
      </w:r>
      <w:r w:rsidR="00F6614D" w:rsidRPr="004F6DAA">
        <w:rPr>
          <w:noProof/>
        </w:rPr>
        <w:t xml:space="preserve">52/2013. </w:t>
      </w:r>
    </w:p>
    <w:p w14:paraId="4727590F" w14:textId="77777777" w:rsidR="00F6614D" w:rsidRPr="004F6DAA" w:rsidRDefault="007B7EB7" w:rsidP="007B7EB7">
      <w:pPr>
        <w:pStyle w:val="ManualNumPar1"/>
        <w:rPr>
          <w:noProof/>
        </w:rPr>
      </w:pPr>
      <w:r w:rsidRPr="007B7EB7">
        <w:t>4.</w:t>
      </w:r>
      <w:r w:rsidRPr="007B7EB7">
        <w:tab/>
      </w:r>
      <w:r w:rsidR="00F6614D" w:rsidRPr="004F6DAA">
        <w:rPr>
          <w:noProof/>
        </w:rPr>
        <w:t>Jeżeli organy celne</w:t>
      </w:r>
      <w:r w:rsidR="00062BFA" w:rsidRPr="004F6DAA">
        <w:rPr>
          <w:noProof/>
        </w:rPr>
        <w:t xml:space="preserve"> w</w:t>
      </w:r>
      <w:r w:rsidR="00062BFA">
        <w:rPr>
          <w:noProof/>
        </w:rPr>
        <w:t> </w:t>
      </w:r>
      <w:r w:rsidR="00062BFA" w:rsidRPr="004F6DAA">
        <w:rPr>
          <w:noProof/>
        </w:rPr>
        <w:t>pie</w:t>
      </w:r>
      <w:r w:rsidR="00F6614D" w:rsidRPr="004F6DAA">
        <w:rPr>
          <w:noProof/>
        </w:rPr>
        <w:t>rwszym punkcie wprowadzenia mają powody, aby podejrzewać, że odnośne towary</w:t>
      </w:r>
      <w:r w:rsidR="00062BFA" w:rsidRPr="004F6DAA">
        <w:rPr>
          <w:noProof/>
        </w:rPr>
        <w:t xml:space="preserve"> i</w:t>
      </w:r>
      <w:r w:rsidR="00062BFA">
        <w:rPr>
          <w:noProof/>
        </w:rPr>
        <w:t> </w:t>
      </w:r>
      <w:r w:rsidR="00062BFA" w:rsidRPr="004F6DAA">
        <w:rPr>
          <w:noProof/>
        </w:rPr>
        <w:t>pro</w:t>
      </w:r>
      <w:r w:rsidR="00F6614D" w:rsidRPr="004F6DAA">
        <w:rPr>
          <w:noProof/>
        </w:rPr>
        <w:t>dukty podlegające niniejszemu rozporządzeniu, które podlegają czasowemu składowaniu albo które zostały objęte procedurą celną inną niż „dopuszczenie do obrotu”, są niezgodne</w:t>
      </w:r>
      <w:r w:rsidR="00062BFA" w:rsidRPr="004F6DAA">
        <w:rPr>
          <w:noProof/>
        </w:rPr>
        <w:t xml:space="preserve"> z</w:t>
      </w:r>
      <w:r w:rsidR="00062BFA">
        <w:rPr>
          <w:noProof/>
        </w:rPr>
        <w:t> </w:t>
      </w:r>
      <w:r w:rsidR="00062BFA" w:rsidRPr="004F6DAA">
        <w:rPr>
          <w:noProof/>
        </w:rPr>
        <w:t>nin</w:t>
      </w:r>
      <w:r w:rsidR="00F6614D" w:rsidRPr="004F6DAA">
        <w:rPr>
          <w:noProof/>
        </w:rPr>
        <w:t>iejszym rozporządzeniem, wówczas takie organy przekazują wszystkie stosowne informacje właściwemu urzędowi celnemu przeznaczenia.</w:t>
      </w:r>
    </w:p>
    <w:p w14:paraId="4B907E8C" w14:textId="77777777" w:rsidR="0060735C" w:rsidRPr="004F6DAA" w:rsidRDefault="00F6614D" w:rsidP="0060735C">
      <w:pPr>
        <w:keepNext/>
        <w:spacing w:before="360"/>
        <w:jc w:val="center"/>
        <w:rPr>
          <w:i/>
          <w:noProof/>
        </w:rPr>
      </w:pPr>
      <w:r w:rsidRPr="004F6DAA">
        <w:rPr>
          <w:i/>
          <w:noProof/>
        </w:rPr>
        <w:t>Artykuł 26</w:t>
      </w:r>
    </w:p>
    <w:p w14:paraId="0153A27F" w14:textId="77777777" w:rsidR="00F6614D" w:rsidRPr="004F6DAA" w:rsidRDefault="00F6614D" w:rsidP="0060735C">
      <w:pPr>
        <w:pStyle w:val="Sous-titreobjet"/>
        <w:rPr>
          <w:noProof/>
        </w:rPr>
      </w:pPr>
      <w:r w:rsidRPr="004F6DAA">
        <w:rPr>
          <w:noProof/>
        </w:rPr>
        <w:t>Elektroniczne interfejsy</w:t>
      </w:r>
    </w:p>
    <w:p w14:paraId="008D8941" w14:textId="77777777" w:rsidR="00F6614D" w:rsidRPr="004F6DAA" w:rsidRDefault="007B7EB7" w:rsidP="007B7EB7">
      <w:pPr>
        <w:pStyle w:val="ManualNumPar1"/>
        <w:rPr>
          <w:noProof/>
        </w:rPr>
      </w:pPr>
      <w:r w:rsidRPr="007B7EB7">
        <w:t>1.</w:t>
      </w:r>
      <w:r w:rsidRPr="007B7EB7">
        <w:tab/>
      </w:r>
      <w:r w:rsidR="00F6614D" w:rsidRPr="004F6DAA">
        <w:rPr>
          <w:noProof/>
        </w:rPr>
        <w:t>Komisja opracowuje elektroniczny interfejs</w:t>
      </w:r>
      <w:r w:rsidR="00062BFA" w:rsidRPr="004F6DAA">
        <w:rPr>
          <w:noProof/>
        </w:rPr>
        <w:t xml:space="preserve"> w</w:t>
      </w:r>
      <w:r w:rsidR="00062BFA">
        <w:rPr>
          <w:noProof/>
        </w:rPr>
        <w:t> </w:t>
      </w:r>
      <w:r w:rsidR="00062BFA" w:rsidRPr="004F6DAA">
        <w:rPr>
          <w:noProof/>
        </w:rPr>
        <w:t>opa</w:t>
      </w:r>
      <w:r w:rsidR="00F6614D" w:rsidRPr="004F6DAA">
        <w:rPr>
          <w:noProof/>
        </w:rPr>
        <w:t>rciu</w:t>
      </w:r>
      <w:r w:rsidR="00062BFA" w:rsidRPr="004F6DAA">
        <w:rPr>
          <w:noProof/>
        </w:rPr>
        <w:t xml:space="preserve"> o</w:t>
      </w:r>
      <w:r w:rsidR="00062BFA">
        <w:rPr>
          <w:noProof/>
        </w:rPr>
        <w:t> </w:t>
      </w:r>
      <w:r w:rsidR="00062BFA" w:rsidRPr="004F6DAA">
        <w:rPr>
          <w:noProof/>
        </w:rPr>
        <w:t>uni</w:t>
      </w:r>
      <w:r w:rsidR="00F6614D" w:rsidRPr="004F6DAA">
        <w:rPr>
          <w:noProof/>
        </w:rPr>
        <w:t>jne środowisko jednego okienka</w:t>
      </w:r>
      <w:r w:rsidR="00062BFA" w:rsidRPr="004F6DAA">
        <w:rPr>
          <w:noProof/>
        </w:rPr>
        <w:t xml:space="preserve"> w</w:t>
      </w:r>
      <w:r w:rsidR="00062BFA">
        <w:rPr>
          <w:noProof/>
        </w:rPr>
        <w:t> </w:t>
      </w:r>
      <w:r w:rsidR="00062BFA" w:rsidRPr="004F6DAA">
        <w:rPr>
          <w:noProof/>
        </w:rPr>
        <w:t>dzi</w:t>
      </w:r>
      <w:r w:rsidR="00F6614D" w:rsidRPr="004F6DAA">
        <w:rPr>
          <w:noProof/>
        </w:rPr>
        <w:t>edzinie ceł, aby umożliwić przekazywanie danych,</w:t>
      </w:r>
      <w:r w:rsidR="00062BFA" w:rsidRPr="004F6DAA">
        <w:rPr>
          <w:noProof/>
        </w:rPr>
        <w:t xml:space="preserve"> w</w:t>
      </w:r>
      <w:r w:rsidR="00062BFA">
        <w:rPr>
          <w:noProof/>
        </w:rPr>
        <w:t> </w:t>
      </w:r>
      <w:r w:rsidR="00062BFA" w:rsidRPr="004F6DAA">
        <w:rPr>
          <w:noProof/>
        </w:rPr>
        <w:t>szc</w:t>
      </w:r>
      <w:r w:rsidR="00F6614D" w:rsidRPr="004F6DAA">
        <w:rPr>
          <w:noProof/>
        </w:rPr>
        <w:t>zególności powiadomień</w:t>
      </w:r>
      <w:r w:rsidR="00062BFA" w:rsidRPr="004F6DAA">
        <w:rPr>
          <w:noProof/>
        </w:rPr>
        <w:t xml:space="preserve"> i</w:t>
      </w:r>
      <w:r w:rsidR="00062BFA">
        <w:rPr>
          <w:noProof/>
        </w:rPr>
        <w:t> </w:t>
      </w:r>
      <w:r w:rsidR="00062BFA" w:rsidRPr="004F6DAA">
        <w:rPr>
          <w:noProof/>
        </w:rPr>
        <w:t>wni</w:t>
      </w:r>
      <w:r w:rsidR="00F6614D" w:rsidRPr="004F6DAA">
        <w:rPr>
          <w:noProof/>
        </w:rPr>
        <w:t>osków,</w:t>
      </w:r>
      <w:r w:rsidR="00062BFA" w:rsidRPr="004F6DAA">
        <w:rPr>
          <w:noProof/>
        </w:rPr>
        <w:t xml:space="preserve"> o</w:t>
      </w:r>
      <w:r w:rsidR="00062BFA">
        <w:rPr>
          <w:noProof/>
        </w:rPr>
        <w:t> </w:t>
      </w:r>
      <w:r w:rsidR="00062BFA" w:rsidRPr="004F6DAA">
        <w:rPr>
          <w:noProof/>
        </w:rPr>
        <w:t>któ</w:t>
      </w:r>
      <w:r w:rsidR="00F6614D" w:rsidRPr="004F6DAA">
        <w:rPr>
          <w:noProof/>
        </w:rPr>
        <w:t>rych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2</w:t>
      </w:r>
      <w:r w:rsidR="00F6614D" w:rsidRPr="004F6DAA">
        <w:rPr>
          <w:noProof/>
        </w:rPr>
        <w:t xml:space="preserve">4 </w:t>
      </w:r>
      <w:r w:rsidR="00F6614D" w:rsidRPr="00062BFA">
        <w:rPr>
          <w:noProof/>
        </w:rPr>
        <w:t>ust.</w:t>
      </w:r>
      <w:r w:rsidR="00062BFA" w:rsidRPr="00062BFA">
        <w:rPr>
          <w:noProof/>
        </w:rPr>
        <w:t> </w:t>
      </w:r>
      <w:r w:rsidR="00F6614D" w:rsidRPr="00062BFA">
        <w:rPr>
          <w:noProof/>
        </w:rPr>
        <w:t>5</w:t>
      </w:r>
      <w:r w:rsidR="00F6614D" w:rsidRPr="004F6DAA">
        <w:rPr>
          <w:noProof/>
        </w:rPr>
        <w:t>–8, między krajowymi systemami celnymi</w:t>
      </w:r>
      <w:r w:rsidR="00062BFA" w:rsidRPr="004F6DAA">
        <w:rPr>
          <w:noProof/>
        </w:rPr>
        <w:t xml:space="preserve"> a</w:t>
      </w:r>
      <w:r w:rsidR="00062BFA">
        <w:rPr>
          <w:noProof/>
        </w:rPr>
        <w:t> </w:t>
      </w:r>
      <w:r w:rsidR="00062BFA" w:rsidRPr="004F6DAA">
        <w:rPr>
          <w:noProof/>
        </w:rPr>
        <w:t>sys</w:t>
      </w:r>
      <w:r w:rsidR="00F6614D" w:rsidRPr="004F6DAA">
        <w:rPr>
          <w:noProof/>
        </w:rPr>
        <w:t>temem informacyjnym,</w:t>
      </w:r>
      <w:r w:rsidR="00062BFA" w:rsidRPr="004F6DAA">
        <w:rPr>
          <w:noProof/>
        </w:rPr>
        <w:t xml:space="preserve"> o</w:t>
      </w:r>
      <w:r w:rsidR="00062BFA">
        <w:rPr>
          <w:noProof/>
        </w:rPr>
        <w:t> </w:t>
      </w:r>
      <w:r w:rsidR="00062BFA" w:rsidRPr="004F6DAA">
        <w:rPr>
          <w:noProof/>
        </w:rPr>
        <w:t>któ</w:t>
      </w:r>
      <w:r w:rsidR="00F6614D" w:rsidRPr="004F6DAA">
        <w:rPr>
          <w:noProof/>
        </w:rPr>
        <w:t>rym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3</w:t>
      </w:r>
      <w:r w:rsidR="00F6614D" w:rsidRPr="004F6DAA">
        <w:rPr>
          <w:noProof/>
        </w:rPr>
        <w:t>1. Ten elektroniczny interfejs zostanie wdrożony</w:t>
      </w:r>
      <w:r w:rsidR="00062BFA" w:rsidRPr="004F6DAA">
        <w:rPr>
          <w:noProof/>
        </w:rPr>
        <w:t xml:space="preserve"> w</w:t>
      </w:r>
      <w:r w:rsidR="00062BFA">
        <w:rPr>
          <w:noProof/>
        </w:rPr>
        <w:t> </w:t>
      </w:r>
      <w:r w:rsidR="00062BFA" w:rsidRPr="004F6DAA">
        <w:rPr>
          <w:noProof/>
        </w:rPr>
        <w:t>ter</w:t>
      </w:r>
      <w:r w:rsidR="00F6614D" w:rsidRPr="004F6DAA">
        <w:rPr>
          <w:noProof/>
        </w:rPr>
        <w:t>minie czterech lat od dnia przyjęcia odpowiedniego aktu wykonawczego,</w:t>
      </w:r>
      <w:r w:rsidR="00062BFA" w:rsidRPr="004F6DAA">
        <w:rPr>
          <w:noProof/>
        </w:rPr>
        <w:t xml:space="preserve"> o</w:t>
      </w:r>
      <w:r w:rsidR="00062BFA">
        <w:rPr>
          <w:noProof/>
        </w:rPr>
        <w:t> </w:t>
      </w:r>
      <w:r w:rsidR="00062BFA" w:rsidRPr="004F6DAA">
        <w:rPr>
          <w:noProof/>
        </w:rPr>
        <w:t>któ</w:t>
      </w:r>
      <w:r w:rsidR="00F6614D" w:rsidRPr="004F6DAA">
        <w:rPr>
          <w:noProof/>
        </w:rPr>
        <w:t>rym mowa</w:t>
      </w:r>
      <w:r w:rsidR="00062BFA" w:rsidRPr="004F6DAA">
        <w:rPr>
          <w:noProof/>
        </w:rPr>
        <w:t xml:space="preserve"> w</w:t>
      </w:r>
      <w:r w:rsidR="00062BFA">
        <w:rPr>
          <w:noProof/>
        </w:rPr>
        <w:t> </w:t>
      </w:r>
      <w:r w:rsidR="00062BFA" w:rsidRPr="00062BFA">
        <w:rPr>
          <w:noProof/>
        </w:rPr>
        <w:t>ust</w:t>
      </w:r>
      <w:r w:rsidR="00F6614D" w:rsidRPr="00062BFA">
        <w:rPr>
          <w:noProof/>
        </w:rPr>
        <w:t>.</w:t>
      </w:r>
      <w:r w:rsidR="00062BFA" w:rsidRPr="00062BFA">
        <w:rPr>
          <w:noProof/>
        </w:rPr>
        <w:t> </w:t>
      </w:r>
      <w:r w:rsidR="00F6614D" w:rsidRPr="00062BFA">
        <w:rPr>
          <w:noProof/>
        </w:rPr>
        <w:t>3</w:t>
      </w:r>
      <w:r w:rsidR="00F6614D" w:rsidRPr="004F6DAA">
        <w:rPr>
          <w:noProof/>
        </w:rPr>
        <w:t xml:space="preserve">. </w:t>
      </w:r>
    </w:p>
    <w:p w14:paraId="50D72F0C" w14:textId="77777777" w:rsidR="00F6614D" w:rsidRPr="004F6DAA" w:rsidRDefault="007B7EB7" w:rsidP="007B7EB7">
      <w:pPr>
        <w:pStyle w:val="ManualNumPar1"/>
        <w:rPr>
          <w:noProof/>
        </w:rPr>
      </w:pPr>
      <w:r w:rsidRPr="007B7EB7">
        <w:t>2.</w:t>
      </w:r>
      <w:r w:rsidRPr="007B7EB7">
        <w:tab/>
      </w:r>
      <w:r w:rsidR="00F6614D" w:rsidRPr="004F6DAA">
        <w:rPr>
          <w:noProof/>
        </w:rPr>
        <w:t>Komisja może opracować elektroniczny interfejs oparty na unijnym środowisku jednego okienka</w:t>
      </w:r>
      <w:r w:rsidR="00062BFA" w:rsidRPr="004F6DAA">
        <w:rPr>
          <w:noProof/>
        </w:rPr>
        <w:t xml:space="preserve"> w</w:t>
      </w:r>
      <w:r w:rsidR="00062BFA">
        <w:rPr>
          <w:noProof/>
        </w:rPr>
        <w:t> </w:t>
      </w:r>
      <w:r w:rsidR="00062BFA" w:rsidRPr="004F6DAA">
        <w:rPr>
          <w:noProof/>
        </w:rPr>
        <w:t>dzi</w:t>
      </w:r>
      <w:r w:rsidR="00F6614D" w:rsidRPr="004F6DAA">
        <w:rPr>
          <w:noProof/>
        </w:rPr>
        <w:t xml:space="preserve">edzinie ceł, aby umożliwić: </w:t>
      </w:r>
    </w:p>
    <w:p w14:paraId="6A34B9AE" w14:textId="77777777" w:rsidR="00F6614D" w:rsidRPr="004F6DAA" w:rsidRDefault="00062BFA" w:rsidP="00062BFA">
      <w:pPr>
        <w:pStyle w:val="Point1"/>
        <w:rPr>
          <w:noProof/>
        </w:rPr>
      </w:pPr>
      <w:r w:rsidRPr="00062BFA">
        <w:rPr>
          <w:noProof/>
        </w:rPr>
        <w:t>a)</w:t>
      </w:r>
      <w:r w:rsidRPr="00062BFA">
        <w:rPr>
          <w:noProof/>
        </w:rPr>
        <w:tab/>
      </w:r>
      <w:r w:rsidR="00F6614D" w:rsidRPr="004F6DAA">
        <w:rPr>
          <w:noProof/>
        </w:rPr>
        <w:t>udostępnianie przez podmioty handlowe</w:t>
      </w:r>
      <w:r w:rsidRPr="004F6DAA">
        <w:rPr>
          <w:noProof/>
        </w:rPr>
        <w:t xml:space="preserve"> i</w:t>
      </w:r>
      <w:r>
        <w:rPr>
          <w:noProof/>
        </w:rPr>
        <w:t> </w:t>
      </w:r>
      <w:r w:rsidRPr="004F6DAA">
        <w:rPr>
          <w:noProof/>
        </w:rPr>
        <w:t>pod</w:t>
      </w:r>
      <w:r w:rsidR="00F6614D" w:rsidRPr="004F6DAA">
        <w:rPr>
          <w:noProof/>
        </w:rPr>
        <w:t>mioty oświadczeń</w:t>
      </w:r>
      <w:r w:rsidRPr="004F6DAA">
        <w:rPr>
          <w:noProof/>
        </w:rPr>
        <w:t xml:space="preserve"> o</w:t>
      </w:r>
      <w:r>
        <w:rPr>
          <w:noProof/>
        </w:rPr>
        <w:t> </w:t>
      </w:r>
      <w:r w:rsidRPr="004F6DAA">
        <w:rPr>
          <w:noProof/>
        </w:rPr>
        <w:t>zac</w:t>
      </w:r>
      <w:r w:rsidR="00F6614D" w:rsidRPr="004F6DAA">
        <w:rPr>
          <w:noProof/>
        </w:rPr>
        <w:t>howaniu należytej staranności</w:t>
      </w:r>
      <w:r w:rsidRPr="004F6DAA">
        <w:rPr>
          <w:noProof/>
        </w:rPr>
        <w:t xml:space="preserve"> w</w:t>
      </w:r>
      <w:r>
        <w:rPr>
          <w:noProof/>
        </w:rPr>
        <w:t> </w:t>
      </w:r>
      <w:r w:rsidRPr="004F6DAA">
        <w:rPr>
          <w:noProof/>
        </w:rPr>
        <w:t>odn</w:t>
      </w:r>
      <w:r w:rsidR="00F6614D" w:rsidRPr="004F6DAA">
        <w:rPr>
          <w:noProof/>
        </w:rPr>
        <w:t>iesieniu do odnośnego towaru lub produktu za pośrednictwem krajowego środowiska jednego okienka</w:t>
      </w:r>
      <w:r w:rsidRPr="004F6DAA">
        <w:rPr>
          <w:noProof/>
        </w:rPr>
        <w:t xml:space="preserve"> w</w:t>
      </w:r>
      <w:r>
        <w:rPr>
          <w:noProof/>
        </w:rPr>
        <w:t> </w:t>
      </w:r>
      <w:r w:rsidRPr="004F6DAA">
        <w:rPr>
          <w:noProof/>
        </w:rPr>
        <w:t>dzi</w:t>
      </w:r>
      <w:r w:rsidR="00F6614D" w:rsidRPr="004F6DAA">
        <w:rPr>
          <w:noProof/>
        </w:rPr>
        <w:t>edzinie ceł,</w:t>
      </w:r>
      <w:r w:rsidRPr="004F6DAA">
        <w:rPr>
          <w:noProof/>
        </w:rPr>
        <w:t xml:space="preserve"> o</w:t>
      </w:r>
      <w:r>
        <w:rPr>
          <w:noProof/>
        </w:rPr>
        <w:t> </w:t>
      </w:r>
      <w:r w:rsidRPr="004F6DAA">
        <w:rPr>
          <w:noProof/>
        </w:rPr>
        <w:t>któ</w:t>
      </w:r>
      <w:r w:rsidR="00F6614D" w:rsidRPr="004F6DAA">
        <w:rPr>
          <w:noProof/>
        </w:rPr>
        <w:t>rym mowa</w:t>
      </w:r>
      <w:r w:rsidRPr="004F6DAA">
        <w:rPr>
          <w:noProof/>
        </w:rPr>
        <w:t xml:space="preserve"> w</w:t>
      </w:r>
      <w:r>
        <w:rPr>
          <w:noProof/>
        </w:rPr>
        <w:t> </w:t>
      </w:r>
      <w:r w:rsidRPr="00062BFA">
        <w:rPr>
          <w:noProof/>
          <w:color w:val="FF0000"/>
        </w:rPr>
        <w:t>art</w:t>
      </w:r>
      <w:r w:rsidR="00F6614D" w:rsidRPr="00062BFA">
        <w:rPr>
          <w:noProof/>
          <w:color w:val="FF0000"/>
        </w:rPr>
        <w:t>.</w:t>
      </w:r>
      <w:r w:rsidRPr="00062BFA">
        <w:rPr>
          <w:noProof/>
          <w:color w:val="FF0000"/>
        </w:rPr>
        <w:t> </w:t>
      </w:r>
      <w:r w:rsidR="00F6614D" w:rsidRPr="00062BFA">
        <w:rPr>
          <w:noProof/>
          <w:color w:val="FF0000"/>
        </w:rPr>
        <w:t>8</w:t>
      </w:r>
      <w:r w:rsidR="00F6614D" w:rsidRPr="004F6DAA">
        <w:rPr>
          <w:noProof/>
          <w:color w:val="FF0000"/>
        </w:rPr>
        <w:t xml:space="preserve"> rozporządzenia </w:t>
      </w:r>
      <w:r w:rsidR="00F6614D" w:rsidRPr="004F6DAA">
        <w:rPr>
          <w:noProof/>
        </w:rPr>
        <w:t>[</w:t>
      </w:r>
      <w:r w:rsidR="00F6614D" w:rsidRPr="004F6DAA">
        <w:rPr>
          <w:i/>
          <w:noProof/>
          <w:color w:val="FF0000"/>
        </w:rPr>
        <w:t>Urząd Publikacji proszony jest</w:t>
      </w:r>
      <w:r w:rsidRPr="004F6DAA">
        <w:rPr>
          <w:i/>
          <w:noProof/>
          <w:color w:val="FF0000"/>
        </w:rPr>
        <w:t xml:space="preserve"> o</w:t>
      </w:r>
      <w:r>
        <w:rPr>
          <w:i/>
          <w:noProof/>
          <w:color w:val="FF0000"/>
        </w:rPr>
        <w:t> </w:t>
      </w:r>
      <w:r w:rsidRPr="004F6DAA">
        <w:rPr>
          <w:i/>
          <w:noProof/>
          <w:color w:val="FF0000"/>
        </w:rPr>
        <w:t>spr</w:t>
      </w:r>
      <w:r w:rsidR="00F6614D" w:rsidRPr="004F6DAA">
        <w:rPr>
          <w:i/>
          <w:noProof/>
          <w:color w:val="FF0000"/>
        </w:rPr>
        <w:t>awdzenie numeru referencyjnego</w:t>
      </w:r>
      <w:r w:rsidRPr="004F6DAA">
        <w:rPr>
          <w:i/>
          <w:noProof/>
          <w:color w:val="FF0000"/>
        </w:rPr>
        <w:t xml:space="preserve"> i</w:t>
      </w:r>
      <w:r>
        <w:rPr>
          <w:i/>
          <w:noProof/>
          <w:color w:val="FF0000"/>
        </w:rPr>
        <w:t> </w:t>
      </w:r>
      <w:r w:rsidRPr="004F6DAA">
        <w:rPr>
          <w:i/>
          <w:noProof/>
          <w:color w:val="FF0000"/>
        </w:rPr>
        <w:t>num</w:t>
      </w:r>
      <w:r w:rsidR="00F6614D" w:rsidRPr="004F6DAA">
        <w:rPr>
          <w:i/>
          <w:noProof/>
          <w:color w:val="FF0000"/>
        </w:rPr>
        <w:t>eru artykułu po przyjęciu wniosku</w:t>
      </w:r>
      <w:r w:rsidR="00F6614D" w:rsidRPr="004F6DAA">
        <w:rPr>
          <w:noProof/>
        </w:rPr>
        <w:t xml:space="preserve">], oraz otrzymanie informacji zwrotnej na ten temat od właściwych organów oraz </w:t>
      </w:r>
    </w:p>
    <w:p w14:paraId="03C44366" w14:textId="77777777" w:rsidR="00F6614D" w:rsidRPr="004F6DAA" w:rsidRDefault="00062BFA" w:rsidP="00062BFA">
      <w:pPr>
        <w:pStyle w:val="Point1"/>
        <w:rPr>
          <w:noProof/>
        </w:rPr>
      </w:pPr>
      <w:r w:rsidRPr="00062BFA">
        <w:rPr>
          <w:noProof/>
        </w:rPr>
        <w:t>b)</w:t>
      </w:r>
      <w:r w:rsidRPr="00062BFA">
        <w:rPr>
          <w:noProof/>
        </w:rPr>
        <w:tab/>
      </w:r>
      <w:r w:rsidR="00F6614D" w:rsidRPr="004F6DAA">
        <w:rPr>
          <w:noProof/>
        </w:rPr>
        <w:t>przekazanie oświadczenia</w:t>
      </w:r>
      <w:r w:rsidRPr="004F6DAA">
        <w:rPr>
          <w:noProof/>
        </w:rPr>
        <w:t xml:space="preserve"> o</w:t>
      </w:r>
      <w:r>
        <w:rPr>
          <w:noProof/>
        </w:rPr>
        <w:t> </w:t>
      </w:r>
      <w:r w:rsidRPr="004F6DAA">
        <w:rPr>
          <w:noProof/>
        </w:rPr>
        <w:t>zac</w:t>
      </w:r>
      <w:r w:rsidR="00F6614D" w:rsidRPr="004F6DAA">
        <w:rPr>
          <w:noProof/>
        </w:rPr>
        <w:t>howaniu należytej staranności do systemu informacyjnego,</w:t>
      </w:r>
      <w:r w:rsidRPr="004F6DAA">
        <w:rPr>
          <w:noProof/>
        </w:rPr>
        <w:t xml:space="preserve"> o</w:t>
      </w:r>
      <w:r>
        <w:rPr>
          <w:noProof/>
        </w:rPr>
        <w:t> </w:t>
      </w:r>
      <w:r w:rsidRPr="004F6DAA">
        <w:rPr>
          <w:noProof/>
        </w:rPr>
        <w:t>któ</w:t>
      </w:r>
      <w:r w:rsidR="00F6614D" w:rsidRPr="004F6DAA">
        <w:rPr>
          <w:noProof/>
        </w:rPr>
        <w:t>rym mowa</w:t>
      </w:r>
      <w:r w:rsidRPr="004F6DAA">
        <w:rPr>
          <w:noProof/>
        </w:rPr>
        <w:t xml:space="preserve"> w</w:t>
      </w:r>
      <w:r>
        <w:rPr>
          <w:noProof/>
        </w:rPr>
        <w:t> </w:t>
      </w:r>
      <w:r w:rsidRPr="00062BFA">
        <w:rPr>
          <w:noProof/>
        </w:rPr>
        <w:t>art</w:t>
      </w:r>
      <w:r w:rsidR="00F6614D" w:rsidRPr="00062BFA">
        <w:rPr>
          <w:noProof/>
        </w:rPr>
        <w:t>.</w:t>
      </w:r>
      <w:r w:rsidRPr="00062BFA">
        <w:rPr>
          <w:noProof/>
        </w:rPr>
        <w:t> </w:t>
      </w:r>
      <w:r w:rsidR="00F6614D" w:rsidRPr="00062BFA">
        <w:rPr>
          <w:noProof/>
        </w:rPr>
        <w:t>3</w:t>
      </w:r>
      <w:r w:rsidR="00F6614D" w:rsidRPr="004F6DAA">
        <w:rPr>
          <w:noProof/>
        </w:rPr>
        <w:t xml:space="preserve">1 niniejszego rozporządzenia. </w:t>
      </w:r>
    </w:p>
    <w:p w14:paraId="1B5A44D9" w14:textId="77777777" w:rsidR="00F6614D" w:rsidRPr="004F6DAA" w:rsidRDefault="007B7EB7" w:rsidP="007B7EB7">
      <w:pPr>
        <w:pStyle w:val="ManualNumPar1"/>
        <w:rPr>
          <w:noProof/>
        </w:rPr>
      </w:pPr>
      <w:r w:rsidRPr="007B7EB7">
        <w:t>3.</w:t>
      </w:r>
      <w:r w:rsidRPr="007B7EB7">
        <w:tab/>
      </w:r>
      <w:r w:rsidR="00F6614D" w:rsidRPr="004F6DAA">
        <w:rPr>
          <w:noProof/>
        </w:rPr>
        <w:t xml:space="preserve">Komisja przyjmuje akty wykonawcze określające szczegóły ustaleń dotyczących wdrożenia </w:t>
      </w:r>
      <w:r w:rsidR="00F6614D" w:rsidRPr="00062BFA">
        <w:rPr>
          <w:noProof/>
        </w:rPr>
        <w:t>ust.</w:t>
      </w:r>
      <w:r w:rsidR="00062BFA" w:rsidRPr="00062BFA">
        <w:rPr>
          <w:noProof/>
        </w:rPr>
        <w:t> </w:t>
      </w:r>
      <w:r w:rsidR="00F6614D" w:rsidRPr="00062BFA">
        <w:rPr>
          <w:noProof/>
        </w:rPr>
        <w:t>1</w:t>
      </w:r>
      <w:r w:rsidR="00062BFA" w:rsidRPr="004F6DAA">
        <w:rPr>
          <w:noProof/>
        </w:rPr>
        <w:t xml:space="preserve"> i</w:t>
      </w:r>
      <w:r w:rsidR="00062BFA">
        <w:rPr>
          <w:noProof/>
        </w:rPr>
        <w:t> </w:t>
      </w:r>
      <w:r w:rsidR="00062BFA" w:rsidRPr="004F6DAA">
        <w:rPr>
          <w:noProof/>
        </w:rPr>
        <w:t>2</w:t>
      </w:r>
      <w:r w:rsidR="00F6614D" w:rsidRPr="004F6DAA">
        <w:rPr>
          <w:noProof/>
        </w:rPr>
        <w:t xml:space="preserve"> oraz</w:t>
      </w:r>
      <w:r w:rsidR="00062BFA" w:rsidRPr="004F6DAA">
        <w:rPr>
          <w:noProof/>
        </w:rPr>
        <w:t xml:space="preserve"> w</w:t>
      </w:r>
      <w:r w:rsidR="00062BFA">
        <w:rPr>
          <w:noProof/>
        </w:rPr>
        <w:t> </w:t>
      </w:r>
      <w:r w:rsidR="00062BFA" w:rsidRPr="004F6DAA">
        <w:rPr>
          <w:noProof/>
        </w:rPr>
        <w:t>szc</w:t>
      </w:r>
      <w:r w:rsidR="00F6614D" w:rsidRPr="004F6DAA">
        <w:rPr>
          <w:noProof/>
        </w:rPr>
        <w:t>zególności określające dane,</w:t>
      </w:r>
      <w:r w:rsidR="00062BFA" w:rsidRPr="004F6DAA">
        <w:rPr>
          <w:noProof/>
        </w:rPr>
        <w:t xml:space="preserve"> w</w:t>
      </w:r>
      <w:r w:rsidR="00062BFA">
        <w:rPr>
          <w:noProof/>
        </w:rPr>
        <w:t> </w:t>
      </w:r>
      <w:r w:rsidR="00062BFA" w:rsidRPr="004F6DAA">
        <w:rPr>
          <w:noProof/>
        </w:rPr>
        <w:t>tym</w:t>
      </w:r>
      <w:r w:rsidR="00F6614D" w:rsidRPr="004F6DAA">
        <w:rPr>
          <w:noProof/>
        </w:rPr>
        <w:t xml:space="preserve"> ich format, które mają być przekazywane zgodnie</w:t>
      </w:r>
      <w:r w:rsidR="00062BFA" w:rsidRPr="004F6DAA">
        <w:rPr>
          <w:noProof/>
        </w:rPr>
        <w:t xml:space="preserve"> z</w:t>
      </w:r>
      <w:r w:rsidR="00062BFA">
        <w:rPr>
          <w:noProof/>
        </w:rPr>
        <w:t> </w:t>
      </w:r>
      <w:r w:rsidR="00062BFA" w:rsidRPr="00062BFA">
        <w:rPr>
          <w:noProof/>
        </w:rPr>
        <w:t>ust</w:t>
      </w:r>
      <w:r w:rsidR="00F6614D" w:rsidRPr="00062BFA">
        <w:rPr>
          <w:noProof/>
        </w:rPr>
        <w:t>.</w:t>
      </w:r>
      <w:r w:rsidR="00062BFA" w:rsidRPr="00062BFA">
        <w:rPr>
          <w:noProof/>
        </w:rPr>
        <w:t> </w:t>
      </w:r>
      <w:r w:rsidR="00F6614D" w:rsidRPr="00062BFA">
        <w:rPr>
          <w:noProof/>
        </w:rPr>
        <w:t>1</w:t>
      </w:r>
      <w:r w:rsidR="00062BFA" w:rsidRPr="004F6DAA">
        <w:rPr>
          <w:noProof/>
        </w:rPr>
        <w:t xml:space="preserve"> i</w:t>
      </w:r>
      <w:r w:rsidR="00062BFA">
        <w:rPr>
          <w:noProof/>
        </w:rPr>
        <w:t> </w:t>
      </w:r>
      <w:r w:rsidR="00062BFA" w:rsidRPr="004F6DAA">
        <w:rPr>
          <w:noProof/>
        </w:rPr>
        <w:t>2. W</w:t>
      </w:r>
      <w:r w:rsidR="00062BFA">
        <w:rPr>
          <w:noProof/>
        </w:rPr>
        <w:t> </w:t>
      </w:r>
      <w:r w:rsidR="00062BFA" w:rsidRPr="004F6DAA">
        <w:rPr>
          <w:noProof/>
        </w:rPr>
        <w:t>akt</w:t>
      </w:r>
      <w:r w:rsidR="00F6614D" w:rsidRPr="004F6DAA">
        <w:rPr>
          <w:noProof/>
        </w:rPr>
        <w:t>ach wykonawczych można również określić, że niektóre szczegółowe dane dostępne</w:t>
      </w:r>
      <w:r w:rsidR="00062BFA" w:rsidRPr="004F6DAA">
        <w:rPr>
          <w:noProof/>
        </w:rPr>
        <w:t xml:space="preserve"> w</w:t>
      </w:r>
      <w:r w:rsidR="00062BFA">
        <w:rPr>
          <w:noProof/>
        </w:rPr>
        <w:t> </w:t>
      </w:r>
      <w:r w:rsidR="00062BFA" w:rsidRPr="004F6DAA">
        <w:rPr>
          <w:noProof/>
        </w:rPr>
        <w:t>ośw</w:t>
      </w:r>
      <w:r w:rsidR="00F6614D" w:rsidRPr="004F6DAA">
        <w:rPr>
          <w:noProof/>
        </w:rPr>
        <w:t>iadczeniu</w:t>
      </w:r>
      <w:r w:rsidR="00062BFA" w:rsidRPr="004F6DAA">
        <w:rPr>
          <w:noProof/>
        </w:rPr>
        <w:t xml:space="preserve"> o</w:t>
      </w:r>
      <w:r w:rsidR="00062BFA">
        <w:rPr>
          <w:noProof/>
        </w:rPr>
        <w:t> </w:t>
      </w:r>
      <w:r w:rsidR="00062BFA" w:rsidRPr="004F6DAA">
        <w:rPr>
          <w:noProof/>
        </w:rPr>
        <w:t>zac</w:t>
      </w:r>
      <w:r w:rsidR="00F6614D" w:rsidRPr="004F6DAA">
        <w:rPr>
          <w:noProof/>
        </w:rPr>
        <w:t>howaniu należytej staranności</w:t>
      </w:r>
      <w:r w:rsidR="00062BFA" w:rsidRPr="004F6DAA">
        <w:rPr>
          <w:noProof/>
        </w:rPr>
        <w:t xml:space="preserve"> i</w:t>
      </w:r>
      <w:r w:rsidR="00062BFA">
        <w:rPr>
          <w:noProof/>
        </w:rPr>
        <w:t> </w:t>
      </w:r>
      <w:r w:rsidR="00062BFA" w:rsidRPr="004F6DAA">
        <w:rPr>
          <w:noProof/>
        </w:rPr>
        <w:t>nie</w:t>
      </w:r>
      <w:r w:rsidR="00F6614D" w:rsidRPr="004F6DAA">
        <w:rPr>
          <w:noProof/>
        </w:rPr>
        <w:t>zbędne do działań organów celnych,</w:t>
      </w:r>
      <w:r w:rsidR="00062BFA" w:rsidRPr="004F6DAA">
        <w:rPr>
          <w:noProof/>
        </w:rPr>
        <w:t xml:space="preserve"> w</w:t>
      </w:r>
      <w:r w:rsidR="00062BFA">
        <w:rPr>
          <w:noProof/>
        </w:rPr>
        <w:t> </w:t>
      </w:r>
      <w:r w:rsidR="00062BFA" w:rsidRPr="004F6DAA">
        <w:rPr>
          <w:noProof/>
        </w:rPr>
        <w:t>tym</w:t>
      </w:r>
      <w:r w:rsidR="00F6614D" w:rsidRPr="004F6DAA">
        <w:rPr>
          <w:noProof/>
        </w:rPr>
        <w:t xml:space="preserve"> nadzoru</w:t>
      </w:r>
      <w:r w:rsidR="00062BFA" w:rsidRPr="004F6DAA">
        <w:rPr>
          <w:noProof/>
        </w:rPr>
        <w:t xml:space="preserve"> i</w:t>
      </w:r>
      <w:r w:rsidR="00062BFA">
        <w:rPr>
          <w:noProof/>
        </w:rPr>
        <w:t> </w:t>
      </w:r>
      <w:r w:rsidR="00062BFA" w:rsidRPr="004F6DAA">
        <w:rPr>
          <w:noProof/>
        </w:rPr>
        <w:t>zwa</w:t>
      </w:r>
      <w:r w:rsidR="00F6614D" w:rsidRPr="004F6DAA">
        <w:rPr>
          <w:noProof/>
        </w:rPr>
        <w:t>lczania oszustw, są przekazywane</w:t>
      </w:r>
      <w:r w:rsidR="00062BFA" w:rsidRPr="004F6DAA">
        <w:rPr>
          <w:noProof/>
        </w:rPr>
        <w:t xml:space="preserve"> i</w:t>
      </w:r>
      <w:r w:rsidR="00062BFA">
        <w:rPr>
          <w:noProof/>
        </w:rPr>
        <w:t> </w:t>
      </w:r>
      <w:r w:rsidR="00062BFA" w:rsidRPr="004F6DAA">
        <w:rPr>
          <w:noProof/>
        </w:rPr>
        <w:t>rej</w:t>
      </w:r>
      <w:r w:rsidR="00F6614D" w:rsidRPr="004F6DAA">
        <w:rPr>
          <w:noProof/>
        </w:rPr>
        <w:t>estrowane</w:t>
      </w:r>
      <w:r w:rsidR="00062BFA" w:rsidRPr="004F6DAA">
        <w:rPr>
          <w:noProof/>
        </w:rPr>
        <w:t xml:space="preserve"> w</w:t>
      </w:r>
      <w:r w:rsidR="00062BFA">
        <w:rPr>
          <w:noProof/>
        </w:rPr>
        <w:t> </w:t>
      </w:r>
      <w:r w:rsidR="00062BFA" w:rsidRPr="004F6DAA">
        <w:rPr>
          <w:noProof/>
        </w:rPr>
        <w:t>uni</w:t>
      </w:r>
      <w:r w:rsidR="00F6614D" w:rsidRPr="004F6DAA">
        <w:rPr>
          <w:noProof/>
        </w:rPr>
        <w:t>jnych</w:t>
      </w:r>
      <w:r w:rsidR="00062BFA" w:rsidRPr="004F6DAA">
        <w:rPr>
          <w:noProof/>
        </w:rPr>
        <w:t xml:space="preserve"> i</w:t>
      </w:r>
      <w:r w:rsidR="00062BFA">
        <w:rPr>
          <w:noProof/>
        </w:rPr>
        <w:t> </w:t>
      </w:r>
      <w:r w:rsidR="00062BFA" w:rsidRPr="004F6DAA">
        <w:rPr>
          <w:noProof/>
        </w:rPr>
        <w:t>kra</w:t>
      </w:r>
      <w:r w:rsidR="00F6614D" w:rsidRPr="004F6DAA">
        <w:rPr>
          <w:noProof/>
        </w:rPr>
        <w:t>jowych systemach celnych. Akty te przyjmuje się zgodnie</w:t>
      </w:r>
      <w:r w:rsidR="00062BFA" w:rsidRPr="004F6DAA">
        <w:rPr>
          <w:noProof/>
        </w:rPr>
        <w:t xml:space="preserve"> z</w:t>
      </w:r>
      <w:r w:rsidR="00062BFA">
        <w:rPr>
          <w:noProof/>
        </w:rPr>
        <w:t> </w:t>
      </w:r>
      <w:r w:rsidR="00062BFA" w:rsidRPr="004F6DAA">
        <w:rPr>
          <w:noProof/>
        </w:rPr>
        <w:t>pro</w:t>
      </w:r>
      <w:r w:rsidR="00F6614D" w:rsidRPr="004F6DAA">
        <w:rPr>
          <w:noProof/>
        </w:rPr>
        <w:t>cedurą sprawdzającą,</w:t>
      </w:r>
      <w:r w:rsidR="00062BFA" w:rsidRPr="004F6DAA">
        <w:rPr>
          <w:noProof/>
        </w:rPr>
        <w:t xml:space="preserve"> o</w:t>
      </w:r>
      <w:r w:rsidR="00062BFA">
        <w:rPr>
          <w:noProof/>
        </w:rPr>
        <w:t> </w:t>
      </w:r>
      <w:r w:rsidR="00062BFA" w:rsidRPr="004F6DAA">
        <w:rPr>
          <w:noProof/>
        </w:rPr>
        <w:t>któ</w:t>
      </w:r>
      <w:r w:rsidR="00F6614D" w:rsidRPr="004F6DAA">
        <w:rPr>
          <w:noProof/>
        </w:rPr>
        <w:t>rej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3</w:t>
      </w:r>
      <w:r w:rsidR="00F6614D" w:rsidRPr="004F6DAA">
        <w:rPr>
          <w:noProof/>
        </w:rPr>
        <w:t xml:space="preserve">4 </w:t>
      </w:r>
      <w:r w:rsidR="00F6614D" w:rsidRPr="00062BFA">
        <w:rPr>
          <w:noProof/>
        </w:rPr>
        <w:t>ust.</w:t>
      </w:r>
      <w:r w:rsidR="00062BFA" w:rsidRPr="00062BFA">
        <w:rPr>
          <w:noProof/>
        </w:rPr>
        <w:t> </w:t>
      </w:r>
      <w:r w:rsidR="00F6614D" w:rsidRPr="00062BFA">
        <w:rPr>
          <w:noProof/>
        </w:rPr>
        <w:t>2</w:t>
      </w:r>
      <w:r w:rsidR="00F6614D" w:rsidRPr="004F6DAA">
        <w:rPr>
          <w:noProof/>
        </w:rPr>
        <w:t>.</w:t>
      </w:r>
    </w:p>
    <w:p w14:paraId="710FF36C" w14:textId="77777777" w:rsidR="00F6614D" w:rsidRPr="004F6DAA" w:rsidRDefault="00F6614D" w:rsidP="00F6614D">
      <w:pPr>
        <w:spacing w:before="0" w:after="200" w:line="276" w:lineRule="auto"/>
        <w:jc w:val="left"/>
        <w:rPr>
          <w:noProof/>
        </w:rPr>
      </w:pPr>
    </w:p>
    <w:p w14:paraId="0BFA7817" w14:textId="77777777" w:rsidR="00201A50" w:rsidRPr="004F6DAA" w:rsidRDefault="00F6614D" w:rsidP="00F6614D">
      <w:pPr>
        <w:pStyle w:val="ChapterTitle"/>
        <w:rPr>
          <w:noProof/>
        </w:rPr>
      </w:pPr>
      <w:r w:rsidRPr="004F6DAA">
        <w:rPr>
          <w:noProof/>
        </w:rPr>
        <w:t>Rozdział 5</w:t>
      </w:r>
    </w:p>
    <w:p w14:paraId="22DDB597" w14:textId="77777777" w:rsidR="00F6614D" w:rsidRPr="004F6DAA" w:rsidRDefault="00F6614D" w:rsidP="00F6614D">
      <w:pPr>
        <w:pStyle w:val="ChapterTitle"/>
        <w:rPr>
          <w:i/>
          <w:noProof/>
        </w:rPr>
      </w:pPr>
      <w:r w:rsidRPr="004F6DAA">
        <w:rPr>
          <w:noProof/>
        </w:rPr>
        <w:t>System wskaźników dla poszczególnych krajów</w:t>
      </w:r>
      <w:r w:rsidR="00062BFA" w:rsidRPr="004F6DAA">
        <w:rPr>
          <w:noProof/>
        </w:rPr>
        <w:t xml:space="preserve"> i</w:t>
      </w:r>
      <w:r w:rsidR="00062BFA">
        <w:rPr>
          <w:noProof/>
        </w:rPr>
        <w:t> </w:t>
      </w:r>
      <w:r w:rsidR="00062BFA" w:rsidRPr="004F6DAA">
        <w:rPr>
          <w:noProof/>
        </w:rPr>
        <w:t>wsp</w:t>
      </w:r>
      <w:r w:rsidRPr="004F6DAA">
        <w:rPr>
          <w:noProof/>
        </w:rPr>
        <w:t>ółpraca</w:t>
      </w:r>
      <w:r w:rsidR="00062BFA" w:rsidRPr="004F6DAA">
        <w:rPr>
          <w:noProof/>
        </w:rPr>
        <w:t xml:space="preserve"> z</w:t>
      </w:r>
      <w:r w:rsidR="00062BFA">
        <w:rPr>
          <w:noProof/>
        </w:rPr>
        <w:t> </w:t>
      </w:r>
      <w:r w:rsidR="00062BFA" w:rsidRPr="004F6DAA">
        <w:rPr>
          <w:noProof/>
        </w:rPr>
        <w:t>pań</w:t>
      </w:r>
      <w:r w:rsidRPr="004F6DAA">
        <w:rPr>
          <w:noProof/>
        </w:rPr>
        <w:t xml:space="preserve">stwami trzecimi </w:t>
      </w:r>
    </w:p>
    <w:p w14:paraId="2E8C3447" w14:textId="77777777" w:rsidR="0060735C" w:rsidRPr="004F6DAA" w:rsidRDefault="00F6614D" w:rsidP="0060735C">
      <w:pPr>
        <w:pStyle w:val="Titrearticle"/>
        <w:rPr>
          <w:noProof/>
        </w:rPr>
      </w:pPr>
      <w:r w:rsidRPr="004F6DAA">
        <w:rPr>
          <w:noProof/>
        </w:rPr>
        <w:t>Artykuł 27</w:t>
      </w:r>
    </w:p>
    <w:p w14:paraId="53BE5A23" w14:textId="77777777" w:rsidR="00F6614D" w:rsidRPr="004F6DAA" w:rsidRDefault="00F6614D" w:rsidP="0060735C">
      <w:pPr>
        <w:pStyle w:val="Sous-titreobjet"/>
        <w:rPr>
          <w:noProof/>
        </w:rPr>
      </w:pPr>
      <w:r w:rsidRPr="004F6DAA">
        <w:rPr>
          <w:noProof/>
        </w:rPr>
        <w:t>Ocena państw</w:t>
      </w:r>
    </w:p>
    <w:p w14:paraId="4894E275" w14:textId="77777777" w:rsidR="00F6614D" w:rsidRPr="004F6DAA" w:rsidRDefault="007B7EB7" w:rsidP="007B7EB7">
      <w:pPr>
        <w:pStyle w:val="ManualNumPar1"/>
        <w:rPr>
          <w:noProof/>
        </w:rPr>
      </w:pPr>
      <w:r w:rsidRPr="007B7EB7">
        <w:t>1.</w:t>
      </w:r>
      <w:r w:rsidRPr="007B7EB7">
        <w:tab/>
      </w:r>
      <w:r w:rsidR="00F6614D" w:rsidRPr="004F6DAA">
        <w:rPr>
          <w:noProof/>
        </w:rPr>
        <w:t>W niniejszym rozporządzeniu ustanawia się trzystopniowy system oceny państw lub ich części</w:t>
      </w:r>
      <w:r w:rsidR="00062BFA" w:rsidRPr="004F6DAA">
        <w:rPr>
          <w:noProof/>
        </w:rPr>
        <w:t>. O</w:t>
      </w:r>
      <w:r w:rsidR="00062BFA">
        <w:rPr>
          <w:noProof/>
        </w:rPr>
        <w:t> </w:t>
      </w:r>
      <w:r w:rsidR="00062BFA" w:rsidRPr="004F6DAA">
        <w:rPr>
          <w:noProof/>
        </w:rPr>
        <w:t>ile</w:t>
      </w:r>
      <w:r w:rsidR="00F6614D" w:rsidRPr="004F6DAA">
        <w:rPr>
          <w:noProof/>
        </w:rPr>
        <w:t>, zgodnie</w:t>
      </w:r>
      <w:r w:rsidR="00062BFA" w:rsidRPr="004F6DAA">
        <w:rPr>
          <w:noProof/>
        </w:rPr>
        <w:t xml:space="preserve"> z</w:t>
      </w:r>
      <w:r w:rsidR="00062BFA">
        <w:rPr>
          <w:noProof/>
        </w:rPr>
        <w:t> </w:t>
      </w:r>
      <w:r w:rsidR="00062BFA" w:rsidRPr="004F6DAA">
        <w:rPr>
          <w:noProof/>
        </w:rPr>
        <w:t>nin</w:t>
      </w:r>
      <w:r w:rsidR="00F6614D" w:rsidRPr="004F6DAA">
        <w:rPr>
          <w:noProof/>
        </w:rPr>
        <w:t>iejszym artykułem, państwa nie zostały określone jako stwarzające niskie lub wysokie ryzyko, uznaje się, że stwarzają one ryzyko standardowe. Komisja może wskazać kraje lub ich części,</w:t>
      </w:r>
      <w:r w:rsidR="00062BFA" w:rsidRPr="004F6DAA">
        <w:rPr>
          <w:noProof/>
        </w:rPr>
        <w:t xml:space="preserve"> w</w:t>
      </w:r>
      <w:r w:rsidR="00062BFA">
        <w:rPr>
          <w:noProof/>
        </w:rPr>
        <w:t> </w:t>
      </w:r>
      <w:r w:rsidR="00062BFA" w:rsidRPr="004F6DAA">
        <w:rPr>
          <w:noProof/>
        </w:rPr>
        <w:t>któ</w:t>
      </w:r>
      <w:r w:rsidR="00F6614D" w:rsidRPr="004F6DAA">
        <w:rPr>
          <w:noProof/>
        </w:rPr>
        <w:t>rych występuje niskie lub wysokie ryzyko produkcji odnośnych towarów lub produktów niezgodnych</w:t>
      </w:r>
      <w:r w:rsidR="00062BFA" w:rsidRPr="004F6DAA">
        <w:rPr>
          <w:noProof/>
        </w:rPr>
        <w:t xml:space="preserve"> z</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3</w:t>
      </w:r>
      <w:r w:rsidR="00F6614D" w:rsidRPr="004F6DAA">
        <w:rPr>
          <w:noProof/>
        </w:rPr>
        <w:t xml:space="preserve"> </w:t>
      </w:r>
      <w:r w:rsidR="00F6614D" w:rsidRPr="00062BFA">
        <w:rPr>
          <w:noProof/>
        </w:rPr>
        <w:t>lit.</w:t>
      </w:r>
      <w:r w:rsidR="00062BFA" w:rsidRPr="00062BFA">
        <w:rPr>
          <w:noProof/>
        </w:rPr>
        <w:t> </w:t>
      </w:r>
      <w:r w:rsidR="00F6614D" w:rsidRPr="00062BFA">
        <w:rPr>
          <w:noProof/>
        </w:rPr>
        <w:t>a)</w:t>
      </w:r>
      <w:r w:rsidR="00F6614D" w:rsidRPr="004F6DAA">
        <w:rPr>
          <w:noProof/>
        </w:rPr>
        <w:t>. Wykaz państw lub ich części</w:t>
      </w:r>
      <w:r w:rsidR="00062BFA" w:rsidRPr="004F6DAA">
        <w:rPr>
          <w:noProof/>
        </w:rPr>
        <w:t xml:space="preserve"> o</w:t>
      </w:r>
      <w:r w:rsidR="00062BFA">
        <w:rPr>
          <w:noProof/>
        </w:rPr>
        <w:t> </w:t>
      </w:r>
      <w:r w:rsidR="00062BFA" w:rsidRPr="004F6DAA">
        <w:rPr>
          <w:noProof/>
        </w:rPr>
        <w:t>nis</w:t>
      </w:r>
      <w:r w:rsidR="00F6614D" w:rsidRPr="004F6DAA">
        <w:rPr>
          <w:noProof/>
        </w:rPr>
        <w:t>kim lub wysokim ryzyku jest publikowany</w:t>
      </w:r>
      <w:r w:rsidR="00062BFA" w:rsidRPr="004F6DAA">
        <w:rPr>
          <w:noProof/>
        </w:rPr>
        <w:t xml:space="preserve"> w</w:t>
      </w:r>
      <w:r w:rsidR="00062BFA">
        <w:rPr>
          <w:noProof/>
        </w:rPr>
        <w:t> </w:t>
      </w:r>
      <w:r w:rsidR="00062BFA" w:rsidRPr="004F6DAA">
        <w:rPr>
          <w:noProof/>
        </w:rPr>
        <w:t>dro</w:t>
      </w:r>
      <w:r w:rsidR="00F6614D" w:rsidRPr="004F6DAA">
        <w:rPr>
          <w:noProof/>
        </w:rPr>
        <w:t>dze aktu wykonawczego przyjmowanego (aktów wykonawczych przyjmowanych) zgodnie</w:t>
      </w:r>
      <w:r w:rsidR="00062BFA" w:rsidRPr="004F6DAA">
        <w:rPr>
          <w:noProof/>
        </w:rPr>
        <w:t xml:space="preserve"> z</w:t>
      </w:r>
      <w:r w:rsidR="00062BFA">
        <w:rPr>
          <w:noProof/>
        </w:rPr>
        <w:t> </w:t>
      </w:r>
      <w:r w:rsidR="00062BFA" w:rsidRPr="004F6DAA">
        <w:rPr>
          <w:noProof/>
        </w:rPr>
        <w:t>pro</w:t>
      </w:r>
      <w:r w:rsidR="00F6614D" w:rsidRPr="004F6DAA">
        <w:rPr>
          <w:noProof/>
        </w:rPr>
        <w:t>cedurą sprawdzającą,</w:t>
      </w:r>
      <w:r w:rsidR="00062BFA" w:rsidRPr="004F6DAA">
        <w:rPr>
          <w:noProof/>
        </w:rPr>
        <w:t xml:space="preserve"> o</w:t>
      </w:r>
      <w:r w:rsidR="00062BFA">
        <w:rPr>
          <w:noProof/>
        </w:rPr>
        <w:t> </w:t>
      </w:r>
      <w:r w:rsidR="00062BFA" w:rsidRPr="004F6DAA">
        <w:rPr>
          <w:noProof/>
        </w:rPr>
        <w:t>któ</w:t>
      </w:r>
      <w:r w:rsidR="00F6614D" w:rsidRPr="004F6DAA">
        <w:rPr>
          <w:noProof/>
        </w:rPr>
        <w:t>rej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3</w:t>
      </w:r>
      <w:r w:rsidR="00F6614D" w:rsidRPr="004F6DAA">
        <w:rPr>
          <w:noProof/>
        </w:rPr>
        <w:t xml:space="preserve">4 </w:t>
      </w:r>
      <w:r w:rsidR="00F6614D" w:rsidRPr="00062BFA">
        <w:rPr>
          <w:noProof/>
        </w:rPr>
        <w:t>ust.</w:t>
      </w:r>
      <w:r w:rsidR="00062BFA" w:rsidRPr="00062BFA">
        <w:rPr>
          <w:noProof/>
        </w:rPr>
        <w:t> </w:t>
      </w:r>
      <w:r w:rsidR="00F6614D" w:rsidRPr="00062BFA">
        <w:rPr>
          <w:noProof/>
        </w:rPr>
        <w:t>2</w:t>
      </w:r>
      <w:r w:rsidR="00F6614D" w:rsidRPr="004F6DAA">
        <w:rPr>
          <w:noProof/>
        </w:rPr>
        <w:t>. Wykaz ten jest</w:t>
      </w:r>
      <w:r w:rsidR="00062BFA" w:rsidRPr="004F6DAA">
        <w:rPr>
          <w:noProof/>
        </w:rPr>
        <w:t xml:space="preserve"> w</w:t>
      </w:r>
      <w:r w:rsidR="00062BFA">
        <w:rPr>
          <w:noProof/>
        </w:rPr>
        <w:t> </w:t>
      </w:r>
      <w:r w:rsidR="00062BFA" w:rsidRPr="004F6DAA">
        <w:rPr>
          <w:noProof/>
        </w:rPr>
        <w:t>raz</w:t>
      </w:r>
      <w:r w:rsidR="00F6614D" w:rsidRPr="004F6DAA">
        <w:rPr>
          <w:noProof/>
        </w:rPr>
        <w:t>ie potrzeby aktualizowany</w:t>
      </w:r>
      <w:r w:rsidR="00062BFA" w:rsidRPr="004F6DAA">
        <w:rPr>
          <w:noProof/>
        </w:rPr>
        <w:t xml:space="preserve"> w</w:t>
      </w:r>
      <w:r w:rsidR="00062BFA">
        <w:rPr>
          <w:noProof/>
        </w:rPr>
        <w:t> </w:t>
      </w:r>
      <w:r w:rsidR="00062BFA" w:rsidRPr="004F6DAA">
        <w:rPr>
          <w:noProof/>
        </w:rPr>
        <w:t>świ</w:t>
      </w:r>
      <w:r w:rsidR="00F6614D" w:rsidRPr="004F6DAA">
        <w:rPr>
          <w:noProof/>
        </w:rPr>
        <w:t xml:space="preserve">etle nowych dowodów. </w:t>
      </w:r>
    </w:p>
    <w:p w14:paraId="12C07202" w14:textId="77777777" w:rsidR="00F6614D" w:rsidRPr="004F6DAA" w:rsidRDefault="007B7EB7" w:rsidP="007B7EB7">
      <w:pPr>
        <w:pStyle w:val="ManualNumPar1"/>
        <w:rPr>
          <w:noProof/>
        </w:rPr>
      </w:pPr>
      <w:r w:rsidRPr="007B7EB7">
        <w:t>2.</w:t>
      </w:r>
      <w:r w:rsidRPr="007B7EB7">
        <w:tab/>
      </w:r>
      <w:r w:rsidR="00F6614D" w:rsidRPr="004F6DAA">
        <w:rPr>
          <w:noProof/>
        </w:rPr>
        <w:t>Przy identyfikacji państw lub ich części</w:t>
      </w:r>
      <w:r w:rsidR="00062BFA" w:rsidRPr="004F6DAA">
        <w:rPr>
          <w:noProof/>
        </w:rPr>
        <w:t xml:space="preserve"> o</w:t>
      </w:r>
      <w:r w:rsidR="00062BFA">
        <w:rPr>
          <w:noProof/>
        </w:rPr>
        <w:t> </w:t>
      </w:r>
      <w:r w:rsidR="00062BFA" w:rsidRPr="004F6DAA">
        <w:rPr>
          <w:noProof/>
        </w:rPr>
        <w:t>nis</w:t>
      </w:r>
      <w:r w:rsidR="00F6614D" w:rsidRPr="004F6DAA">
        <w:rPr>
          <w:noProof/>
        </w:rPr>
        <w:t>kim</w:t>
      </w:r>
      <w:r w:rsidR="00062BFA" w:rsidRPr="004F6DAA">
        <w:rPr>
          <w:noProof/>
        </w:rPr>
        <w:t xml:space="preserve"> i</w:t>
      </w:r>
      <w:r w:rsidR="00062BFA">
        <w:rPr>
          <w:noProof/>
        </w:rPr>
        <w:t> </w:t>
      </w:r>
      <w:r w:rsidR="00062BFA" w:rsidRPr="004F6DAA">
        <w:rPr>
          <w:noProof/>
        </w:rPr>
        <w:t>wys</w:t>
      </w:r>
      <w:r w:rsidR="00F6614D" w:rsidRPr="004F6DAA">
        <w:rPr>
          <w:noProof/>
        </w:rPr>
        <w:t>okim ryzyku zgodnie</w:t>
      </w:r>
      <w:r w:rsidR="00062BFA" w:rsidRPr="004F6DAA">
        <w:rPr>
          <w:noProof/>
        </w:rPr>
        <w:t xml:space="preserve"> z</w:t>
      </w:r>
      <w:r w:rsidR="00062BFA">
        <w:rPr>
          <w:noProof/>
        </w:rPr>
        <w:t> </w:t>
      </w:r>
      <w:r w:rsidR="00062BFA" w:rsidRPr="00062BFA">
        <w:rPr>
          <w:noProof/>
        </w:rPr>
        <w:t>ust</w:t>
      </w:r>
      <w:r w:rsidR="00F6614D" w:rsidRPr="00062BFA">
        <w:rPr>
          <w:noProof/>
        </w:rPr>
        <w:t>.</w:t>
      </w:r>
      <w:r w:rsidR="00062BFA" w:rsidRPr="00062BFA">
        <w:rPr>
          <w:noProof/>
        </w:rPr>
        <w:t> </w:t>
      </w:r>
      <w:r w:rsidR="00F6614D" w:rsidRPr="00062BFA">
        <w:rPr>
          <w:noProof/>
        </w:rPr>
        <w:t>1</w:t>
      </w:r>
      <w:r w:rsidR="00F6614D" w:rsidRPr="004F6DAA">
        <w:rPr>
          <w:noProof/>
        </w:rPr>
        <w:t xml:space="preserve"> uwzględnia się informacje przekazane przez dane państwo</w:t>
      </w:r>
      <w:r w:rsidR="00062BFA" w:rsidRPr="004F6DAA">
        <w:rPr>
          <w:noProof/>
        </w:rPr>
        <w:t xml:space="preserve"> i</w:t>
      </w:r>
      <w:r w:rsidR="00062BFA">
        <w:rPr>
          <w:noProof/>
        </w:rPr>
        <w:t> </w:t>
      </w:r>
      <w:r w:rsidR="00062BFA" w:rsidRPr="004F6DAA">
        <w:rPr>
          <w:noProof/>
        </w:rPr>
        <w:t>bie</w:t>
      </w:r>
      <w:r w:rsidR="00F6614D" w:rsidRPr="004F6DAA">
        <w:rPr>
          <w:noProof/>
        </w:rPr>
        <w:t>rze się pod uwagę następujące kryteria oceny:</w:t>
      </w:r>
    </w:p>
    <w:p w14:paraId="7BE25F7C" w14:textId="77777777" w:rsidR="00F6614D" w:rsidRPr="004F6DAA" w:rsidRDefault="00062BFA" w:rsidP="00062BFA">
      <w:pPr>
        <w:pStyle w:val="Point1"/>
        <w:rPr>
          <w:noProof/>
        </w:rPr>
      </w:pPr>
      <w:r w:rsidRPr="00062BFA">
        <w:rPr>
          <w:noProof/>
        </w:rPr>
        <w:t>a)</w:t>
      </w:r>
      <w:r w:rsidRPr="00062BFA">
        <w:rPr>
          <w:noProof/>
        </w:rPr>
        <w:tab/>
      </w:r>
      <w:r w:rsidR="00F6614D" w:rsidRPr="004F6DAA">
        <w:rPr>
          <w:noProof/>
        </w:rPr>
        <w:t>wskaźnik wylesiania</w:t>
      </w:r>
      <w:r w:rsidRPr="004F6DAA">
        <w:rPr>
          <w:noProof/>
        </w:rPr>
        <w:t xml:space="preserve"> i</w:t>
      </w:r>
      <w:r>
        <w:rPr>
          <w:noProof/>
        </w:rPr>
        <w:t> </w:t>
      </w:r>
      <w:r w:rsidRPr="004F6DAA">
        <w:rPr>
          <w:noProof/>
        </w:rPr>
        <w:t>deg</w:t>
      </w:r>
      <w:r w:rsidR="00F6614D" w:rsidRPr="004F6DAA">
        <w:rPr>
          <w:noProof/>
        </w:rPr>
        <w:t xml:space="preserve">radacji lasów, </w:t>
      </w:r>
    </w:p>
    <w:p w14:paraId="3676110F" w14:textId="77777777" w:rsidR="00F6614D" w:rsidRPr="004F6DAA" w:rsidRDefault="00062BFA" w:rsidP="00062BFA">
      <w:pPr>
        <w:pStyle w:val="Point1"/>
        <w:rPr>
          <w:noProof/>
        </w:rPr>
      </w:pPr>
      <w:r w:rsidRPr="00062BFA">
        <w:rPr>
          <w:noProof/>
        </w:rPr>
        <w:t>b)</w:t>
      </w:r>
      <w:r w:rsidRPr="00062BFA">
        <w:rPr>
          <w:noProof/>
        </w:rPr>
        <w:tab/>
      </w:r>
      <w:r w:rsidR="00F6614D" w:rsidRPr="004F6DAA">
        <w:rPr>
          <w:noProof/>
        </w:rPr>
        <w:t>tempo ekspansji gruntów rolnych</w:t>
      </w:r>
      <w:r w:rsidRPr="004F6DAA">
        <w:rPr>
          <w:noProof/>
        </w:rPr>
        <w:t xml:space="preserve"> w</w:t>
      </w:r>
      <w:r>
        <w:rPr>
          <w:noProof/>
        </w:rPr>
        <w:t> </w:t>
      </w:r>
      <w:r w:rsidRPr="004F6DAA">
        <w:rPr>
          <w:noProof/>
        </w:rPr>
        <w:t>prz</w:t>
      </w:r>
      <w:r w:rsidR="00F6614D" w:rsidRPr="004F6DAA">
        <w:rPr>
          <w:noProof/>
        </w:rPr>
        <w:t>ypadku odnośnych towarów,</w:t>
      </w:r>
    </w:p>
    <w:p w14:paraId="6A792D69" w14:textId="77777777" w:rsidR="00F6614D" w:rsidRPr="004F6DAA" w:rsidRDefault="00062BFA" w:rsidP="00062BFA">
      <w:pPr>
        <w:pStyle w:val="Point1"/>
        <w:rPr>
          <w:noProof/>
        </w:rPr>
      </w:pPr>
      <w:r w:rsidRPr="00062BFA">
        <w:rPr>
          <w:noProof/>
        </w:rPr>
        <w:t>c)</w:t>
      </w:r>
      <w:r w:rsidRPr="00062BFA">
        <w:rPr>
          <w:noProof/>
        </w:rPr>
        <w:tab/>
      </w:r>
      <w:r w:rsidR="00F6614D" w:rsidRPr="004F6DAA">
        <w:rPr>
          <w:noProof/>
        </w:rPr>
        <w:t>tendencje</w:t>
      </w:r>
      <w:r w:rsidRPr="004F6DAA">
        <w:rPr>
          <w:noProof/>
        </w:rPr>
        <w:t xml:space="preserve"> w</w:t>
      </w:r>
      <w:r>
        <w:rPr>
          <w:noProof/>
        </w:rPr>
        <w:t> </w:t>
      </w:r>
      <w:r w:rsidRPr="004F6DAA">
        <w:rPr>
          <w:noProof/>
        </w:rPr>
        <w:t>pro</w:t>
      </w:r>
      <w:r w:rsidR="00F6614D" w:rsidRPr="004F6DAA">
        <w:rPr>
          <w:noProof/>
        </w:rPr>
        <w:t>dukcji odnośnych towarów</w:t>
      </w:r>
      <w:r w:rsidRPr="004F6DAA">
        <w:rPr>
          <w:noProof/>
        </w:rPr>
        <w:t xml:space="preserve"> i</w:t>
      </w:r>
      <w:r>
        <w:rPr>
          <w:noProof/>
        </w:rPr>
        <w:t> </w:t>
      </w:r>
      <w:r w:rsidRPr="004F6DAA">
        <w:rPr>
          <w:noProof/>
        </w:rPr>
        <w:t>pro</w:t>
      </w:r>
      <w:r w:rsidR="00F6614D" w:rsidRPr="004F6DAA">
        <w:rPr>
          <w:noProof/>
        </w:rPr>
        <w:t>duktów,</w:t>
      </w:r>
    </w:p>
    <w:p w14:paraId="45D0017E" w14:textId="77777777" w:rsidR="00F6614D" w:rsidRPr="004F6DAA" w:rsidRDefault="00062BFA" w:rsidP="00062BFA">
      <w:pPr>
        <w:pStyle w:val="Point1"/>
        <w:rPr>
          <w:noProof/>
        </w:rPr>
      </w:pPr>
      <w:r w:rsidRPr="00062BFA">
        <w:rPr>
          <w:noProof/>
        </w:rPr>
        <w:t>d)</w:t>
      </w:r>
      <w:r w:rsidRPr="00062BFA">
        <w:rPr>
          <w:noProof/>
        </w:rPr>
        <w:tab/>
      </w:r>
      <w:r w:rsidR="00F6614D" w:rsidRPr="004F6DAA">
        <w:rPr>
          <w:noProof/>
        </w:rPr>
        <w:t>czy ustalony na poziomie krajowym wkład (NDC) do Ramowej konwencji Narodów Zjednoczonych</w:t>
      </w:r>
      <w:r w:rsidRPr="004F6DAA">
        <w:rPr>
          <w:noProof/>
        </w:rPr>
        <w:t xml:space="preserve"> w</w:t>
      </w:r>
      <w:r>
        <w:rPr>
          <w:noProof/>
        </w:rPr>
        <w:t> </w:t>
      </w:r>
      <w:r w:rsidRPr="004F6DAA">
        <w:rPr>
          <w:noProof/>
        </w:rPr>
        <w:t>spr</w:t>
      </w:r>
      <w:r w:rsidR="00F6614D" w:rsidRPr="004F6DAA">
        <w:rPr>
          <w:noProof/>
        </w:rPr>
        <w:t>awie zmian klimatu obejmuje emisje</w:t>
      </w:r>
      <w:r w:rsidRPr="004F6DAA">
        <w:rPr>
          <w:noProof/>
        </w:rPr>
        <w:t xml:space="preserve"> i</w:t>
      </w:r>
      <w:r>
        <w:rPr>
          <w:noProof/>
        </w:rPr>
        <w:t> </w:t>
      </w:r>
      <w:r w:rsidRPr="004F6DAA">
        <w:rPr>
          <w:noProof/>
        </w:rPr>
        <w:t>poc</w:t>
      </w:r>
      <w:r w:rsidR="00F6614D" w:rsidRPr="004F6DAA">
        <w:rPr>
          <w:noProof/>
        </w:rPr>
        <w:t>hłanianie</w:t>
      </w:r>
      <w:r w:rsidRPr="004F6DAA">
        <w:rPr>
          <w:noProof/>
        </w:rPr>
        <w:t xml:space="preserve"> z</w:t>
      </w:r>
      <w:r>
        <w:rPr>
          <w:noProof/>
        </w:rPr>
        <w:t> </w:t>
      </w:r>
      <w:r w:rsidRPr="004F6DAA">
        <w:rPr>
          <w:noProof/>
        </w:rPr>
        <w:t>rol</w:t>
      </w:r>
      <w:r w:rsidR="00F6614D" w:rsidRPr="004F6DAA">
        <w:rPr>
          <w:noProof/>
        </w:rPr>
        <w:t>nictwa, leśnictwa</w:t>
      </w:r>
      <w:r w:rsidRPr="004F6DAA">
        <w:rPr>
          <w:noProof/>
        </w:rPr>
        <w:t xml:space="preserve"> i</w:t>
      </w:r>
      <w:r>
        <w:rPr>
          <w:noProof/>
        </w:rPr>
        <w:t> </w:t>
      </w:r>
      <w:r w:rsidRPr="004F6DAA">
        <w:rPr>
          <w:noProof/>
        </w:rPr>
        <w:t>uży</w:t>
      </w:r>
      <w:r w:rsidR="00F6614D" w:rsidRPr="004F6DAA">
        <w:rPr>
          <w:noProof/>
        </w:rPr>
        <w:t>tkowania gruntów, co zapewnia zaliczenie emisji spowodowanych wylesianiem</w:t>
      </w:r>
      <w:r w:rsidRPr="004F6DAA">
        <w:rPr>
          <w:noProof/>
        </w:rPr>
        <w:t xml:space="preserve"> i</w:t>
      </w:r>
      <w:r>
        <w:rPr>
          <w:noProof/>
        </w:rPr>
        <w:t> </w:t>
      </w:r>
      <w:r w:rsidRPr="004F6DAA">
        <w:rPr>
          <w:noProof/>
        </w:rPr>
        <w:t>deg</w:t>
      </w:r>
      <w:r w:rsidR="00F6614D" w:rsidRPr="004F6DAA">
        <w:rPr>
          <w:noProof/>
        </w:rPr>
        <w:t>radacją lasów na poczet zobowiązania danego państwa do redukcji lub ograniczenia emisji gazów cieplarnianych, jak określono w NDC;</w:t>
      </w:r>
    </w:p>
    <w:p w14:paraId="57D60B46" w14:textId="77777777" w:rsidR="00F6614D" w:rsidRPr="004F6DAA" w:rsidRDefault="00062BFA" w:rsidP="00062BFA">
      <w:pPr>
        <w:pStyle w:val="Point1"/>
        <w:rPr>
          <w:noProof/>
        </w:rPr>
      </w:pPr>
      <w:r w:rsidRPr="00062BFA">
        <w:rPr>
          <w:noProof/>
        </w:rPr>
        <w:t>e)</w:t>
      </w:r>
      <w:r w:rsidRPr="00062BFA">
        <w:rPr>
          <w:noProof/>
        </w:rPr>
        <w:tab/>
      </w:r>
      <w:r w:rsidR="00F6614D" w:rsidRPr="004F6DAA">
        <w:rPr>
          <w:noProof/>
        </w:rPr>
        <w:t>umowy</w:t>
      </w:r>
      <w:r w:rsidRPr="004F6DAA">
        <w:rPr>
          <w:noProof/>
        </w:rPr>
        <w:t xml:space="preserve"> i</w:t>
      </w:r>
      <w:r>
        <w:rPr>
          <w:noProof/>
        </w:rPr>
        <w:t> </w:t>
      </w:r>
      <w:r w:rsidRPr="004F6DAA">
        <w:rPr>
          <w:noProof/>
        </w:rPr>
        <w:t>inn</w:t>
      </w:r>
      <w:r w:rsidR="00F6614D" w:rsidRPr="004F6DAA">
        <w:rPr>
          <w:noProof/>
        </w:rPr>
        <w:t>e instrumenty zawarte między danym państwem</w:t>
      </w:r>
      <w:r w:rsidRPr="004F6DAA">
        <w:rPr>
          <w:noProof/>
        </w:rPr>
        <w:t xml:space="preserve"> a</w:t>
      </w:r>
      <w:r>
        <w:rPr>
          <w:noProof/>
        </w:rPr>
        <w:t> </w:t>
      </w:r>
      <w:r w:rsidRPr="004F6DAA">
        <w:rPr>
          <w:noProof/>
        </w:rPr>
        <w:t>Uni</w:t>
      </w:r>
      <w:r w:rsidR="00F6614D" w:rsidRPr="004F6DAA">
        <w:rPr>
          <w:noProof/>
        </w:rPr>
        <w:t>ą, które dotyczą problemu wylesiania lub degradacji lasów oraz ułatwiają osiągnięcie zgodności odnośnych towarów</w:t>
      </w:r>
      <w:r w:rsidRPr="004F6DAA">
        <w:rPr>
          <w:noProof/>
        </w:rPr>
        <w:t xml:space="preserve"> i</w:t>
      </w:r>
      <w:r>
        <w:rPr>
          <w:noProof/>
        </w:rPr>
        <w:t> </w:t>
      </w:r>
      <w:r w:rsidRPr="004F6DAA">
        <w:rPr>
          <w:noProof/>
        </w:rPr>
        <w:t>pro</w:t>
      </w:r>
      <w:r w:rsidR="00F6614D" w:rsidRPr="004F6DAA">
        <w:rPr>
          <w:noProof/>
        </w:rPr>
        <w:t>duktów</w:t>
      </w:r>
      <w:r w:rsidRPr="004F6DAA">
        <w:rPr>
          <w:noProof/>
        </w:rPr>
        <w:t xml:space="preserve"> z</w:t>
      </w:r>
      <w:r>
        <w:rPr>
          <w:noProof/>
        </w:rPr>
        <w:t> </w:t>
      </w:r>
      <w:r w:rsidRPr="004F6DAA">
        <w:rPr>
          <w:noProof/>
        </w:rPr>
        <w:t>wym</w:t>
      </w:r>
      <w:r w:rsidR="00F6614D" w:rsidRPr="004F6DAA">
        <w:rPr>
          <w:noProof/>
        </w:rPr>
        <w:t>ogami niniejszego rozporządzenia oraz skuteczne wdrożenie tych wymogów;</w:t>
      </w:r>
    </w:p>
    <w:p w14:paraId="497B67BA" w14:textId="77777777" w:rsidR="00F6614D" w:rsidRPr="004F6DAA" w:rsidRDefault="00062BFA" w:rsidP="00062BFA">
      <w:pPr>
        <w:pStyle w:val="Point1"/>
        <w:rPr>
          <w:noProof/>
        </w:rPr>
      </w:pPr>
      <w:r w:rsidRPr="00062BFA">
        <w:rPr>
          <w:noProof/>
        </w:rPr>
        <w:t>f)</w:t>
      </w:r>
      <w:r w:rsidRPr="00062BFA">
        <w:rPr>
          <w:noProof/>
        </w:rPr>
        <w:tab/>
      </w:r>
      <w:r w:rsidR="00F6614D" w:rsidRPr="004F6DAA">
        <w:rPr>
          <w:noProof/>
        </w:rPr>
        <w:t>czy dane państwo posiada krajowe lub regionalne przepisy,</w:t>
      </w:r>
      <w:r w:rsidRPr="004F6DAA">
        <w:rPr>
          <w:noProof/>
        </w:rPr>
        <w:t xml:space="preserve"> w</w:t>
      </w:r>
      <w:r>
        <w:rPr>
          <w:noProof/>
        </w:rPr>
        <w:t> </w:t>
      </w:r>
      <w:r w:rsidRPr="004F6DAA">
        <w:rPr>
          <w:noProof/>
        </w:rPr>
        <w:t>tym</w:t>
      </w:r>
      <w:r w:rsidR="00F6614D" w:rsidRPr="004F6DAA">
        <w:rPr>
          <w:noProof/>
        </w:rPr>
        <w:t xml:space="preserve"> zgodne</w:t>
      </w:r>
      <w:r w:rsidRPr="004F6DAA">
        <w:rPr>
          <w:noProof/>
        </w:rPr>
        <w:t xml:space="preserve"> z</w:t>
      </w:r>
      <w:r>
        <w:rPr>
          <w:noProof/>
        </w:rPr>
        <w:t> </w:t>
      </w:r>
      <w:r w:rsidRPr="00062BFA">
        <w:rPr>
          <w:noProof/>
        </w:rPr>
        <w:t>art</w:t>
      </w:r>
      <w:r w:rsidR="00F6614D" w:rsidRPr="00062BFA">
        <w:rPr>
          <w:noProof/>
        </w:rPr>
        <w:t>.</w:t>
      </w:r>
      <w:r w:rsidRPr="00062BFA">
        <w:rPr>
          <w:noProof/>
        </w:rPr>
        <w:t> </w:t>
      </w:r>
      <w:r w:rsidR="00F6614D" w:rsidRPr="00062BFA">
        <w:rPr>
          <w:noProof/>
        </w:rPr>
        <w:t>5</w:t>
      </w:r>
      <w:r w:rsidR="00F6614D" w:rsidRPr="004F6DAA">
        <w:rPr>
          <w:noProof/>
        </w:rPr>
        <w:t xml:space="preserve"> porozumienia paryskiego,</w:t>
      </w:r>
      <w:r w:rsidRPr="004F6DAA">
        <w:rPr>
          <w:noProof/>
        </w:rPr>
        <w:t xml:space="preserve"> i</w:t>
      </w:r>
      <w:r>
        <w:rPr>
          <w:noProof/>
        </w:rPr>
        <w:t> </w:t>
      </w:r>
      <w:r w:rsidRPr="004F6DAA">
        <w:rPr>
          <w:noProof/>
        </w:rPr>
        <w:t>czy</w:t>
      </w:r>
      <w:r w:rsidR="00F6614D" w:rsidRPr="004F6DAA">
        <w:rPr>
          <w:noProof/>
        </w:rPr>
        <w:t xml:space="preserve"> stosuje skuteczne środki egzekwowania</w:t>
      </w:r>
      <w:r w:rsidRPr="004F6DAA">
        <w:rPr>
          <w:noProof/>
        </w:rPr>
        <w:t xml:space="preserve"> w</w:t>
      </w:r>
      <w:r>
        <w:rPr>
          <w:noProof/>
        </w:rPr>
        <w:t> </w:t>
      </w:r>
      <w:r w:rsidRPr="004F6DAA">
        <w:rPr>
          <w:noProof/>
        </w:rPr>
        <w:t>cel</w:t>
      </w:r>
      <w:r w:rsidR="00F6614D" w:rsidRPr="004F6DAA">
        <w:rPr>
          <w:noProof/>
        </w:rPr>
        <w:t>u unikania</w:t>
      </w:r>
      <w:r w:rsidRPr="004F6DAA">
        <w:rPr>
          <w:noProof/>
        </w:rPr>
        <w:t xml:space="preserve"> i</w:t>
      </w:r>
      <w:r>
        <w:rPr>
          <w:noProof/>
        </w:rPr>
        <w:t> </w:t>
      </w:r>
      <w:r w:rsidRPr="004F6DAA">
        <w:rPr>
          <w:noProof/>
        </w:rPr>
        <w:t>kar</w:t>
      </w:r>
      <w:r w:rsidR="00F6614D" w:rsidRPr="004F6DAA">
        <w:rPr>
          <w:noProof/>
        </w:rPr>
        <w:t>ania działań prowadzących do wylesiania</w:t>
      </w:r>
      <w:r w:rsidRPr="004F6DAA">
        <w:rPr>
          <w:noProof/>
        </w:rPr>
        <w:t xml:space="preserve"> i</w:t>
      </w:r>
      <w:r>
        <w:rPr>
          <w:noProof/>
        </w:rPr>
        <w:t> </w:t>
      </w:r>
      <w:r w:rsidRPr="004F6DAA">
        <w:rPr>
          <w:noProof/>
        </w:rPr>
        <w:t>deg</w:t>
      </w:r>
      <w:r w:rsidR="00F6614D" w:rsidRPr="004F6DAA">
        <w:rPr>
          <w:noProof/>
        </w:rPr>
        <w:t>radacji lasów,</w:t>
      </w:r>
      <w:r w:rsidRPr="004F6DAA">
        <w:rPr>
          <w:noProof/>
        </w:rPr>
        <w:t xml:space="preserve"> a</w:t>
      </w:r>
      <w:r>
        <w:rPr>
          <w:noProof/>
        </w:rPr>
        <w:t> </w:t>
      </w:r>
      <w:r w:rsidRPr="004F6DAA">
        <w:rPr>
          <w:noProof/>
        </w:rPr>
        <w:t>w</w:t>
      </w:r>
      <w:r>
        <w:rPr>
          <w:noProof/>
        </w:rPr>
        <w:t> </w:t>
      </w:r>
      <w:r w:rsidRPr="004F6DAA">
        <w:rPr>
          <w:noProof/>
        </w:rPr>
        <w:t>szc</w:t>
      </w:r>
      <w:r w:rsidR="00F6614D" w:rsidRPr="004F6DAA">
        <w:rPr>
          <w:noProof/>
        </w:rPr>
        <w:t>zególności czy stosowane są wystarczająco surowe sankcje, aby pozbawić sprawców tych działań korzyści płynących</w:t>
      </w:r>
      <w:r w:rsidRPr="004F6DAA">
        <w:rPr>
          <w:noProof/>
        </w:rPr>
        <w:t xml:space="preserve"> z</w:t>
      </w:r>
      <w:r>
        <w:rPr>
          <w:noProof/>
        </w:rPr>
        <w:t> </w:t>
      </w:r>
      <w:r w:rsidRPr="004F6DAA">
        <w:rPr>
          <w:noProof/>
        </w:rPr>
        <w:t>wyl</w:t>
      </w:r>
      <w:r w:rsidR="00F6614D" w:rsidRPr="004F6DAA">
        <w:rPr>
          <w:noProof/>
        </w:rPr>
        <w:t>esiania lub degradacji lasów.</w:t>
      </w:r>
    </w:p>
    <w:p w14:paraId="1E47289C" w14:textId="77777777" w:rsidR="00F6614D" w:rsidRPr="004F6DAA" w:rsidRDefault="007B7EB7" w:rsidP="007B7EB7">
      <w:pPr>
        <w:pStyle w:val="ManualNumPar1"/>
        <w:rPr>
          <w:noProof/>
        </w:rPr>
      </w:pPr>
      <w:r w:rsidRPr="007B7EB7">
        <w:t>3.</w:t>
      </w:r>
      <w:r w:rsidRPr="007B7EB7">
        <w:tab/>
      </w:r>
      <w:r w:rsidR="00F6614D" w:rsidRPr="004F6DAA">
        <w:rPr>
          <w:noProof/>
        </w:rPr>
        <w:t>Komisja powiadamia zainteresowane państwa</w:t>
      </w:r>
      <w:r w:rsidR="00062BFA" w:rsidRPr="004F6DAA">
        <w:rPr>
          <w:noProof/>
        </w:rPr>
        <w:t xml:space="preserve"> o</w:t>
      </w:r>
      <w:r w:rsidR="00062BFA">
        <w:rPr>
          <w:noProof/>
        </w:rPr>
        <w:t> </w:t>
      </w:r>
      <w:r w:rsidR="00062BFA" w:rsidRPr="004F6DAA">
        <w:rPr>
          <w:noProof/>
        </w:rPr>
        <w:t>zam</w:t>
      </w:r>
      <w:r w:rsidR="00F6614D" w:rsidRPr="004F6DAA">
        <w:rPr>
          <w:noProof/>
        </w:rPr>
        <w:t>iarze przypisania zmiany do istniejącej kategorii ryzyka</w:t>
      </w:r>
      <w:r w:rsidR="00062BFA" w:rsidRPr="004F6DAA">
        <w:rPr>
          <w:noProof/>
        </w:rPr>
        <w:t xml:space="preserve"> i</w:t>
      </w:r>
      <w:r w:rsidR="00062BFA">
        <w:rPr>
          <w:noProof/>
        </w:rPr>
        <w:t> </w:t>
      </w:r>
      <w:r w:rsidR="00062BFA" w:rsidRPr="004F6DAA">
        <w:rPr>
          <w:noProof/>
        </w:rPr>
        <w:t>zwr</w:t>
      </w:r>
      <w:r w:rsidR="00F6614D" w:rsidRPr="004F6DAA">
        <w:rPr>
          <w:noProof/>
        </w:rPr>
        <w:t>aca się do nich</w:t>
      </w:r>
      <w:r w:rsidR="00062BFA" w:rsidRPr="004F6DAA">
        <w:rPr>
          <w:noProof/>
        </w:rPr>
        <w:t xml:space="preserve"> o</w:t>
      </w:r>
      <w:r w:rsidR="00062BFA">
        <w:rPr>
          <w:noProof/>
        </w:rPr>
        <w:t> </w:t>
      </w:r>
      <w:r w:rsidR="00062BFA" w:rsidRPr="004F6DAA">
        <w:rPr>
          <w:noProof/>
        </w:rPr>
        <w:t>dos</w:t>
      </w:r>
      <w:r w:rsidR="00F6614D" w:rsidRPr="004F6DAA">
        <w:rPr>
          <w:noProof/>
        </w:rPr>
        <w:t>tarczenie wszelkich informacji uznanych za przydatne</w:t>
      </w:r>
      <w:r w:rsidR="00062BFA" w:rsidRPr="004F6DAA">
        <w:rPr>
          <w:noProof/>
        </w:rPr>
        <w:t xml:space="preserve"> w</w:t>
      </w:r>
      <w:r w:rsidR="00062BFA">
        <w:rPr>
          <w:noProof/>
        </w:rPr>
        <w:t> </w:t>
      </w:r>
      <w:r w:rsidR="00062BFA" w:rsidRPr="004F6DAA">
        <w:rPr>
          <w:noProof/>
        </w:rPr>
        <w:t>tym</w:t>
      </w:r>
      <w:r w:rsidR="00F6614D" w:rsidRPr="004F6DAA">
        <w:rPr>
          <w:noProof/>
        </w:rPr>
        <w:t xml:space="preserve"> zakresie. Komisja daje państwom odpowiedni czas na udzielenie odpowiedzi, która może zawierać informacje na temat środków wprowadzonych przez państwo</w:t>
      </w:r>
      <w:r w:rsidR="00062BFA" w:rsidRPr="004F6DAA">
        <w:rPr>
          <w:noProof/>
        </w:rPr>
        <w:t xml:space="preserve"> w</w:t>
      </w:r>
      <w:r w:rsidR="00062BFA">
        <w:rPr>
          <w:noProof/>
        </w:rPr>
        <w:t> </w:t>
      </w:r>
      <w:r w:rsidR="00062BFA" w:rsidRPr="004F6DAA">
        <w:rPr>
          <w:noProof/>
        </w:rPr>
        <w:t>cel</w:t>
      </w:r>
      <w:r w:rsidR="00F6614D" w:rsidRPr="004F6DAA">
        <w:rPr>
          <w:noProof/>
        </w:rPr>
        <w:t>u poprawy sytuacji,</w:t>
      </w:r>
      <w:r w:rsidR="00062BFA" w:rsidRPr="004F6DAA">
        <w:rPr>
          <w:noProof/>
        </w:rPr>
        <w:t xml:space="preserve"> w</w:t>
      </w:r>
      <w:r w:rsidR="00062BFA">
        <w:rPr>
          <w:noProof/>
        </w:rPr>
        <w:t> </w:t>
      </w:r>
      <w:r w:rsidR="00062BFA" w:rsidRPr="004F6DAA">
        <w:rPr>
          <w:noProof/>
        </w:rPr>
        <w:t>prz</w:t>
      </w:r>
      <w:r w:rsidR="00F6614D" w:rsidRPr="004F6DAA">
        <w:rPr>
          <w:noProof/>
        </w:rPr>
        <w:t xml:space="preserve">ypadku gdyby jego status lub status jego części mógł zostać zmieniony na wyższą kategorię ryzyka. </w:t>
      </w:r>
    </w:p>
    <w:p w14:paraId="2AED9A93" w14:textId="77777777" w:rsidR="00F6614D" w:rsidRPr="004F6DAA" w:rsidRDefault="00F6614D" w:rsidP="00F6614D">
      <w:pPr>
        <w:pStyle w:val="Akapitzlist"/>
        <w:autoSpaceDE w:val="0"/>
        <w:autoSpaceDN w:val="0"/>
        <w:adjustRightInd w:val="0"/>
        <w:spacing w:after="0"/>
        <w:ind w:left="1418" w:hanging="567"/>
        <w:rPr>
          <w:rFonts w:ascii="Times New Roman" w:hAnsi="Times New Roman" w:cs="Times New Roman"/>
          <w:noProof/>
          <w:sz w:val="24"/>
          <w:szCs w:val="24"/>
        </w:rPr>
      </w:pPr>
      <w:r w:rsidRPr="004F6DAA">
        <w:rPr>
          <w:rFonts w:ascii="Times New Roman" w:hAnsi="Times New Roman"/>
          <w:noProof/>
          <w:sz w:val="24"/>
          <w:szCs w:val="24"/>
        </w:rPr>
        <w:t>Komisja podaje</w:t>
      </w:r>
      <w:r w:rsidR="00062BFA" w:rsidRPr="004F6DAA">
        <w:rPr>
          <w:rFonts w:ascii="Times New Roman" w:hAnsi="Times New Roman"/>
          <w:noProof/>
          <w:sz w:val="24"/>
          <w:szCs w:val="24"/>
        </w:rPr>
        <w:t xml:space="preserve"> w</w:t>
      </w:r>
      <w:r w:rsidR="00062BFA">
        <w:rPr>
          <w:rFonts w:ascii="Times New Roman" w:hAnsi="Times New Roman"/>
          <w:noProof/>
          <w:sz w:val="24"/>
          <w:szCs w:val="24"/>
        </w:rPr>
        <w:t> </w:t>
      </w:r>
      <w:r w:rsidR="00062BFA" w:rsidRPr="004F6DAA">
        <w:rPr>
          <w:rFonts w:ascii="Times New Roman" w:hAnsi="Times New Roman"/>
          <w:noProof/>
          <w:sz w:val="24"/>
          <w:szCs w:val="24"/>
        </w:rPr>
        <w:t>pow</w:t>
      </w:r>
      <w:r w:rsidRPr="004F6DAA">
        <w:rPr>
          <w:rFonts w:ascii="Times New Roman" w:hAnsi="Times New Roman"/>
          <w:noProof/>
          <w:sz w:val="24"/>
          <w:szCs w:val="24"/>
        </w:rPr>
        <w:t>iadomieniu informacje na temat:</w:t>
      </w:r>
    </w:p>
    <w:p w14:paraId="784FD230" w14:textId="77777777" w:rsidR="00F6614D" w:rsidRPr="004F6DAA" w:rsidRDefault="00062BFA" w:rsidP="00062BFA">
      <w:pPr>
        <w:pStyle w:val="Point1"/>
        <w:rPr>
          <w:noProof/>
        </w:rPr>
      </w:pPr>
      <w:r w:rsidRPr="00062BFA">
        <w:rPr>
          <w:noProof/>
        </w:rPr>
        <w:t>a)</w:t>
      </w:r>
      <w:r w:rsidRPr="00062BFA">
        <w:rPr>
          <w:noProof/>
        </w:rPr>
        <w:tab/>
      </w:r>
      <w:r w:rsidR="00F6614D" w:rsidRPr="004F6DAA">
        <w:rPr>
          <w:noProof/>
        </w:rPr>
        <w:t>powodu lub powodów zamiaru zmiany identyfikacji ryzyka państwa lub jego części;</w:t>
      </w:r>
    </w:p>
    <w:p w14:paraId="293F8502" w14:textId="77777777" w:rsidR="00F6614D" w:rsidRPr="004F6DAA" w:rsidRDefault="00062BFA" w:rsidP="00062BFA">
      <w:pPr>
        <w:pStyle w:val="Point1"/>
        <w:rPr>
          <w:noProof/>
        </w:rPr>
      </w:pPr>
      <w:r w:rsidRPr="00062BFA">
        <w:rPr>
          <w:noProof/>
        </w:rPr>
        <w:t>b)</w:t>
      </w:r>
      <w:r w:rsidRPr="00062BFA">
        <w:rPr>
          <w:noProof/>
        </w:rPr>
        <w:tab/>
      </w:r>
      <w:r w:rsidR="00F6614D" w:rsidRPr="004F6DAA">
        <w:rPr>
          <w:noProof/>
        </w:rPr>
        <w:t>zaproszenia do udzielenia Komisji pisemnej odpowiedzi dotyczącej zamiaru zmiany statusu ryzyka państwa lub jego części;</w:t>
      </w:r>
    </w:p>
    <w:p w14:paraId="04DE6417" w14:textId="77777777" w:rsidR="00F6614D" w:rsidRPr="004F6DAA" w:rsidRDefault="00062BFA" w:rsidP="00062BFA">
      <w:pPr>
        <w:pStyle w:val="Point1"/>
        <w:rPr>
          <w:noProof/>
        </w:rPr>
      </w:pPr>
      <w:r w:rsidRPr="00062BFA">
        <w:rPr>
          <w:noProof/>
        </w:rPr>
        <w:t>c)</w:t>
      </w:r>
      <w:r w:rsidRPr="00062BFA">
        <w:rPr>
          <w:noProof/>
        </w:rPr>
        <w:tab/>
      </w:r>
      <w:r w:rsidR="00F6614D" w:rsidRPr="004F6DAA">
        <w:rPr>
          <w:noProof/>
        </w:rPr>
        <w:t xml:space="preserve">konsekwencji uznania danego państwa lub jego części za państwo lub część wysokiego lub niskiego ryzyka. </w:t>
      </w:r>
    </w:p>
    <w:p w14:paraId="62B268F8" w14:textId="77777777" w:rsidR="00F6614D" w:rsidRPr="004F6DAA" w:rsidRDefault="007B7EB7" w:rsidP="007B7EB7">
      <w:pPr>
        <w:pStyle w:val="ManualNumPar1"/>
        <w:rPr>
          <w:noProof/>
        </w:rPr>
      </w:pPr>
      <w:r w:rsidRPr="007B7EB7">
        <w:t>4.</w:t>
      </w:r>
      <w:r w:rsidRPr="007B7EB7">
        <w:tab/>
      </w:r>
      <w:r w:rsidR="00F6614D" w:rsidRPr="004F6DAA">
        <w:rPr>
          <w:noProof/>
        </w:rPr>
        <w:t>Komisja bezzwłocznie powiadamia właściwe organy</w:t>
      </w:r>
      <w:r w:rsidR="00062BFA" w:rsidRPr="004F6DAA">
        <w:rPr>
          <w:noProof/>
        </w:rPr>
        <w:t xml:space="preserve"> o</w:t>
      </w:r>
      <w:r w:rsidR="00062BFA">
        <w:rPr>
          <w:noProof/>
        </w:rPr>
        <w:t> </w:t>
      </w:r>
      <w:r w:rsidR="00062BFA" w:rsidRPr="004F6DAA">
        <w:rPr>
          <w:noProof/>
        </w:rPr>
        <w:t>włą</w:t>
      </w:r>
      <w:r w:rsidR="00F6614D" w:rsidRPr="004F6DAA">
        <w:rPr>
          <w:noProof/>
        </w:rPr>
        <w:t>czeniu państwa do wykazu,</w:t>
      </w:r>
      <w:r w:rsidR="00062BFA" w:rsidRPr="004F6DAA">
        <w:rPr>
          <w:noProof/>
        </w:rPr>
        <w:t xml:space="preserve"> o</w:t>
      </w:r>
      <w:r w:rsidR="00062BFA">
        <w:rPr>
          <w:noProof/>
        </w:rPr>
        <w:t> </w:t>
      </w:r>
      <w:r w:rsidR="00062BFA" w:rsidRPr="004F6DAA">
        <w:rPr>
          <w:noProof/>
        </w:rPr>
        <w:t>któ</w:t>
      </w:r>
      <w:r w:rsidR="00F6614D" w:rsidRPr="004F6DAA">
        <w:rPr>
          <w:noProof/>
        </w:rPr>
        <w:t>rym mowa</w:t>
      </w:r>
      <w:r w:rsidR="00062BFA" w:rsidRPr="004F6DAA">
        <w:rPr>
          <w:noProof/>
        </w:rPr>
        <w:t xml:space="preserve"> w</w:t>
      </w:r>
      <w:r w:rsidR="00062BFA">
        <w:rPr>
          <w:noProof/>
        </w:rPr>
        <w:t> </w:t>
      </w:r>
      <w:r w:rsidR="00062BFA" w:rsidRPr="00062BFA">
        <w:rPr>
          <w:noProof/>
        </w:rPr>
        <w:t>ust</w:t>
      </w:r>
      <w:r w:rsidR="00F6614D" w:rsidRPr="00062BFA">
        <w:rPr>
          <w:noProof/>
        </w:rPr>
        <w:t>.</w:t>
      </w:r>
      <w:r w:rsidR="00062BFA" w:rsidRPr="00062BFA">
        <w:rPr>
          <w:noProof/>
        </w:rPr>
        <w:t> </w:t>
      </w:r>
      <w:r w:rsidR="00F6614D" w:rsidRPr="00062BFA">
        <w:rPr>
          <w:noProof/>
        </w:rPr>
        <w:t>1</w:t>
      </w:r>
      <w:r w:rsidR="00F6614D" w:rsidRPr="004F6DAA">
        <w:rPr>
          <w:noProof/>
        </w:rPr>
        <w:t>, oraz usunięciu go</w:t>
      </w:r>
      <w:r w:rsidR="00062BFA" w:rsidRPr="004F6DAA">
        <w:rPr>
          <w:noProof/>
        </w:rPr>
        <w:t xml:space="preserve"> z</w:t>
      </w:r>
      <w:r w:rsidR="00062BFA">
        <w:rPr>
          <w:noProof/>
        </w:rPr>
        <w:t> </w:t>
      </w:r>
      <w:r w:rsidR="00062BFA" w:rsidRPr="004F6DAA">
        <w:rPr>
          <w:noProof/>
        </w:rPr>
        <w:t>teg</w:t>
      </w:r>
      <w:r w:rsidR="00F6614D" w:rsidRPr="004F6DAA">
        <w:rPr>
          <w:noProof/>
        </w:rPr>
        <w:t>o wykazu.</w:t>
      </w:r>
    </w:p>
    <w:p w14:paraId="7171EF25" w14:textId="77777777" w:rsidR="009A63D5" w:rsidRPr="004F6DAA" w:rsidRDefault="00F6614D" w:rsidP="009A63D5">
      <w:pPr>
        <w:pStyle w:val="Titrearticle"/>
        <w:rPr>
          <w:noProof/>
        </w:rPr>
      </w:pPr>
      <w:r w:rsidRPr="004F6DAA">
        <w:rPr>
          <w:noProof/>
        </w:rPr>
        <w:t>Artykuł 28</w:t>
      </w:r>
    </w:p>
    <w:p w14:paraId="3AF064B7" w14:textId="77777777" w:rsidR="00F6614D" w:rsidRPr="004F6DAA" w:rsidRDefault="00F6614D" w:rsidP="009A63D5">
      <w:pPr>
        <w:pStyle w:val="Sous-titreobjet"/>
        <w:rPr>
          <w:noProof/>
        </w:rPr>
      </w:pPr>
      <w:r w:rsidRPr="004F6DAA">
        <w:rPr>
          <w:noProof/>
        </w:rPr>
        <w:t>Współpraca</w:t>
      </w:r>
      <w:r w:rsidR="00062BFA" w:rsidRPr="004F6DAA">
        <w:rPr>
          <w:noProof/>
        </w:rPr>
        <w:t xml:space="preserve"> z</w:t>
      </w:r>
      <w:r w:rsidR="00062BFA">
        <w:rPr>
          <w:noProof/>
        </w:rPr>
        <w:t> </w:t>
      </w:r>
      <w:r w:rsidR="00062BFA" w:rsidRPr="004F6DAA">
        <w:rPr>
          <w:noProof/>
        </w:rPr>
        <w:t>pań</w:t>
      </w:r>
      <w:r w:rsidRPr="004F6DAA">
        <w:rPr>
          <w:noProof/>
        </w:rPr>
        <w:t>stwami trzecimi</w:t>
      </w:r>
    </w:p>
    <w:p w14:paraId="33548724" w14:textId="77777777" w:rsidR="00F6614D" w:rsidRPr="004F6DAA" w:rsidRDefault="007B7EB7" w:rsidP="007B7EB7">
      <w:pPr>
        <w:pStyle w:val="ManualNumPar1"/>
        <w:rPr>
          <w:noProof/>
        </w:rPr>
      </w:pPr>
      <w:r w:rsidRPr="007B7EB7">
        <w:t>1.</w:t>
      </w:r>
      <w:r w:rsidRPr="007B7EB7">
        <w:tab/>
      </w:r>
      <w:r w:rsidR="00F6614D" w:rsidRPr="004F6DAA">
        <w:rPr>
          <w:noProof/>
        </w:rPr>
        <w:t>Komisja podejmuje działania wspólnie</w:t>
      </w:r>
      <w:r w:rsidR="00062BFA" w:rsidRPr="004F6DAA">
        <w:rPr>
          <w:noProof/>
        </w:rPr>
        <w:t xml:space="preserve"> z</w:t>
      </w:r>
      <w:r w:rsidR="00062BFA">
        <w:rPr>
          <w:noProof/>
        </w:rPr>
        <w:t> </w:t>
      </w:r>
      <w:r w:rsidR="00062BFA" w:rsidRPr="004F6DAA">
        <w:rPr>
          <w:noProof/>
        </w:rPr>
        <w:t>pań</w:t>
      </w:r>
      <w:r w:rsidR="00F6614D" w:rsidRPr="004F6DAA">
        <w:rPr>
          <w:noProof/>
        </w:rPr>
        <w:t>stwami będącymi producentami, których dotyczy niniejsze rozporządzenie,</w:t>
      </w:r>
      <w:r w:rsidR="00062BFA" w:rsidRPr="004F6DAA">
        <w:rPr>
          <w:noProof/>
        </w:rPr>
        <w:t xml:space="preserve"> w</w:t>
      </w:r>
      <w:r w:rsidR="00062BFA">
        <w:rPr>
          <w:noProof/>
        </w:rPr>
        <w:t> </w:t>
      </w:r>
      <w:r w:rsidR="00062BFA" w:rsidRPr="004F6DAA">
        <w:rPr>
          <w:noProof/>
        </w:rPr>
        <w:t>cel</w:t>
      </w:r>
      <w:r w:rsidR="00F6614D" w:rsidRPr="004F6DAA">
        <w:rPr>
          <w:noProof/>
        </w:rPr>
        <w:t>u rozwijania partnerstw</w:t>
      </w:r>
      <w:r w:rsidR="00062BFA" w:rsidRPr="004F6DAA">
        <w:rPr>
          <w:noProof/>
        </w:rPr>
        <w:t xml:space="preserve"> i</w:t>
      </w:r>
      <w:r w:rsidR="00062BFA">
        <w:rPr>
          <w:noProof/>
        </w:rPr>
        <w:t> </w:t>
      </w:r>
      <w:r w:rsidR="00062BFA" w:rsidRPr="004F6DAA">
        <w:rPr>
          <w:noProof/>
        </w:rPr>
        <w:t>wsp</w:t>
      </w:r>
      <w:r w:rsidR="00F6614D" w:rsidRPr="004F6DAA">
        <w:rPr>
          <w:noProof/>
        </w:rPr>
        <w:t>ółpracy umożliwiających wspólne zajęcie się problemem wylesiania</w:t>
      </w:r>
      <w:r w:rsidR="00062BFA" w:rsidRPr="004F6DAA">
        <w:rPr>
          <w:noProof/>
        </w:rPr>
        <w:t xml:space="preserve"> i</w:t>
      </w:r>
      <w:r w:rsidR="00062BFA">
        <w:rPr>
          <w:noProof/>
        </w:rPr>
        <w:t> </w:t>
      </w:r>
      <w:r w:rsidR="00062BFA" w:rsidRPr="004F6DAA">
        <w:rPr>
          <w:noProof/>
        </w:rPr>
        <w:t>deg</w:t>
      </w:r>
      <w:r w:rsidR="00F6614D" w:rsidRPr="004F6DAA">
        <w:rPr>
          <w:noProof/>
        </w:rPr>
        <w:t>radacji lasów. Takie partnerstwa</w:t>
      </w:r>
      <w:r w:rsidR="00062BFA" w:rsidRPr="004F6DAA">
        <w:rPr>
          <w:noProof/>
        </w:rPr>
        <w:t xml:space="preserve"> i</w:t>
      </w:r>
      <w:r w:rsidR="00062BFA">
        <w:rPr>
          <w:noProof/>
        </w:rPr>
        <w:t> </w:t>
      </w:r>
      <w:r w:rsidR="00062BFA" w:rsidRPr="004F6DAA">
        <w:rPr>
          <w:noProof/>
        </w:rPr>
        <w:t>mec</w:t>
      </w:r>
      <w:r w:rsidR="00F6614D" w:rsidRPr="004F6DAA">
        <w:rPr>
          <w:noProof/>
        </w:rPr>
        <w:t>hanizmy współpracy będą koncentrować się na ochronie, odbudowie</w:t>
      </w:r>
      <w:r w:rsidR="00062BFA" w:rsidRPr="004F6DAA">
        <w:rPr>
          <w:noProof/>
        </w:rPr>
        <w:t xml:space="preserve"> i</w:t>
      </w:r>
      <w:r w:rsidR="00062BFA">
        <w:rPr>
          <w:noProof/>
        </w:rPr>
        <w:t> </w:t>
      </w:r>
      <w:r w:rsidR="00062BFA" w:rsidRPr="004F6DAA">
        <w:rPr>
          <w:noProof/>
        </w:rPr>
        <w:t>zró</w:t>
      </w:r>
      <w:r w:rsidR="00F6614D" w:rsidRPr="004F6DAA">
        <w:rPr>
          <w:noProof/>
        </w:rPr>
        <w:t>wnoważonym wykorzystaniu lasów, wylesianiu, degradacji lasów oraz przejściu na zrównoważone metody produkcji towarów, przetwarzania na potrzeby konsumpcji</w:t>
      </w:r>
      <w:r w:rsidR="00062BFA" w:rsidRPr="004F6DAA">
        <w:rPr>
          <w:noProof/>
        </w:rPr>
        <w:t xml:space="preserve"> i</w:t>
      </w:r>
      <w:r w:rsidR="00062BFA">
        <w:rPr>
          <w:noProof/>
        </w:rPr>
        <w:t> </w:t>
      </w:r>
      <w:r w:rsidR="00062BFA" w:rsidRPr="004F6DAA">
        <w:rPr>
          <w:noProof/>
        </w:rPr>
        <w:t>han</w:t>
      </w:r>
      <w:r w:rsidR="00F6614D" w:rsidRPr="004F6DAA">
        <w:rPr>
          <w:noProof/>
        </w:rPr>
        <w:t>dlu. Partnerstwa</w:t>
      </w:r>
      <w:r w:rsidR="00062BFA" w:rsidRPr="004F6DAA">
        <w:rPr>
          <w:noProof/>
        </w:rPr>
        <w:t xml:space="preserve"> i</w:t>
      </w:r>
      <w:r w:rsidR="00062BFA">
        <w:rPr>
          <w:noProof/>
        </w:rPr>
        <w:t> </w:t>
      </w:r>
      <w:r w:rsidR="00062BFA" w:rsidRPr="004F6DAA">
        <w:rPr>
          <w:noProof/>
        </w:rPr>
        <w:t>mec</w:t>
      </w:r>
      <w:r w:rsidR="00F6614D" w:rsidRPr="004F6DAA">
        <w:rPr>
          <w:noProof/>
        </w:rPr>
        <w:t>hanizmy współpracy mogą obejmować zorganizowany dialog, programy</w:t>
      </w:r>
      <w:r w:rsidR="00062BFA" w:rsidRPr="004F6DAA">
        <w:rPr>
          <w:noProof/>
        </w:rPr>
        <w:t xml:space="preserve"> i</w:t>
      </w:r>
      <w:r w:rsidR="00062BFA">
        <w:rPr>
          <w:noProof/>
        </w:rPr>
        <w:t> </w:t>
      </w:r>
      <w:r w:rsidR="00062BFA" w:rsidRPr="004F6DAA">
        <w:rPr>
          <w:noProof/>
        </w:rPr>
        <w:t>dzi</w:t>
      </w:r>
      <w:r w:rsidR="00F6614D" w:rsidRPr="004F6DAA">
        <w:rPr>
          <w:noProof/>
        </w:rPr>
        <w:t>ałania wspierające, porozumienia administracyjne</w:t>
      </w:r>
      <w:r w:rsidR="00062BFA" w:rsidRPr="004F6DAA">
        <w:rPr>
          <w:noProof/>
        </w:rPr>
        <w:t xml:space="preserve"> i</w:t>
      </w:r>
      <w:r w:rsidR="00062BFA">
        <w:rPr>
          <w:noProof/>
        </w:rPr>
        <w:t> </w:t>
      </w:r>
      <w:r w:rsidR="00062BFA" w:rsidRPr="004F6DAA">
        <w:rPr>
          <w:noProof/>
        </w:rPr>
        <w:t>pos</w:t>
      </w:r>
      <w:r w:rsidR="00F6614D" w:rsidRPr="004F6DAA">
        <w:rPr>
          <w:noProof/>
        </w:rPr>
        <w:t>tanowienia zawarte</w:t>
      </w:r>
      <w:r w:rsidR="00062BFA" w:rsidRPr="004F6DAA">
        <w:rPr>
          <w:noProof/>
        </w:rPr>
        <w:t xml:space="preserve"> w</w:t>
      </w:r>
      <w:r w:rsidR="00062BFA">
        <w:rPr>
          <w:noProof/>
        </w:rPr>
        <w:t> </w:t>
      </w:r>
      <w:r w:rsidR="00062BFA" w:rsidRPr="004F6DAA">
        <w:rPr>
          <w:noProof/>
        </w:rPr>
        <w:t>ist</w:t>
      </w:r>
      <w:r w:rsidR="00F6614D" w:rsidRPr="004F6DAA">
        <w:rPr>
          <w:noProof/>
        </w:rPr>
        <w:t>niejących umowach lub</w:t>
      </w:r>
      <w:r w:rsidR="00062BFA" w:rsidRPr="004F6DAA">
        <w:rPr>
          <w:noProof/>
        </w:rPr>
        <w:t xml:space="preserve"> w</w:t>
      </w:r>
      <w:r w:rsidR="00062BFA">
        <w:rPr>
          <w:noProof/>
        </w:rPr>
        <w:t> </w:t>
      </w:r>
      <w:r w:rsidR="00062BFA" w:rsidRPr="004F6DAA">
        <w:rPr>
          <w:noProof/>
        </w:rPr>
        <w:t>por</w:t>
      </w:r>
      <w:r w:rsidR="00F6614D" w:rsidRPr="004F6DAA">
        <w:rPr>
          <w:noProof/>
        </w:rPr>
        <w:t>ozumieniach, które umożliwiają państwom będącym producentami przejście na produkcję rolną ułatwiającą dostosowanie odnośnych towarów</w:t>
      </w:r>
      <w:r w:rsidR="00062BFA" w:rsidRPr="004F6DAA">
        <w:rPr>
          <w:noProof/>
        </w:rPr>
        <w:t xml:space="preserve"> i</w:t>
      </w:r>
      <w:r w:rsidR="00062BFA">
        <w:rPr>
          <w:noProof/>
        </w:rPr>
        <w:t> </w:t>
      </w:r>
      <w:r w:rsidR="00062BFA" w:rsidRPr="004F6DAA">
        <w:rPr>
          <w:noProof/>
        </w:rPr>
        <w:t>pro</w:t>
      </w:r>
      <w:r w:rsidR="00F6614D" w:rsidRPr="004F6DAA">
        <w:rPr>
          <w:noProof/>
        </w:rPr>
        <w:t>duktów do wymogów niniejszego rozporządzenia</w:t>
      </w:r>
      <w:r w:rsidR="00F6614D" w:rsidRPr="004F6DAA">
        <w:rPr>
          <w:noProof/>
          <w:color w:val="1F497D"/>
        </w:rPr>
        <w:t>.</w:t>
      </w:r>
      <w:r w:rsidR="00F6614D" w:rsidRPr="004F6DAA">
        <w:rPr>
          <w:noProof/>
        </w:rPr>
        <w:t xml:space="preserve"> Takie porozumienia</w:t>
      </w:r>
      <w:r w:rsidR="00062BFA" w:rsidRPr="004F6DAA">
        <w:rPr>
          <w:noProof/>
        </w:rPr>
        <w:t xml:space="preserve"> i</w:t>
      </w:r>
      <w:r w:rsidR="00062BFA">
        <w:rPr>
          <w:noProof/>
        </w:rPr>
        <w:t> </w:t>
      </w:r>
      <w:r w:rsidR="00062BFA" w:rsidRPr="004F6DAA">
        <w:rPr>
          <w:noProof/>
        </w:rPr>
        <w:t>ich</w:t>
      </w:r>
      <w:r w:rsidR="00F6614D" w:rsidRPr="004F6DAA">
        <w:rPr>
          <w:noProof/>
        </w:rPr>
        <w:t xml:space="preserve"> skuteczne wprowadzanie</w:t>
      </w:r>
      <w:r w:rsidR="00062BFA" w:rsidRPr="004F6DAA">
        <w:rPr>
          <w:noProof/>
        </w:rPr>
        <w:t xml:space="preserve"> w</w:t>
      </w:r>
      <w:r w:rsidR="00062BFA">
        <w:rPr>
          <w:noProof/>
        </w:rPr>
        <w:t> </w:t>
      </w:r>
      <w:r w:rsidR="00062BFA" w:rsidRPr="004F6DAA">
        <w:rPr>
          <w:noProof/>
        </w:rPr>
        <w:t>życ</w:t>
      </w:r>
      <w:r w:rsidR="00F6614D" w:rsidRPr="004F6DAA">
        <w:rPr>
          <w:noProof/>
        </w:rPr>
        <w:t>ie zostaną uwzględnione</w:t>
      </w:r>
      <w:r w:rsidR="00062BFA" w:rsidRPr="004F6DAA">
        <w:rPr>
          <w:noProof/>
        </w:rPr>
        <w:t xml:space="preserve"> w</w:t>
      </w:r>
      <w:r w:rsidR="00062BFA">
        <w:rPr>
          <w:noProof/>
        </w:rPr>
        <w:t> </w:t>
      </w:r>
      <w:r w:rsidR="00062BFA" w:rsidRPr="004F6DAA">
        <w:rPr>
          <w:noProof/>
        </w:rPr>
        <w:t>ram</w:t>
      </w:r>
      <w:r w:rsidR="00F6614D" w:rsidRPr="004F6DAA">
        <w:rPr>
          <w:noProof/>
        </w:rPr>
        <w:t xml:space="preserve">ach systemu wskaźników na podstawie </w:t>
      </w:r>
      <w:r w:rsidR="00F6614D" w:rsidRPr="00062BFA">
        <w:rPr>
          <w:noProof/>
        </w:rPr>
        <w:t>art.</w:t>
      </w:r>
      <w:r w:rsidR="00062BFA" w:rsidRPr="00062BFA">
        <w:rPr>
          <w:noProof/>
        </w:rPr>
        <w:t> </w:t>
      </w:r>
      <w:r w:rsidR="00F6614D" w:rsidRPr="00062BFA">
        <w:rPr>
          <w:noProof/>
        </w:rPr>
        <w:t>2</w:t>
      </w:r>
      <w:r w:rsidR="00F6614D" w:rsidRPr="004F6DAA">
        <w:rPr>
          <w:noProof/>
        </w:rPr>
        <w:t>7 niniejszego rozporządzenia.</w:t>
      </w:r>
    </w:p>
    <w:p w14:paraId="4CD12E91" w14:textId="77777777" w:rsidR="00F6614D" w:rsidRPr="004F6DAA" w:rsidRDefault="007B7EB7" w:rsidP="007B7EB7">
      <w:pPr>
        <w:pStyle w:val="ManualNumPar1"/>
        <w:rPr>
          <w:noProof/>
        </w:rPr>
      </w:pPr>
      <w:r w:rsidRPr="007B7EB7">
        <w:t>2.</w:t>
      </w:r>
      <w:r w:rsidRPr="007B7EB7">
        <w:tab/>
      </w:r>
      <w:r w:rsidR="00F6614D" w:rsidRPr="004F6DAA">
        <w:rPr>
          <w:noProof/>
        </w:rPr>
        <w:t>Partnerstwa</w:t>
      </w:r>
      <w:r w:rsidR="00062BFA" w:rsidRPr="004F6DAA">
        <w:rPr>
          <w:noProof/>
        </w:rPr>
        <w:t xml:space="preserve"> i</w:t>
      </w:r>
      <w:r w:rsidR="00062BFA">
        <w:rPr>
          <w:noProof/>
        </w:rPr>
        <w:t> </w:t>
      </w:r>
      <w:r w:rsidR="00062BFA" w:rsidRPr="004F6DAA">
        <w:rPr>
          <w:noProof/>
        </w:rPr>
        <w:t>wsp</w:t>
      </w:r>
      <w:r w:rsidR="00F6614D" w:rsidRPr="004F6DAA">
        <w:rPr>
          <w:noProof/>
        </w:rPr>
        <w:t>ółpraca powinny umożliwiać pełne uczestnictwo wszystkich zainteresowanych stron,</w:t>
      </w:r>
      <w:r w:rsidR="00062BFA" w:rsidRPr="004F6DAA">
        <w:rPr>
          <w:noProof/>
        </w:rPr>
        <w:t xml:space="preserve"> w</w:t>
      </w:r>
      <w:r w:rsidR="00062BFA">
        <w:rPr>
          <w:noProof/>
        </w:rPr>
        <w:t> </w:t>
      </w:r>
      <w:r w:rsidR="00062BFA" w:rsidRPr="004F6DAA">
        <w:rPr>
          <w:noProof/>
        </w:rPr>
        <w:t>tym</w:t>
      </w:r>
      <w:r w:rsidR="00F6614D" w:rsidRPr="004F6DAA">
        <w:rPr>
          <w:noProof/>
        </w:rPr>
        <w:t xml:space="preserve"> społeczeństwa obywatelskiego, ludności rdzennej, społeczności lokalnych</w:t>
      </w:r>
      <w:r w:rsidR="00062BFA" w:rsidRPr="004F6DAA">
        <w:rPr>
          <w:noProof/>
        </w:rPr>
        <w:t xml:space="preserve"> i</w:t>
      </w:r>
      <w:r w:rsidR="00062BFA">
        <w:rPr>
          <w:noProof/>
        </w:rPr>
        <w:t> </w:t>
      </w:r>
      <w:r w:rsidR="00062BFA" w:rsidRPr="004F6DAA">
        <w:rPr>
          <w:noProof/>
        </w:rPr>
        <w:t>sek</w:t>
      </w:r>
      <w:r w:rsidR="00F6614D" w:rsidRPr="004F6DAA">
        <w:rPr>
          <w:noProof/>
        </w:rPr>
        <w:t>tora prywatnego,</w:t>
      </w:r>
      <w:r w:rsidR="00062BFA" w:rsidRPr="004F6DAA">
        <w:rPr>
          <w:noProof/>
        </w:rPr>
        <w:t xml:space="preserve"> w</w:t>
      </w:r>
      <w:r w:rsidR="00062BFA">
        <w:rPr>
          <w:noProof/>
        </w:rPr>
        <w:t> </w:t>
      </w:r>
      <w:r w:rsidR="00062BFA" w:rsidRPr="004F6DAA">
        <w:rPr>
          <w:noProof/>
        </w:rPr>
        <w:t>tym</w:t>
      </w:r>
      <w:r w:rsidR="00F6614D" w:rsidRPr="004F6DAA">
        <w:rPr>
          <w:noProof/>
        </w:rPr>
        <w:t xml:space="preserve"> MŚP</w:t>
      </w:r>
      <w:r w:rsidR="00062BFA" w:rsidRPr="004F6DAA">
        <w:rPr>
          <w:noProof/>
        </w:rPr>
        <w:t xml:space="preserve"> i</w:t>
      </w:r>
      <w:r w:rsidR="00062BFA">
        <w:rPr>
          <w:noProof/>
        </w:rPr>
        <w:t> </w:t>
      </w:r>
      <w:r w:rsidR="00062BFA" w:rsidRPr="004F6DAA">
        <w:rPr>
          <w:noProof/>
        </w:rPr>
        <w:t>dro</w:t>
      </w:r>
      <w:r w:rsidR="00F6614D" w:rsidRPr="004F6DAA">
        <w:rPr>
          <w:noProof/>
        </w:rPr>
        <w:t>bnych producentów rolnych.</w:t>
      </w:r>
    </w:p>
    <w:p w14:paraId="0FF45D40" w14:textId="77777777" w:rsidR="00F6614D" w:rsidRPr="004F6DAA" w:rsidRDefault="007B7EB7" w:rsidP="007B7EB7">
      <w:pPr>
        <w:pStyle w:val="ManualNumPar1"/>
        <w:rPr>
          <w:noProof/>
        </w:rPr>
      </w:pPr>
      <w:r w:rsidRPr="007B7EB7">
        <w:t>3.</w:t>
      </w:r>
      <w:r w:rsidRPr="007B7EB7">
        <w:tab/>
      </w:r>
      <w:r w:rsidR="00F6614D" w:rsidRPr="004F6DAA">
        <w:rPr>
          <w:noProof/>
        </w:rPr>
        <w:t>Partnerstwa</w:t>
      </w:r>
      <w:r w:rsidR="00062BFA" w:rsidRPr="004F6DAA">
        <w:rPr>
          <w:noProof/>
        </w:rPr>
        <w:t xml:space="preserve"> i</w:t>
      </w:r>
      <w:r w:rsidR="00062BFA">
        <w:rPr>
          <w:noProof/>
        </w:rPr>
        <w:t> </w:t>
      </w:r>
      <w:r w:rsidR="00062BFA" w:rsidRPr="004F6DAA">
        <w:rPr>
          <w:noProof/>
        </w:rPr>
        <w:t>wsp</w:t>
      </w:r>
      <w:r w:rsidR="00F6614D" w:rsidRPr="004F6DAA">
        <w:rPr>
          <w:noProof/>
        </w:rPr>
        <w:t>ółpraca wspierają rozwój zintegrowanych procesów zagospodarowania przestrzennego, odpowiednich przepisów, bodźców podatkowych</w:t>
      </w:r>
      <w:r w:rsidR="00062BFA" w:rsidRPr="004F6DAA">
        <w:rPr>
          <w:noProof/>
        </w:rPr>
        <w:t xml:space="preserve"> i</w:t>
      </w:r>
      <w:r w:rsidR="00062BFA">
        <w:rPr>
          <w:noProof/>
        </w:rPr>
        <w:t> </w:t>
      </w:r>
      <w:r w:rsidR="00062BFA" w:rsidRPr="004F6DAA">
        <w:rPr>
          <w:noProof/>
        </w:rPr>
        <w:t>inn</w:t>
      </w:r>
      <w:r w:rsidR="00F6614D" w:rsidRPr="004F6DAA">
        <w:rPr>
          <w:noProof/>
        </w:rPr>
        <w:t>ych właściwych narzędzi służących poprawie ochrony lasów</w:t>
      </w:r>
      <w:r w:rsidR="00062BFA" w:rsidRPr="004F6DAA">
        <w:rPr>
          <w:noProof/>
        </w:rPr>
        <w:t xml:space="preserve"> i</w:t>
      </w:r>
      <w:r w:rsidR="00062BFA">
        <w:rPr>
          <w:noProof/>
        </w:rPr>
        <w:t> </w:t>
      </w:r>
      <w:r w:rsidR="00062BFA" w:rsidRPr="004F6DAA">
        <w:rPr>
          <w:noProof/>
        </w:rPr>
        <w:t>róż</w:t>
      </w:r>
      <w:r w:rsidR="00F6614D" w:rsidRPr="004F6DAA">
        <w:rPr>
          <w:noProof/>
        </w:rPr>
        <w:t>norodności biologicznej, zrównoważonemu gospodarowaniu</w:t>
      </w:r>
      <w:r w:rsidR="00062BFA" w:rsidRPr="004F6DAA">
        <w:rPr>
          <w:noProof/>
        </w:rPr>
        <w:t xml:space="preserve"> i</w:t>
      </w:r>
      <w:r w:rsidR="00062BFA">
        <w:rPr>
          <w:noProof/>
        </w:rPr>
        <w:t> </w:t>
      </w:r>
      <w:r w:rsidR="00062BFA" w:rsidRPr="004F6DAA">
        <w:rPr>
          <w:noProof/>
        </w:rPr>
        <w:t>odb</w:t>
      </w:r>
      <w:r w:rsidR="00F6614D" w:rsidRPr="004F6DAA">
        <w:rPr>
          <w:noProof/>
        </w:rPr>
        <w:t>udowie lasów, rozwiązaniu problemu przekształcania lasów</w:t>
      </w:r>
      <w:r w:rsidR="00062BFA" w:rsidRPr="004F6DAA">
        <w:rPr>
          <w:noProof/>
        </w:rPr>
        <w:t xml:space="preserve"> i</w:t>
      </w:r>
      <w:r w:rsidR="00062BFA">
        <w:rPr>
          <w:noProof/>
        </w:rPr>
        <w:t> </w:t>
      </w:r>
      <w:r w:rsidR="00062BFA" w:rsidRPr="004F6DAA">
        <w:rPr>
          <w:noProof/>
        </w:rPr>
        <w:t>wra</w:t>
      </w:r>
      <w:r w:rsidR="00F6614D" w:rsidRPr="004F6DAA">
        <w:rPr>
          <w:noProof/>
        </w:rPr>
        <w:t>żliwych ekosystemów</w:t>
      </w:r>
      <w:r w:rsidR="00062BFA" w:rsidRPr="004F6DAA">
        <w:rPr>
          <w:noProof/>
        </w:rPr>
        <w:t xml:space="preserve"> w</w:t>
      </w:r>
      <w:r w:rsidR="00062BFA">
        <w:rPr>
          <w:noProof/>
        </w:rPr>
        <w:t> </w:t>
      </w:r>
      <w:r w:rsidR="00062BFA" w:rsidRPr="004F6DAA">
        <w:rPr>
          <w:noProof/>
        </w:rPr>
        <w:t>inn</w:t>
      </w:r>
      <w:r w:rsidR="00F6614D" w:rsidRPr="004F6DAA">
        <w:rPr>
          <w:noProof/>
        </w:rPr>
        <w:t>e formy użytkowania gruntów, optymalizacji korzyści dla krajobrazu, bezpieczeństwa praw własności gruntów, wydajności</w:t>
      </w:r>
      <w:r w:rsidR="00062BFA" w:rsidRPr="004F6DAA">
        <w:rPr>
          <w:noProof/>
        </w:rPr>
        <w:t xml:space="preserve"> i</w:t>
      </w:r>
      <w:r w:rsidR="00062BFA">
        <w:rPr>
          <w:noProof/>
        </w:rPr>
        <w:t> </w:t>
      </w:r>
      <w:r w:rsidR="00062BFA" w:rsidRPr="004F6DAA">
        <w:rPr>
          <w:noProof/>
        </w:rPr>
        <w:t>kon</w:t>
      </w:r>
      <w:r w:rsidR="00F6614D" w:rsidRPr="004F6DAA">
        <w:rPr>
          <w:noProof/>
        </w:rPr>
        <w:t>kurencyjności rolnictwa, przejrzystych łańcuchów dostaw, wzmocnieniu praw społeczności zależnych od lasów,</w:t>
      </w:r>
      <w:r w:rsidR="00062BFA" w:rsidRPr="004F6DAA">
        <w:rPr>
          <w:noProof/>
        </w:rPr>
        <w:t xml:space="preserve"> w</w:t>
      </w:r>
      <w:r w:rsidR="00062BFA">
        <w:rPr>
          <w:noProof/>
        </w:rPr>
        <w:t> </w:t>
      </w:r>
      <w:r w:rsidR="00062BFA" w:rsidRPr="004F6DAA">
        <w:rPr>
          <w:noProof/>
        </w:rPr>
        <w:t>tym</w:t>
      </w:r>
      <w:r w:rsidR="00F6614D" w:rsidRPr="004F6DAA">
        <w:rPr>
          <w:noProof/>
        </w:rPr>
        <w:t xml:space="preserve"> drobnych producentów rolnych, społeczności tubylczych</w:t>
      </w:r>
      <w:r w:rsidR="00062BFA" w:rsidRPr="004F6DAA">
        <w:rPr>
          <w:noProof/>
        </w:rPr>
        <w:t xml:space="preserve"> i</w:t>
      </w:r>
      <w:r w:rsidR="00062BFA">
        <w:rPr>
          <w:noProof/>
        </w:rPr>
        <w:t> </w:t>
      </w:r>
      <w:r w:rsidR="00062BFA" w:rsidRPr="004F6DAA">
        <w:rPr>
          <w:noProof/>
        </w:rPr>
        <w:t>lok</w:t>
      </w:r>
      <w:r w:rsidR="00F6614D" w:rsidRPr="004F6DAA">
        <w:rPr>
          <w:noProof/>
        </w:rPr>
        <w:t>alnych, oraz zapewnieniu publicznego dostępu do dokumentów dotyczących gospodarki leśnej</w:t>
      </w:r>
      <w:r w:rsidR="00062BFA" w:rsidRPr="004F6DAA">
        <w:rPr>
          <w:noProof/>
        </w:rPr>
        <w:t xml:space="preserve"> i</w:t>
      </w:r>
      <w:r w:rsidR="00062BFA">
        <w:rPr>
          <w:noProof/>
        </w:rPr>
        <w:t> </w:t>
      </w:r>
      <w:r w:rsidR="00062BFA" w:rsidRPr="004F6DAA">
        <w:rPr>
          <w:noProof/>
        </w:rPr>
        <w:t>inn</w:t>
      </w:r>
      <w:r w:rsidR="00F6614D" w:rsidRPr="004F6DAA">
        <w:rPr>
          <w:noProof/>
        </w:rPr>
        <w:t>ych istotnych informacji.</w:t>
      </w:r>
    </w:p>
    <w:p w14:paraId="2CAA1B4C" w14:textId="77777777" w:rsidR="00F6614D" w:rsidRPr="004F6DAA" w:rsidRDefault="007B7EB7" w:rsidP="007B7EB7">
      <w:pPr>
        <w:pStyle w:val="ManualNumPar1"/>
        <w:rPr>
          <w:noProof/>
        </w:rPr>
      </w:pPr>
      <w:r w:rsidRPr="007B7EB7">
        <w:t>4.</w:t>
      </w:r>
      <w:r w:rsidRPr="007B7EB7">
        <w:tab/>
      </w:r>
      <w:r w:rsidR="00F6614D" w:rsidRPr="004F6DAA">
        <w:rPr>
          <w:noProof/>
        </w:rPr>
        <w:t>Komisja angażuje się</w:t>
      </w:r>
      <w:r w:rsidR="00062BFA" w:rsidRPr="004F6DAA">
        <w:rPr>
          <w:noProof/>
        </w:rPr>
        <w:t xml:space="preserve"> w</w:t>
      </w:r>
      <w:r w:rsidR="00062BFA">
        <w:rPr>
          <w:noProof/>
        </w:rPr>
        <w:t> </w:t>
      </w:r>
      <w:r w:rsidR="00062BFA" w:rsidRPr="004F6DAA">
        <w:rPr>
          <w:noProof/>
        </w:rPr>
        <w:t>mię</w:t>
      </w:r>
      <w:r w:rsidR="00F6614D" w:rsidRPr="004F6DAA">
        <w:rPr>
          <w:noProof/>
        </w:rPr>
        <w:t>dzynarodowe dwustronne</w:t>
      </w:r>
      <w:r w:rsidR="00062BFA" w:rsidRPr="004F6DAA">
        <w:rPr>
          <w:noProof/>
        </w:rPr>
        <w:t xml:space="preserve"> i</w:t>
      </w:r>
      <w:r w:rsidR="00062BFA">
        <w:rPr>
          <w:noProof/>
        </w:rPr>
        <w:t> </w:t>
      </w:r>
      <w:r w:rsidR="00062BFA" w:rsidRPr="004F6DAA">
        <w:rPr>
          <w:noProof/>
        </w:rPr>
        <w:t>wie</w:t>
      </w:r>
      <w:r w:rsidR="00F6614D" w:rsidRPr="004F6DAA">
        <w:rPr>
          <w:noProof/>
        </w:rPr>
        <w:t>lostronne dyskusje dotyczące polityki</w:t>
      </w:r>
      <w:r w:rsidR="00062BFA" w:rsidRPr="004F6DAA">
        <w:rPr>
          <w:noProof/>
        </w:rPr>
        <w:t xml:space="preserve"> i</w:t>
      </w:r>
      <w:r w:rsidR="00062BFA">
        <w:rPr>
          <w:noProof/>
        </w:rPr>
        <w:t> </w:t>
      </w:r>
      <w:r w:rsidR="00062BFA" w:rsidRPr="004F6DAA">
        <w:rPr>
          <w:noProof/>
        </w:rPr>
        <w:t>dzi</w:t>
      </w:r>
      <w:r w:rsidR="00F6614D" w:rsidRPr="004F6DAA">
        <w:rPr>
          <w:noProof/>
        </w:rPr>
        <w:t>ałań mających na celu powstrzymanie wylesiania</w:t>
      </w:r>
      <w:r w:rsidR="00062BFA" w:rsidRPr="004F6DAA">
        <w:rPr>
          <w:noProof/>
        </w:rPr>
        <w:t xml:space="preserve"> i</w:t>
      </w:r>
      <w:r w:rsidR="00062BFA">
        <w:rPr>
          <w:noProof/>
        </w:rPr>
        <w:t> </w:t>
      </w:r>
      <w:r w:rsidR="00062BFA" w:rsidRPr="004F6DAA">
        <w:rPr>
          <w:noProof/>
        </w:rPr>
        <w:t>deg</w:t>
      </w:r>
      <w:r w:rsidR="00F6614D" w:rsidRPr="004F6DAA">
        <w:rPr>
          <w:noProof/>
        </w:rPr>
        <w:t>radacji lasów,</w:t>
      </w:r>
      <w:r w:rsidR="00062BFA" w:rsidRPr="004F6DAA">
        <w:rPr>
          <w:noProof/>
        </w:rPr>
        <w:t xml:space="preserve"> w</w:t>
      </w:r>
      <w:r w:rsidR="00062BFA">
        <w:rPr>
          <w:noProof/>
        </w:rPr>
        <w:t> </w:t>
      </w:r>
      <w:r w:rsidR="00062BFA" w:rsidRPr="004F6DAA">
        <w:rPr>
          <w:noProof/>
        </w:rPr>
        <w:t>tym</w:t>
      </w:r>
      <w:r w:rsidR="00F6614D" w:rsidRPr="004F6DAA">
        <w:rPr>
          <w:noProof/>
        </w:rPr>
        <w:t xml:space="preserve"> na forach wielostronnych, takich jak Konwencja</w:t>
      </w:r>
      <w:r w:rsidR="00062BFA" w:rsidRPr="004F6DAA">
        <w:rPr>
          <w:noProof/>
        </w:rPr>
        <w:t xml:space="preserve"> o</w:t>
      </w:r>
      <w:r w:rsidR="00062BFA">
        <w:rPr>
          <w:noProof/>
        </w:rPr>
        <w:t> </w:t>
      </w:r>
      <w:r w:rsidR="00062BFA" w:rsidRPr="004F6DAA">
        <w:rPr>
          <w:noProof/>
        </w:rPr>
        <w:t>róż</w:t>
      </w:r>
      <w:r w:rsidR="00F6614D" w:rsidRPr="004F6DAA">
        <w:rPr>
          <w:noProof/>
        </w:rPr>
        <w:t>norodności biologicznej, Organizacja Narodów Zjednoczonych ds. Wyżywienia</w:t>
      </w:r>
      <w:r w:rsidR="00062BFA" w:rsidRPr="004F6DAA">
        <w:rPr>
          <w:noProof/>
        </w:rPr>
        <w:t xml:space="preserve"> i</w:t>
      </w:r>
      <w:r w:rsidR="00062BFA">
        <w:rPr>
          <w:noProof/>
        </w:rPr>
        <w:t> </w:t>
      </w:r>
      <w:r w:rsidR="00062BFA" w:rsidRPr="004F6DAA">
        <w:rPr>
          <w:noProof/>
        </w:rPr>
        <w:t>Rol</w:t>
      </w:r>
      <w:r w:rsidR="00F6614D" w:rsidRPr="004F6DAA">
        <w:rPr>
          <w:noProof/>
        </w:rPr>
        <w:t>nictwa, Konwencja Narodów Zjednoczonych</w:t>
      </w:r>
      <w:r w:rsidR="00062BFA" w:rsidRPr="004F6DAA">
        <w:rPr>
          <w:noProof/>
        </w:rPr>
        <w:t xml:space="preserve"> w</w:t>
      </w:r>
      <w:r w:rsidR="00062BFA">
        <w:rPr>
          <w:noProof/>
        </w:rPr>
        <w:t> </w:t>
      </w:r>
      <w:r w:rsidR="00062BFA" w:rsidRPr="004F6DAA">
        <w:rPr>
          <w:noProof/>
        </w:rPr>
        <w:t>spr</w:t>
      </w:r>
      <w:r w:rsidR="00F6614D" w:rsidRPr="004F6DAA">
        <w:rPr>
          <w:noProof/>
        </w:rPr>
        <w:t>awie zwalczania pustynnienia, Zgromadzenie ONZ ds. Ochrony Środowiska Programu Narodów Zjednoczonych ds. Ochrony Środowiska, Forum Narodów Zjednoczonych ds. Lasów, Ramowa konwencja Narodów Zjednoczonych</w:t>
      </w:r>
      <w:r w:rsidR="00062BFA" w:rsidRPr="004F6DAA">
        <w:rPr>
          <w:noProof/>
        </w:rPr>
        <w:t xml:space="preserve"> w</w:t>
      </w:r>
      <w:r w:rsidR="00062BFA">
        <w:rPr>
          <w:noProof/>
        </w:rPr>
        <w:t> </w:t>
      </w:r>
      <w:r w:rsidR="00062BFA" w:rsidRPr="004F6DAA">
        <w:rPr>
          <w:noProof/>
        </w:rPr>
        <w:t>spr</w:t>
      </w:r>
      <w:r w:rsidR="00F6614D" w:rsidRPr="004F6DAA">
        <w:rPr>
          <w:noProof/>
        </w:rPr>
        <w:t>awie zmian klimatu, Światowa Organizacja Handlu, grupa G-7</w:t>
      </w:r>
      <w:r w:rsidR="00062BFA" w:rsidRPr="004F6DAA">
        <w:rPr>
          <w:noProof/>
        </w:rPr>
        <w:t xml:space="preserve"> i</w:t>
      </w:r>
      <w:r w:rsidR="00062BFA">
        <w:rPr>
          <w:noProof/>
        </w:rPr>
        <w:t> </w:t>
      </w:r>
      <w:r w:rsidR="00062BFA" w:rsidRPr="004F6DAA">
        <w:rPr>
          <w:noProof/>
        </w:rPr>
        <w:t>gru</w:t>
      </w:r>
      <w:r w:rsidR="00F6614D" w:rsidRPr="004F6DAA">
        <w:rPr>
          <w:noProof/>
        </w:rPr>
        <w:t>pa G-20. Zaangażowanie to polega na wspieraniu przejścia na zrównoważoną produkcję rolną</w:t>
      </w:r>
      <w:r w:rsidR="00062BFA" w:rsidRPr="004F6DAA">
        <w:rPr>
          <w:noProof/>
        </w:rPr>
        <w:t xml:space="preserve"> i</w:t>
      </w:r>
      <w:r w:rsidR="00062BFA">
        <w:rPr>
          <w:noProof/>
        </w:rPr>
        <w:t> </w:t>
      </w:r>
      <w:r w:rsidR="00062BFA" w:rsidRPr="004F6DAA">
        <w:rPr>
          <w:noProof/>
        </w:rPr>
        <w:t>zró</w:t>
      </w:r>
      <w:r w:rsidR="00F6614D" w:rsidRPr="004F6DAA">
        <w:rPr>
          <w:noProof/>
        </w:rPr>
        <w:t>wnoważoną gospodarkę leśną oraz rozwoju przejrzystych</w:t>
      </w:r>
      <w:r w:rsidR="00062BFA" w:rsidRPr="004F6DAA">
        <w:rPr>
          <w:noProof/>
        </w:rPr>
        <w:t xml:space="preserve"> i</w:t>
      </w:r>
      <w:r w:rsidR="00062BFA">
        <w:rPr>
          <w:noProof/>
        </w:rPr>
        <w:t> </w:t>
      </w:r>
      <w:r w:rsidR="00062BFA" w:rsidRPr="004F6DAA">
        <w:rPr>
          <w:noProof/>
        </w:rPr>
        <w:t>zró</w:t>
      </w:r>
      <w:r w:rsidR="00F6614D" w:rsidRPr="004F6DAA">
        <w:rPr>
          <w:noProof/>
        </w:rPr>
        <w:t>wnoważonych łańcuchów dostaw,</w:t>
      </w:r>
      <w:r w:rsidR="00062BFA" w:rsidRPr="004F6DAA">
        <w:rPr>
          <w:noProof/>
        </w:rPr>
        <w:t xml:space="preserve"> a</w:t>
      </w:r>
      <w:r w:rsidR="00062BFA">
        <w:rPr>
          <w:noProof/>
        </w:rPr>
        <w:t> </w:t>
      </w:r>
      <w:r w:rsidR="00062BFA" w:rsidRPr="004F6DAA">
        <w:rPr>
          <w:noProof/>
        </w:rPr>
        <w:t>tak</w:t>
      </w:r>
      <w:r w:rsidR="00F6614D" w:rsidRPr="004F6DAA">
        <w:rPr>
          <w:noProof/>
        </w:rPr>
        <w:t>że dalszych staraniach na rzecz określenia</w:t>
      </w:r>
      <w:r w:rsidR="00062BFA" w:rsidRPr="004F6DAA">
        <w:rPr>
          <w:noProof/>
        </w:rPr>
        <w:t xml:space="preserve"> i</w:t>
      </w:r>
      <w:r w:rsidR="00062BFA">
        <w:rPr>
          <w:noProof/>
        </w:rPr>
        <w:t> </w:t>
      </w:r>
      <w:r w:rsidR="00062BFA" w:rsidRPr="004F6DAA">
        <w:rPr>
          <w:noProof/>
        </w:rPr>
        <w:t>uzg</w:t>
      </w:r>
      <w:r w:rsidR="00F6614D" w:rsidRPr="004F6DAA">
        <w:rPr>
          <w:noProof/>
        </w:rPr>
        <w:t>odnienia solidnych norm</w:t>
      </w:r>
      <w:r w:rsidR="00062BFA" w:rsidRPr="004F6DAA">
        <w:rPr>
          <w:noProof/>
        </w:rPr>
        <w:t xml:space="preserve"> i</w:t>
      </w:r>
      <w:r w:rsidR="00062BFA">
        <w:rPr>
          <w:noProof/>
        </w:rPr>
        <w:t> </w:t>
      </w:r>
      <w:r w:rsidR="00062BFA" w:rsidRPr="004F6DAA">
        <w:rPr>
          <w:noProof/>
        </w:rPr>
        <w:t>def</w:t>
      </w:r>
      <w:r w:rsidR="00F6614D" w:rsidRPr="004F6DAA">
        <w:rPr>
          <w:noProof/>
        </w:rPr>
        <w:t xml:space="preserve">inicji zapewniających wysoki poziom ochrony ekosystemów leśnych. </w:t>
      </w:r>
    </w:p>
    <w:p w14:paraId="14E5EB2F" w14:textId="77777777" w:rsidR="00F6614D" w:rsidRPr="004F6DAA" w:rsidRDefault="00F6614D" w:rsidP="00F6614D">
      <w:pPr>
        <w:spacing w:before="0" w:after="200" w:line="276" w:lineRule="auto"/>
        <w:jc w:val="left"/>
        <w:rPr>
          <w:noProof/>
        </w:rPr>
      </w:pPr>
    </w:p>
    <w:p w14:paraId="537C22DE" w14:textId="77777777" w:rsidR="00201A50" w:rsidRPr="004F6DAA" w:rsidRDefault="00F6614D" w:rsidP="00F6614D">
      <w:pPr>
        <w:pStyle w:val="ChapterTitle"/>
        <w:rPr>
          <w:noProof/>
        </w:rPr>
      </w:pPr>
      <w:r w:rsidRPr="004F6DAA">
        <w:rPr>
          <w:noProof/>
        </w:rPr>
        <w:t>Rozdział 6</w:t>
      </w:r>
    </w:p>
    <w:p w14:paraId="5C5292B6" w14:textId="77777777" w:rsidR="00F6614D" w:rsidRPr="004F6DAA" w:rsidRDefault="00F6614D" w:rsidP="00F6614D">
      <w:pPr>
        <w:pStyle w:val="ChapterTitle"/>
        <w:rPr>
          <w:i/>
          <w:noProof/>
        </w:rPr>
      </w:pPr>
      <w:r w:rsidRPr="004F6DAA">
        <w:rPr>
          <w:noProof/>
        </w:rPr>
        <w:t>Uzasadnione zastrzeżenia</w:t>
      </w:r>
    </w:p>
    <w:p w14:paraId="66D337D1" w14:textId="77777777" w:rsidR="009A63D5" w:rsidRPr="004F6DAA" w:rsidRDefault="00F6614D" w:rsidP="009A63D5">
      <w:pPr>
        <w:pStyle w:val="Titrearticle"/>
        <w:rPr>
          <w:noProof/>
        </w:rPr>
      </w:pPr>
      <w:r w:rsidRPr="004F6DAA">
        <w:rPr>
          <w:noProof/>
        </w:rPr>
        <w:t>Artykuł 29</w:t>
      </w:r>
    </w:p>
    <w:p w14:paraId="501135C0" w14:textId="77777777" w:rsidR="00F6614D" w:rsidRPr="004F6DAA" w:rsidRDefault="00F6614D" w:rsidP="009A63D5">
      <w:pPr>
        <w:pStyle w:val="Sous-titreobjet"/>
        <w:rPr>
          <w:noProof/>
        </w:rPr>
      </w:pPr>
      <w:r w:rsidRPr="004F6DAA">
        <w:rPr>
          <w:noProof/>
        </w:rPr>
        <w:t>Uzasadnione zastrzeżenia osób fizycznych lub prawnych</w:t>
      </w:r>
    </w:p>
    <w:p w14:paraId="3F47E503" w14:textId="77777777" w:rsidR="00F6614D" w:rsidRPr="004F6DAA" w:rsidRDefault="007B7EB7" w:rsidP="007B7EB7">
      <w:pPr>
        <w:pStyle w:val="ManualNumPar1"/>
        <w:rPr>
          <w:noProof/>
        </w:rPr>
      </w:pPr>
      <w:r w:rsidRPr="007B7EB7">
        <w:t>1.</w:t>
      </w:r>
      <w:r w:rsidRPr="007B7EB7">
        <w:tab/>
      </w:r>
      <w:r w:rsidR="00F6614D" w:rsidRPr="004F6DAA">
        <w:rPr>
          <w:noProof/>
        </w:rPr>
        <w:t>Osoby fizyczne lub prawne są uprawnione do przedkładania właściwym organom uzasadnionych zastrzeżeń, jeżeli uznają, na podstawie obiektywnych okoliczności, że co najmniej jeden podmiot lub podmiot handlowy nie przestrzega przepisów niniejszego rozporządzenia.</w:t>
      </w:r>
    </w:p>
    <w:p w14:paraId="44296AE6" w14:textId="77777777" w:rsidR="00F6614D" w:rsidRPr="004F6DAA" w:rsidRDefault="007B7EB7" w:rsidP="007B7EB7">
      <w:pPr>
        <w:pStyle w:val="ManualNumPar1"/>
        <w:rPr>
          <w:noProof/>
        </w:rPr>
      </w:pPr>
      <w:r w:rsidRPr="007B7EB7">
        <w:t>2.</w:t>
      </w:r>
      <w:r w:rsidRPr="007B7EB7">
        <w:tab/>
      </w:r>
      <w:r w:rsidR="00F6614D" w:rsidRPr="004F6DAA">
        <w:rPr>
          <w:noProof/>
        </w:rPr>
        <w:t>Właściwe organy</w:t>
      </w:r>
      <w:r w:rsidR="00062BFA" w:rsidRPr="004F6DAA">
        <w:rPr>
          <w:noProof/>
        </w:rPr>
        <w:t xml:space="preserve"> z</w:t>
      </w:r>
      <w:r w:rsidR="00062BFA">
        <w:rPr>
          <w:noProof/>
        </w:rPr>
        <w:t> </w:t>
      </w:r>
      <w:r w:rsidR="00062BFA" w:rsidRPr="004F6DAA">
        <w:rPr>
          <w:noProof/>
        </w:rPr>
        <w:t>nal</w:t>
      </w:r>
      <w:r w:rsidR="00F6614D" w:rsidRPr="004F6DAA">
        <w:rPr>
          <w:noProof/>
        </w:rPr>
        <w:t>eżytą starannością</w:t>
      </w:r>
      <w:r w:rsidR="00062BFA" w:rsidRPr="004F6DAA">
        <w:rPr>
          <w:noProof/>
        </w:rPr>
        <w:t xml:space="preserve"> i</w:t>
      </w:r>
      <w:r w:rsidR="00062BFA">
        <w:rPr>
          <w:noProof/>
        </w:rPr>
        <w:t> </w:t>
      </w:r>
      <w:r w:rsidR="00062BFA" w:rsidRPr="004F6DAA">
        <w:rPr>
          <w:noProof/>
        </w:rPr>
        <w:t>bez</w:t>
      </w:r>
      <w:r w:rsidR="00F6614D" w:rsidRPr="004F6DAA">
        <w:rPr>
          <w:noProof/>
        </w:rPr>
        <w:t>stronnie oceniają uzasadnione zastrzeżenia</w:t>
      </w:r>
      <w:r w:rsidR="00062BFA" w:rsidRPr="004F6DAA">
        <w:rPr>
          <w:noProof/>
        </w:rPr>
        <w:t xml:space="preserve"> i</w:t>
      </w:r>
      <w:r w:rsidR="00062BFA">
        <w:rPr>
          <w:noProof/>
        </w:rPr>
        <w:t> </w:t>
      </w:r>
      <w:r w:rsidR="00062BFA" w:rsidRPr="004F6DAA">
        <w:rPr>
          <w:noProof/>
        </w:rPr>
        <w:t>pod</w:t>
      </w:r>
      <w:r w:rsidR="00F6614D" w:rsidRPr="004F6DAA">
        <w:rPr>
          <w:noProof/>
        </w:rPr>
        <w:t>ejmują niezbędne kroki,</w:t>
      </w:r>
      <w:r w:rsidR="00062BFA" w:rsidRPr="004F6DAA">
        <w:rPr>
          <w:noProof/>
        </w:rPr>
        <w:t xml:space="preserve"> w</w:t>
      </w:r>
      <w:r w:rsidR="00062BFA">
        <w:rPr>
          <w:noProof/>
        </w:rPr>
        <w:t> </w:t>
      </w:r>
      <w:r w:rsidR="00062BFA" w:rsidRPr="004F6DAA">
        <w:rPr>
          <w:noProof/>
        </w:rPr>
        <w:t>tym</w:t>
      </w:r>
      <w:r w:rsidR="00F6614D" w:rsidRPr="004F6DAA">
        <w:rPr>
          <w:noProof/>
        </w:rPr>
        <w:t xml:space="preserve"> kontrole</w:t>
      </w:r>
      <w:r w:rsidR="00062BFA" w:rsidRPr="004F6DAA">
        <w:rPr>
          <w:noProof/>
        </w:rPr>
        <w:t xml:space="preserve"> i</w:t>
      </w:r>
      <w:r w:rsidR="00062BFA">
        <w:rPr>
          <w:noProof/>
        </w:rPr>
        <w:t> </w:t>
      </w:r>
      <w:r w:rsidR="00062BFA" w:rsidRPr="004F6DAA">
        <w:rPr>
          <w:noProof/>
        </w:rPr>
        <w:t>prz</w:t>
      </w:r>
      <w:r w:rsidR="00F6614D" w:rsidRPr="004F6DAA">
        <w:rPr>
          <w:noProof/>
        </w:rPr>
        <w:t>esłuchania podmiotów</w:t>
      </w:r>
      <w:r w:rsidR="00062BFA" w:rsidRPr="004F6DAA">
        <w:rPr>
          <w:noProof/>
        </w:rPr>
        <w:t xml:space="preserve"> i</w:t>
      </w:r>
      <w:r w:rsidR="00062BFA">
        <w:rPr>
          <w:noProof/>
        </w:rPr>
        <w:t> </w:t>
      </w:r>
      <w:r w:rsidR="00062BFA" w:rsidRPr="004F6DAA">
        <w:rPr>
          <w:noProof/>
        </w:rPr>
        <w:t>pod</w:t>
      </w:r>
      <w:r w:rsidR="00F6614D" w:rsidRPr="004F6DAA">
        <w:rPr>
          <w:noProof/>
        </w:rPr>
        <w:t>miotów handlowych,</w:t>
      </w:r>
      <w:r w:rsidR="00062BFA" w:rsidRPr="004F6DAA">
        <w:rPr>
          <w:noProof/>
        </w:rPr>
        <w:t xml:space="preserve"> w</w:t>
      </w:r>
      <w:r w:rsidR="00062BFA">
        <w:rPr>
          <w:noProof/>
        </w:rPr>
        <w:t> </w:t>
      </w:r>
      <w:r w:rsidR="00062BFA" w:rsidRPr="004F6DAA">
        <w:rPr>
          <w:noProof/>
        </w:rPr>
        <w:t>cel</w:t>
      </w:r>
      <w:r w:rsidR="00F6614D" w:rsidRPr="004F6DAA">
        <w:rPr>
          <w:noProof/>
        </w:rPr>
        <w:t>u wykrycia potencjalnych naruszeń przepisów niniejszego rozporządzenia oraz,</w:t>
      </w:r>
      <w:r w:rsidR="00062BFA" w:rsidRPr="004F6DAA">
        <w:rPr>
          <w:noProof/>
        </w:rPr>
        <w:t xml:space="preserve"> w</w:t>
      </w:r>
      <w:r w:rsidR="00062BFA">
        <w:rPr>
          <w:noProof/>
        </w:rPr>
        <w:t> </w:t>
      </w:r>
      <w:r w:rsidR="00062BFA" w:rsidRPr="004F6DAA">
        <w:rPr>
          <w:noProof/>
        </w:rPr>
        <w:t>sto</w:t>
      </w:r>
      <w:r w:rsidR="00F6614D" w:rsidRPr="004F6DAA">
        <w:rPr>
          <w:noProof/>
        </w:rPr>
        <w:t xml:space="preserve">sownych przypadkach, wprowadzają środki tymczasowe na podstawie </w:t>
      </w:r>
      <w:r w:rsidR="00F6614D" w:rsidRPr="00062BFA">
        <w:rPr>
          <w:noProof/>
        </w:rPr>
        <w:t>art.</w:t>
      </w:r>
      <w:r w:rsidR="00062BFA" w:rsidRPr="00062BFA">
        <w:rPr>
          <w:noProof/>
        </w:rPr>
        <w:t> </w:t>
      </w:r>
      <w:r w:rsidR="00F6614D" w:rsidRPr="00062BFA">
        <w:rPr>
          <w:noProof/>
        </w:rPr>
        <w:t>2</w:t>
      </w:r>
      <w:r w:rsidR="00F6614D" w:rsidRPr="004F6DAA">
        <w:rPr>
          <w:noProof/>
        </w:rPr>
        <w:t>1, aby zapobiec wprowadzaniu do obrotu</w:t>
      </w:r>
      <w:r w:rsidR="00062BFA" w:rsidRPr="004F6DAA">
        <w:rPr>
          <w:noProof/>
        </w:rPr>
        <w:t xml:space="preserve"> i</w:t>
      </w:r>
      <w:r w:rsidR="00062BFA">
        <w:rPr>
          <w:noProof/>
        </w:rPr>
        <w:t> </w:t>
      </w:r>
      <w:r w:rsidR="00062BFA" w:rsidRPr="004F6DAA">
        <w:rPr>
          <w:noProof/>
        </w:rPr>
        <w:t>wyw</w:t>
      </w:r>
      <w:r w:rsidR="00F6614D" w:rsidRPr="004F6DAA">
        <w:rPr>
          <w:noProof/>
        </w:rPr>
        <w:t>ozowi</w:t>
      </w:r>
      <w:r w:rsidR="00062BFA" w:rsidRPr="004F6DAA">
        <w:rPr>
          <w:noProof/>
        </w:rPr>
        <w:t xml:space="preserve"> z</w:t>
      </w:r>
      <w:r w:rsidR="00062BFA">
        <w:rPr>
          <w:noProof/>
        </w:rPr>
        <w:t> </w:t>
      </w:r>
      <w:r w:rsidR="00062BFA" w:rsidRPr="004F6DAA">
        <w:rPr>
          <w:noProof/>
        </w:rPr>
        <w:t>ryn</w:t>
      </w:r>
      <w:r w:rsidR="00F6614D" w:rsidRPr="004F6DAA">
        <w:rPr>
          <w:noProof/>
        </w:rPr>
        <w:t>ku unijnego odnośnych towarów</w:t>
      </w:r>
      <w:r w:rsidR="00062BFA" w:rsidRPr="004F6DAA">
        <w:rPr>
          <w:noProof/>
        </w:rPr>
        <w:t xml:space="preserve"> i</w:t>
      </w:r>
      <w:r w:rsidR="00062BFA">
        <w:rPr>
          <w:noProof/>
        </w:rPr>
        <w:t> </w:t>
      </w:r>
      <w:r w:rsidR="00062BFA" w:rsidRPr="004F6DAA">
        <w:rPr>
          <w:noProof/>
        </w:rPr>
        <w:t>pro</w:t>
      </w:r>
      <w:r w:rsidR="00F6614D" w:rsidRPr="004F6DAA">
        <w:rPr>
          <w:noProof/>
        </w:rPr>
        <w:t>duktów objętych dochodzeniem.</w:t>
      </w:r>
    </w:p>
    <w:p w14:paraId="03F6C5FC" w14:textId="77777777" w:rsidR="00F6614D" w:rsidRPr="004F6DAA" w:rsidRDefault="007B7EB7" w:rsidP="007B7EB7">
      <w:pPr>
        <w:pStyle w:val="ManualNumPar1"/>
        <w:rPr>
          <w:noProof/>
        </w:rPr>
      </w:pPr>
      <w:r w:rsidRPr="007B7EB7">
        <w:t>3.</w:t>
      </w:r>
      <w:r w:rsidRPr="007B7EB7">
        <w:tab/>
      </w:r>
      <w:r w:rsidR="00F6614D" w:rsidRPr="004F6DAA">
        <w:rPr>
          <w:noProof/>
        </w:rPr>
        <w:t>Właściwe organy informują, jak najszybciej</w:t>
      </w:r>
      <w:r w:rsidR="00062BFA" w:rsidRPr="004F6DAA">
        <w:rPr>
          <w:noProof/>
        </w:rPr>
        <w:t xml:space="preserve"> i</w:t>
      </w:r>
      <w:r w:rsidR="00062BFA">
        <w:rPr>
          <w:noProof/>
        </w:rPr>
        <w:t> </w:t>
      </w:r>
      <w:r w:rsidR="00062BFA" w:rsidRPr="004F6DAA">
        <w:rPr>
          <w:noProof/>
        </w:rPr>
        <w:t>zgo</w:t>
      </w:r>
      <w:r w:rsidR="00F6614D" w:rsidRPr="004F6DAA">
        <w:rPr>
          <w:noProof/>
        </w:rPr>
        <w:t>dnie</w:t>
      </w:r>
      <w:r w:rsidR="00062BFA" w:rsidRPr="004F6DAA">
        <w:rPr>
          <w:noProof/>
        </w:rPr>
        <w:t xml:space="preserve"> z</w:t>
      </w:r>
      <w:r w:rsidR="00062BFA">
        <w:rPr>
          <w:noProof/>
        </w:rPr>
        <w:t> </w:t>
      </w:r>
      <w:r w:rsidR="00062BFA" w:rsidRPr="004F6DAA">
        <w:rPr>
          <w:noProof/>
        </w:rPr>
        <w:t>odp</w:t>
      </w:r>
      <w:r w:rsidR="00F6614D" w:rsidRPr="004F6DAA">
        <w:rPr>
          <w:noProof/>
        </w:rPr>
        <w:t>owiednimi przepisami prawa krajowego, osoby fizyczne lub prawne określone</w:t>
      </w:r>
      <w:r w:rsidR="00062BFA" w:rsidRPr="004F6DAA">
        <w:rPr>
          <w:noProof/>
        </w:rPr>
        <w:t xml:space="preserve"> w</w:t>
      </w:r>
      <w:r w:rsidR="00062BFA">
        <w:rPr>
          <w:noProof/>
        </w:rPr>
        <w:t> </w:t>
      </w:r>
      <w:r w:rsidR="00062BFA" w:rsidRPr="004F6DAA">
        <w:rPr>
          <w:noProof/>
        </w:rPr>
        <w:t>ust</w:t>
      </w:r>
      <w:r w:rsidR="00F6614D" w:rsidRPr="004F6DAA">
        <w:rPr>
          <w:noProof/>
        </w:rPr>
        <w:t>. 1, które im przedłożyły swoje uwagi,</w:t>
      </w:r>
      <w:r w:rsidR="00062BFA" w:rsidRPr="004F6DAA">
        <w:rPr>
          <w:noProof/>
        </w:rPr>
        <w:t xml:space="preserve"> o</w:t>
      </w:r>
      <w:r w:rsidR="00062BFA">
        <w:rPr>
          <w:noProof/>
        </w:rPr>
        <w:t> </w:t>
      </w:r>
      <w:r w:rsidR="00062BFA" w:rsidRPr="004F6DAA">
        <w:rPr>
          <w:noProof/>
        </w:rPr>
        <w:t>swo</w:t>
      </w:r>
      <w:r w:rsidR="00F6614D" w:rsidRPr="004F6DAA">
        <w:rPr>
          <w:noProof/>
        </w:rPr>
        <w:t>jej decyzji</w:t>
      </w:r>
      <w:r w:rsidR="00062BFA" w:rsidRPr="004F6DAA">
        <w:rPr>
          <w:noProof/>
        </w:rPr>
        <w:t xml:space="preserve"> o</w:t>
      </w:r>
      <w:r w:rsidR="00062BFA">
        <w:rPr>
          <w:noProof/>
        </w:rPr>
        <w:t> </w:t>
      </w:r>
      <w:r w:rsidR="00062BFA" w:rsidRPr="004F6DAA">
        <w:rPr>
          <w:noProof/>
        </w:rPr>
        <w:t>prz</w:t>
      </w:r>
      <w:r w:rsidR="00F6614D" w:rsidRPr="004F6DAA">
        <w:rPr>
          <w:noProof/>
        </w:rPr>
        <w:t>yjęciu lub odmowie żądania podjęcia działań wraz</w:t>
      </w:r>
      <w:r w:rsidR="00062BFA" w:rsidRPr="004F6DAA">
        <w:rPr>
          <w:noProof/>
        </w:rPr>
        <w:t xml:space="preserve"> z</w:t>
      </w:r>
      <w:r w:rsidR="00062BFA">
        <w:rPr>
          <w:noProof/>
        </w:rPr>
        <w:t> </w:t>
      </w:r>
      <w:r w:rsidR="00062BFA" w:rsidRPr="004F6DAA">
        <w:rPr>
          <w:noProof/>
        </w:rPr>
        <w:t>pod</w:t>
      </w:r>
      <w:r w:rsidR="00F6614D" w:rsidRPr="004F6DAA">
        <w:rPr>
          <w:noProof/>
        </w:rPr>
        <w:t>aniem przyczyn.</w:t>
      </w:r>
    </w:p>
    <w:p w14:paraId="2D161284" w14:textId="77777777" w:rsidR="009A63D5" w:rsidRPr="004F6DAA" w:rsidRDefault="00F6614D" w:rsidP="009A63D5">
      <w:pPr>
        <w:pStyle w:val="Titrearticle"/>
        <w:rPr>
          <w:noProof/>
        </w:rPr>
      </w:pPr>
      <w:r w:rsidRPr="004F6DAA">
        <w:rPr>
          <w:noProof/>
        </w:rPr>
        <w:t>Artykuł 30</w:t>
      </w:r>
    </w:p>
    <w:p w14:paraId="42D10DBF" w14:textId="77777777" w:rsidR="00F6614D" w:rsidRPr="004F6DAA" w:rsidRDefault="00F6614D" w:rsidP="009A63D5">
      <w:pPr>
        <w:pStyle w:val="Sous-titreobjet"/>
        <w:rPr>
          <w:noProof/>
        </w:rPr>
      </w:pPr>
      <w:r w:rsidRPr="004F6DAA">
        <w:rPr>
          <w:noProof/>
        </w:rPr>
        <w:t>Dostęp do wymiaru sprawiedliwości</w:t>
      </w:r>
    </w:p>
    <w:p w14:paraId="69093047" w14:textId="77777777" w:rsidR="00F6614D" w:rsidRPr="004F6DAA" w:rsidRDefault="007B7EB7" w:rsidP="007B7EB7">
      <w:pPr>
        <w:pStyle w:val="ManualNumPar1"/>
        <w:rPr>
          <w:noProof/>
        </w:rPr>
      </w:pPr>
      <w:r w:rsidRPr="007B7EB7">
        <w:t>1.</w:t>
      </w:r>
      <w:r w:rsidRPr="007B7EB7">
        <w:tab/>
      </w:r>
      <w:r w:rsidR="00F6614D" w:rsidRPr="004F6DAA">
        <w:rPr>
          <w:noProof/>
        </w:rPr>
        <w:t>Każda osoba fizyczna lub prawna mająca wystarczający interes,</w:t>
      </w:r>
      <w:r w:rsidR="00062BFA" w:rsidRPr="004F6DAA">
        <w:rPr>
          <w:noProof/>
        </w:rPr>
        <w:t xml:space="preserve"> w</w:t>
      </w:r>
      <w:r w:rsidR="00062BFA">
        <w:rPr>
          <w:noProof/>
        </w:rPr>
        <w:t> </w:t>
      </w:r>
      <w:r w:rsidR="00062BFA" w:rsidRPr="004F6DAA">
        <w:rPr>
          <w:noProof/>
        </w:rPr>
        <w:t>tym</w:t>
      </w:r>
      <w:r w:rsidR="00F6614D" w:rsidRPr="004F6DAA">
        <w:rPr>
          <w:noProof/>
        </w:rPr>
        <w:t xml:space="preserve"> osoby, które przedstawiły uzasadnione zastrzeżenia zgodnie</w:t>
      </w:r>
      <w:r w:rsidR="00062BFA" w:rsidRPr="004F6DAA">
        <w:rPr>
          <w:noProof/>
        </w:rPr>
        <w:t xml:space="preserve"> z</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2</w:t>
      </w:r>
      <w:r w:rsidR="00F6614D" w:rsidRPr="004F6DAA">
        <w:rPr>
          <w:noProof/>
        </w:rPr>
        <w:t>9,</w:t>
      </w:r>
      <w:r w:rsidR="00F6614D" w:rsidRPr="004F6DAA">
        <w:rPr>
          <w:b/>
          <w:bCs/>
          <w:noProof/>
        </w:rPr>
        <w:t xml:space="preserve"> </w:t>
      </w:r>
      <w:r w:rsidR="00F6614D" w:rsidRPr="004F6DAA">
        <w:rPr>
          <w:noProof/>
        </w:rPr>
        <w:t>ma dostęp do sądu lub innego niezależnego</w:t>
      </w:r>
      <w:r w:rsidR="00062BFA" w:rsidRPr="004F6DAA">
        <w:rPr>
          <w:noProof/>
        </w:rPr>
        <w:t xml:space="preserve"> i</w:t>
      </w:r>
      <w:r w:rsidR="00062BFA">
        <w:rPr>
          <w:noProof/>
        </w:rPr>
        <w:t> </w:t>
      </w:r>
      <w:r w:rsidR="00062BFA" w:rsidRPr="004F6DAA">
        <w:rPr>
          <w:noProof/>
        </w:rPr>
        <w:t>bez</w:t>
      </w:r>
      <w:r w:rsidR="00F6614D" w:rsidRPr="004F6DAA">
        <w:rPr>
          <w:noProof/>
        </w:rPr>
        <w:t>stronnego podmiotu publicznego właściwego do kontroli proceduralnej</w:t>
      </w:r>
      <w:r w:rsidR="00062BFA" w:rsidRPr="004F6DAA">
        <w:rPr>
          <w:noProof/>
        </w:rPr>
        <w:t xml:space="preserve"> i</w:t>
      </w:r>
      <w:r w:rsidR="00062BFA">
        <w:rPr>
          <w:noProof/>
        </w:rPr>
        <w:t> </w:t>
      </w:r>
      <w:r w:rsidR="00062BFA" w:rsidRPr="004F6DAA">
        <w:rPr>
          <w:noProof/>
        </w:rPr>
        <w:t>mer</w:t>
      </w:r>
      <w:r w:rsidR="00F6614D" w:rsidRPr="004F6DAA">
        <w:rPr>
          <w:noProof/>
        </w:rPr>
        <w:t>ytorycznej legalności decyzji, działań lub zaniechania działań przez właściwy organ na podstawie niniejszego rozporządzenia.</w:t>
      </w:r>
    </w:p>
    <w:p w14:paraId="208DF01B" w14:textId="77777777" w:rsidR="00F6614D" w:rsidRPr="004F6DAA" w:rsidRDefault="007B7EB7" w:rsidP="007B7EB7">
      <w:pPr>
        <w:pStyle w:val="ManualNumPar1"/>
        <w:rPr>
          <w:noProof/>
        </w:rPr>
      </w:pPr>
      <w:r w:rsidRPr="007B7EB7">
        <w:t>2.</w:t>
      </w:r>
      <w:r w:rsidRPr="007B7EB7">
        <w:tab/>
      </w:r>
      <w:r w:rsidR="00F6614D" w:rsidRPr="004F6DAA">
        <w:rPr>
          <w:noProof/>
        </w:rPr>
        <w:t>Niniejsze rozporządzenie nie narusza żadnych przepisów prawa krajowego, które wymagają wyczerpania administracyjnych procedur odwoławczych przed wszczęciem postępowania sądowego.</w:t>
      </w:r>
    </w:p>
    <w:p w14:paraId="00410D43" w14:textId="77777777" w:rsidR="00F6614D" w:rsidRPr="004F6DAA" w:rsidRDefault="00F6614D" w:rsidP="00F6614D">
      <w:pPr>
        <w:spacing w:before="0" w:after="200" w:line="276" w:lineRule="auto"/>
        <w:jc w:val="left"/>
        <w:rPr>
          <w:bCs/>
          <w:noProof/>
          <w:szCs w:val="24"/>
        </w:rPr>
      </w:pPr>
    </w:p>
    <w:p w14:paraId="5AA66176" w14:textId="77777777" w:rsidR="00201A50" w:rsidRPr="004F6DAA" w:rsidRDefault="00F6614D" w:rsidP="00F6614D">
      <w:pPr>
        <w:pStyle w:val="ChapterTitle"/>
        <w:rPr>
          <w:noProof/>
        </w:rPr>
      </w:pPr>
      <w:r w:rsidRPr="004F6DAA">
        <w:rPr>
          <w:noProof/>
        </w:rPr>
        <w:t>Rozdział 7</w:t>
      </w:r>
    </w:p>
    <w:p w14:paraId="3BF5C675" w14:textId="77777777" w:rsidR="00F6614D" w:rsidRPr="004F6DAA" w:rsidRDefault="00F6614D" w:rsidP="00F6614D">
      <w:pPr>
        <w:pStyle w:val="ChapterTitle"/>
        <w:rPr>
          <w:i/>
          <w:noProof/>
        </w:rPr>
      </w:pPr>
      <w:r w:rsidRPr="004F6DAA">
        <w:rPr>
          <w:noProof/>
        </w:rPr>
        <w:t>System informacyjny</w:t>
      </w:r>
    </w:p>
    <w:p w14:paraId="5ECB4F84" w14:textId="77777777" w:rsidR="009A63D5" w:rsidRPr="004F6DAA" w:rsidRDefault="00F6614D" w:rsidP="00FF7525">
      <w:pPr>
        <w:pStyle w:val="Titrearticle"/>
        <w:rPr>
          <w:noProof/>
        </w:rPr>
      </w:pPr>
      <w:r w:rsidRPr="004F6DAA">
        <w:rPr>
          <w:noProof/>
        </w:rPr>
        <w:t>Artykuł 31</w:t>
      </w:r>
    </w:p>
    <w:p w14:paraId="38B67310" w14:textId="77777777" w:rsidR="00F6614D" w:rsidRPr="004F6DAA" w:rsidRDefault="00F6614D" w:rsidP="009A63D5">
      <w:pPr>
        <w:pStyle w:val="Sous-titreobjet"/>
        <w:rPr>
          <w:noProof/>
        </w:rPr>
      </w:pPr>
      <w:r w:rsidRPr="004F6DAA">
        <w:rPr>
          <w:noProof/>
        </w:rPr>
        <w:t xml:space="preserve">„Rejestr” – system informacyjny </w:t>
      </w:r>
    </w:p>
    <w:p w14:paraId="4A690D2C" w14:textId="77777777" w:rsidR="00F6614D" w:rsidRPr="004F6DAA" w:rsidRDefault="007B7EB7" w:rsidP="007B7EB7">
      <w:pPr>
        <w:pStyle w:val="ManualNumPar1"/>
        <w:rPr>
          <w:noProof/>
        </w:rPr>
      </w:pPr>
      <w:r w:rsidRPr="007B7EB7">
        <w:t>1.</w:t>
      </w:r>
      <w:r w:rsidRPr="007B7EB7">
        <w:tab/>
      </w:r>
      <w:r w:rsidR="00F6614D" w:rsidRPr="004F6DAA">
        <w:rPr>
          <w:noProof/>
        </w:rPr>
        <w:t>Komisja ustanawia</w:t>
      </w:r>
      <w:r w:rsidR="00062BFA" w:rsidRPr="004F6DAA">
        <w:rPr>
          <w:noProof/>
        </w:rPr>
        <w:t xml:space="preserve"> i</w:t>
      </w:r>
      <w:r w:rsidR="00062BFA">
        <w:rPr>
          <w:noProof/>
        </w:rPr>
        <w:t> </w:t>
      </w:r>
      <w:r w:rsidR="00062BFA" w:rsidRPr="004F6DAA">
        <w:rPr>
          <w:noProof/>
        </w:rPr>
        <w:t>utr</w:t>
      </w:r>
      <w:r w:rsidR="00F6614D" w:rsidRPr="004F6DAA">
        <w:rPr>
          <w:noProof/>
        </w:rPr>
        <w:t>zymuje,</w:t>
      </w:r>
      <w:r w:rsidR="00062BFA" w:rsidRPr="004F6DAA">
        <w:rPr>
          <w:noProof/>
        </w:rPr>
        <w:t xml:space="preserve"> w</w:t>
      </w:r>
      <w:r w:rsidR="00062BFA">
        <w:rPr>
          <w:noProof/>
        </w:rPr>
        <w:t> </w:t>
      </w:r>
      <w:r w:rsidR="00062BFA" w:rsidRPr="004F6DAA">
        <w:rPr>
          <w:noProof/>
        </w:rPr>
        <w:t>ter</w:t>
      </w:r>
      <w:r w:rsidR="00F6614D" w:rsidRPr="004F6DAA">
        <w:rPr>
          <w:noProof/>
        </w:rPr>
        <w:t>minie określonym</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3</w:t>
      </w:r>
      <w:r w:rsidR="00F6614D" w:rsidRPr="004F6DAA">
        <w:rPr>
          <w:noProof/>
        </w:rPr>
        <w:t xml:space="preserve">6 </w:t>
      </w:r>
      <w:r w:rsidR="00F6614D" w:rsidRPr="00062BFA">
        <w:rPr>
          <w:noProof/>
        </w:rPr>
        <w:t>ust.</w:t>
      </w:r>
      <w:r w:rsidR="00062BFA" w:rsidRPr="00062BFA">
        <w:rPr>
          <w:noProof/>
        </w:rPr>
        <w:t> </w:t>
      </w:r>
      <w:r w:rsidR="00F6614D" w:rsidRPr="00062BFA">
        <w:rPr>
          <w:noProof/>
        </w:rPr>
        <w:t>2</w:t>
      </w:r>
      <w:r w:rsidR="00F6614D" w:rsidRPr="004F6DAA">
        <w:rPr>
          <w:noProof/>
        </w:rPr>
        <w:t>, system informacyjny („Rejestr”), który zawiera oświadczenia</w:t>
      </w:r>
      <w:r w:rsidR="00062BFA" w:rsidRPr="004F6DAA">
        <w:rPr>
          <w:noProof/>
        </w:rPr>
        <w:t xml:space="preserve"> o</w:t>
      </w:r>
      <w:r w:rsidR="00062BFA">
        <w:rPr>
          <w:noProof/>
        </w:rPr>
        <w:t> </w:t>
      </w:r>
      <w:r w:rsidR="00062BFA" w:rsidRPr="004F6DAA">
        <w:rPr>
          <w:noProof/>
        </w:rPr>
        <w:t>zac</w:t>
      </w:r>
      <w:r w:rsidR="00F6614D" w:rsidRPr="004F6DAA">
        <w:rPr>
          <w:noProof/>
        </w:rPr>
        <w:t>howaniu należytej staranności udostępniane zgodnie</w:t>
      </w:r>
      <w:r w:rsidR="00062BFA" w:rsidRPr="004F6DAA">
        <w:rPr>
          <w:noProof/>
        </w:rPr>
        <w:t xml:space="preserve"> z</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4</w:t>
      </w:r>
      <w:r w:rsidR="00F6614D" w:rsidRPr="004F6DAA">
        <w:rPr>
          <w:noProof/>
        </w:rPr>
        <w:t xml:space="preserve"> </w:t>
      </w:r>
      <w:r w:rsidR="00F6614D" w:rsidRPr="00062BFA">
        <w:rPr>
          <w:noProof/>
        </w:rPr>
        <w:t>ust.</w:t>
      </w:r>
      <w:r w:rsidR="00062BFA" w:rsidRPr="00062BFA">
        <w:rPr>
          <w:noProof/>
        </w:rPr>
        <w:t> </w:t>
      </w:r>
      <w:r w:rsidR="00F6614D" w:rsidRPr="00062BFA">
        <w:rPr>
          <w:noProof/>
        </w:rPr>
        <w:t>2</w:t>
      </w:r>
      <w:r w:rsidR="00F6614D" w:rsidRPr="004F6DAA">
        <w:rPr>
          <w:noProof/>
        </w:rPr>
        <w:t>.</w:t>
      </w:r>
    </w:p>
    <w:p w14:paraId="3B2B1B17" w14:textId="77777777" w:rsidR="00F6614D" w:rsidRPr="004F6DAA" w:rsidRDefault="007B7EB7" w:rsidP="007B7EB7">
      <w:pPr>
        <w:pStyle w:val="ManualNumPar1"/>
        <w:rPr>
          <w:noProof/>
        </w:rPr>
      </w:pPr>
      <w:r w:rsidRPr="007B7EB7">
        <w:t>2.</w:t>
      </w:r>
      <w:r w:rsidRPr="007B7EB7">
        <w:tab/>
      </w:r>
      <w:r w:rsidR="00F6614D" w:rsidRPr="004F6DAA">
        <w:rPr>
          <w:noProof/>
        </w:rPr>
        <w:t>System informacyjny zapewnia co najmniej następujące funkcje:</w:t>
      </w:r>
    </w:p>
    <w:p w14:paraId="7FBB0D7B" w14:textId="77777777" w:rsidR="00F6614D" w:rsidRPr="004F6DAA" w:rsidRDefault="00062BFA" w:rsidP="00062BFA">
      <w:pPr>
        <w:pStyle w:val="Point1"/>
        <w:rPr>
          <w:noProof/>
        </w:rPr>
      </w:pPr>
      <w:r w:rsidRPr="00062BFA">
        <w:rPr>
          <w:noProof/>
        </w:rPr>
        <w:t>a)</w:t>
      </w:r>
      <w:r w:rsidRPr="00062BFA">
        <w:rPr>
          <w:noProof/>
        </w:rPr>
        <w:tab/>
      </w:r>
      <w:r w:rsidR="00F6614D" w:rsidRPr="004F6DAA">
        <w:rPr>
          <w:noProof/>
        </w:rPr>
        <w:tab/>
        <w:t>rejestrację podmiotów</w:t>
      </w:r>
      <w:r w:rsidRPr="004F6DAA">
        <w:rPr>
          <w:noProof/>
        </w:rPr>
        <w:t xml:space="preserve"> i</w:t>
      </w:r>
      <w:r>
        <w:rPr>
          <w:noProof/>
        </w:rPr>
        <w:t> </w:t>
      </w:r>
      <w:r w:rsidRPr="004F6DAA">
        <w:rPr>
          <w:noProof/>
        </w:rPr>
        <w:t>pod</w:t>
      </w:r>
      <w:r w:rsidR="00F6614D" w:rsidRPr="004F6DAA">
        <w:rPr>
          <w:noProof/>
        </w:rPr>
        <w:t>miotów handlowych oraz ich upoważnionych przedstawicieli w UE;</w:t>
      </w:r>
      <w:r w:rsidRPr="004F6DAA">
        <w:rPr>
          <w:noProof/>
        </w:rPr>
        <w:t xml:space="preserve"> w</w:t>
      </w:r>
      <w:r>
        <w:rPr>
          <w:noProof/>
        </w:rPr>
        <w:t> </w:t>
      </w:r>
      <w:r w:rsidRPr="004F6DAA">
        <w:rPr>
          <w:noProof/>
        </w:rPr>
        <w:t>prz</w:t>
      </w:r>
      <w:r w:rsidR="00F6614D" w:rsidRPr="004F6DAA">
        <w:rPr>
          <w:noProof/>
        </w:rPr>
        <w:t>ypadku podmiotów obejmujących odnośne towary</w:t>
      </w:r>
      <w:r w:rsidRPr="004F6DAA">
        <w:rPr>
          <w:noProof/>
        </w:rPr>
        <w:t xml:space="preserve"> i</w:t>
      </w:r>
      <w:r>
        <w:rPr>
          <w:noProof/>
        </w:rPr>
        <w:t> </w:t>
      </w:r>
      <w:r w:rsidRPr="004F6DAA">
        <w:rPr>
          <w:noProof/>
        </w:rPr>
        <w:t>pro</w:t>
      </w:r>
      <w:r w:rsidR="00F6614D" w:rsidRPr="004F6DAA">
        <w:rPr>
          <w:noProof/>
        </w:rPr>
        <w:t>dukty procedurą celną „dopuszczenia do obrotu” lub „wywozu”, numer rejestracyjny</w:t>
      </w:r>
      <w:r w:rsidRPr="004F6DAA">
        <w:rPr>
          <w:noProof/>
        </w:rPr>
        <w:t xml:space="preserve"> i</w:t>
      </w:r>
      <w:r>
        <w:rPr>
          <w:noProof/>
        </w:rPr>
        <w:t> </w:t>
      </w:r>
      <w:r w:rsidRPr="004F6DAA">
        <w:rPr>
          <w:noProof/>
        </w:rPr>
        <w:t>ide</w:t>
      </w:r>
      <w:r w:rsidR="00F6614D" w:rsidRPr="004F6DAA">
        <w:rPr>
          <w:noProof/>
        </w:rPr>
        <w:t xml:space="preserve">ntyfikacyjny przedsiębiorcy (numer EORI), ustanowiony na podstawie </w:t>
      </w:r>
      <w:r w:rsidR="00F6614D" w:rsidRPr="00062BFA">
        <w:rPr>
          <w:noProof/>
        </w:rPr>
        <w:t>art.</w:t>
      </w:r>
      <w:r w:rsidRPr="00062BFA">
        <w:rPr>
          <w:noProof/>
        </w:rPr>
        <w:t> </w:t>
      </w:r>
      <w:r w:rsidR="00F6614D" w:rsidRPr="00062BFA">
        <w:rPr>
          <w:noProof/>
        </w:rPr>
        <w:t>9</w:t>
      </w:r>
      <w:r w:rsidR="00F6614D" w:rsidRPr="004F6DAA">
        <w:rPr>
          <w:noProof/>
        </w:rPr>
        <w:t xml:space="preserve"> rozporządzenia (UE) </w:t>
      </w:r>
      <w:r w:rsidR="00F6614D" w:rsidRPr="00062BFA">
        <w:rPr>
          <w:noProof/>
        </w:rPr>
        <w:t>nr</w:t>
      </w:r>
      <w:r w:rsidRPr="00062BFA">
        <w:rPr>
          <w:noProof/>
        </w:rPr>
        <w:t> </w:t>
      </w:r>
      <w:r w:rsidR="00F6614D" w:rsidRPr="00062BFA">
        <w:rPr>
          <w:noProof/>
        </w:rPr>
        <w:t>9</w:t>
      </w:r>
      <w:r w:rsidR="00F6614D" w:rsidRPr="004F6DAA">
        <w:rPr>
          <w:noProof/>
        </w:rPr>
        <w:t>52/2013, umieszcza się</w:t>
      </w:r>
      <w:r w:rsidRPr="004F6DAA">
        <w:rPr>
          <w:noProof/>
        </w:rPr>
        <w:t xml:space="preserve"> w</w:t>
      </w:r>
      <w:r>
        <w:rPr>
          <w:noProof/>
        </w:rPr>
        <w:t> </w:t>
      </w:r>
      <w:r w:rsidRPr="004F6DAA">
        <w:rPr>
          <w:noProof/>
        </w:rPr>
        <w:t>ich</w:t>
      </w:r>
      <w:r w:rsidR="00F6614D" w:rsidRPr="004F6DAA">
        <w:rPr>
          <w:noProof/>
        </w:rPr>
        <w:t xml:space="preserve"> profilu rejestrowym;</w:t>
      </w:r>
    </w:p>
    <w:p w14:paraId="46011681" w14:textId="77777777" w:rsidR="00F6614D" w:rsidRPr="004F6DAA" w:rsidRDefault="00062BFA" w:rsidP="00062BFA">
      <w:pPr>
        <w:pStyle w:val="Point1"/>
        <w:rPr>
          <w:noProof/>
        </w:rPr>
      </w:pPr>
      <w:r w:rsidRPr="00062BFA">
        <w:rPr>
          <w:noProof/>
        </w:rPr>
        <w:t>b)</w:t>
      </w:r>
      <w:r w:rsidRPr="00062BFA">
        <w:rPr>
          <w:noProof/>
        </w:rPr>
        <w:tab/>
      </w:r>
      <w:r w:rsidR="00F6614D" w:rsidRPr="004F6DAA">
        <w:rPr>
          <w:noProof/>
        </w:rPr>
        <w:tab/>
        <w:t>rejestrację oświadczeń</w:t>
      </w:r>
      <w:r w:rsidRPr="004F6DAA">
        <w:rPr>
          <w:noProof/>
        </w:rPr>
        <w:t xml:space="preserve"> o</w:t>
      </w:r>
      <w:r>
        <w:rPr>
          <w:noProof/>
        </w:rPr>
        <w:t> </w:t>
      </w:r>
      <w:r w:rsidRPr="004F6DAA">
        <w:rPr>
          <w:noProof/>
        </w:rPr>
        <w:t>zac</w:t>
      </w:r>
      <w:r w:rsidR="00F6614D" w:rsidRPr="004F6DAA">
        <w:rPr>
          <w:noProof/>
        </w:rPr>
        <w:t>howaniu należytej staranności,</w:t>
      </w:r>
      <w:r w:rsidRPr="004F6DAA">
        <w:rPr>
          <w:noProof/>
        </w:rPr>
        <w:t xml:space="preserve"> w</w:t>
      </w:r>
      <w:r>
        <w:rPr>
          <w:noProof/>
        </w:rPr>
        <w:t> </w:t>
      </w:r>
      <w:r w:rsidRPr="004F6DAA">
        <w:rPr>
          <w:noProof/>
        </w:rPr>
        <w:t>tym</w:t>
      </w:r>
      <w:r w:rsidR="00F6614D" w:rsidRPr="004F6DAA">
        <w:rPr>
          <w:noProof/>
        </w:rPr>
        <w:t xml:space="preserve"> przekazanie danemu podmiotowi lub podmiotowi handlowemu numeru referencyjnego dla każdego oświadczenia</w:t>
      </w:r>
      <w:r w:rsidRPr="004F6DAA">
        <w:rPr>
          <w:noProof/>
        </w:rPr>
        <w:t xml:space="preserve"> o</w:t>
      </w:r>
      <w:r>
        <w:rPr>
          <w:noProof/>
        </w:rPr>
        <w:t> </w:t>
      </w:r>
      <w:r w:rsidRPr="004F6DAA">
        <w:rPr>
          <w:noProof/>
        </w:rPr>
        <w:t>zac</w:t>
      </w:r>
      <w:r w:rsidR="00F6614D" w:rsidRPr="004F6DAA">
        <w:rPr>
          <w:noProof/>
        </w:rPr>
        <w:t>howaniu należytej staranności;</w:t>
      </w:r>
    </w:p>
    <w:p w14:paraId="32C91F37" w14:textId="77777777" w:rsidR="00F6614D" w:rsidRPr="004F6DAA" w:rsidRDefault="00062BFA" w:rsidP="00062BFA">
      <w:pPr>
        <w:pStyle w:val="Point1"/>
        <w:rPr>
          <w:noProof/>
        </w:rPr>
      </w:pPr>
      <w:r w:rsidRPr="00062BFA">
        <w:rPr>
          <w:noProof/>
        </w:rPr>
        <w:t>c)</w:t>
      </w:r>
      <w:r w:rsidRPr="00062BFA">
        <w:rPr>
          <w:noProof/>
        </w:rPr>
        <w:tab/>
      </w:r>
      <w:r w:rsidR="00F6614D" w:rsidRPr="004F6DAA">
        <w:rPr>
          <w:noProof/>
        </w:rPr>
        <w:tab/>
        <w:t>rejestrację wyników kontroli oświadczeń</w:t>
      </w:r>
      <w:r w:rsidRPr="004F6DAA">
        <w:rPr>
          <w:noProof/>
        </w:rPr>
        <w:t xml:space="preserve"> o</w:t>
      </w:r>
      <w:r>
        <w:rPr>
          <w:noProof/>
        </w:rPr>
        <w:t> </w:t>
      </w:r>
      <w:r w:rsidRPr="004F6DAA">
        <w:rPr>
          <w:noProof/>
        </w:rPr>
        <w:t>zac</w:t>
      </w:r>
      <w:r w:rsidR="00F6614D" w:rsidRPr="004F6DAA">
        <w:rPr>
          <w:noProof/>
        </w:rPr>
        <w:t>howaniu należytej staranności;</w:t>
      </w:r>
    </w:p>
    <w:p w14:paraId="68BF5E57" w14:textId="77777777" w:rsidR="00F6614D" w:rsidRPr="004F6DAA" w:rsidRDefault="00062BFA" w:rsidP="00062BFA">
      <w:pPr>
        <w:pStyle w:val="Point1"/>
        <w:rPr>
          <w:noProof/>
        </w:rPr>
      </w:pPr>
      <w:r w:rsidRPr="00062BFA">
        <w:rPr>
          <w:noProof/>
        </w:rPr>
        <w:t>d)</w:t>
      </w:r>
      <w:r w:rsidRPr="00062BFA">
        <w:rPr>
          <w:noProof/>
        </w:rPr>
        <w:tab/>
      </w:r>
      <w:r w:rsidR="00F6614D" w:rsidRPr="004F6DAA">
        <w:rPr>
          <w:noProof/>
        </w:rPr>
        <w:tab/>
        <w:t>połączenie</w:t>
      </w:r>
      <w:r w:rsidRPr="004F6DAA">
        <w:rPr>
          <w:noProof/>
        </w:rPr>
        <w:t xml:space="preserve"> z</w:t>
      </w:r>
      <w:r>
        <w:rPr>
          <w:noProof/>
        </w:rPr>
        <w:t> </w:t>
      </w:r>
      <w:r w:rsidRPr="004F6DAA">
        <w:rPr>
          <w:noProof/>
        </w:rPr>
        <w:t>org</w:t>
      </w:r>
      <w:r w:rsidR="00F6614D" w:rsidRPr="004F6DAA">
        <w:rPr>
          <w:noProof/>
        </w:rPr>
        <w:t>anami celnymi za pośrednictwem unijnego środowiska jednego okienka</w:t>
      </w:r>
      <w:r w:rsidRPr="004F6DAA">
        <w:rPr>
          <w:noProof/>
        </w:rPr>
        <w:t xml:space="preserve"> w</w:t>
      </w:r>
      <w:r>
        <w:rPr>
          <w:noProof/>
        </w:rPr>
        <w:t> </w:t>
      </w:r>
      <w:r w:rsidRPr="004F6DAA">
        <w:rPr>
          <w:noProof/>
        </w:rPr>
        <w:t>dzi</w:t>
      </w:r>
      <w:r w:rsidR="00F6614D" w:rsidRPr="004F6DAA">
        <w:rPr>
          <w:noProof/>
        </w:rPr>
        <w:t>edzinie ceł*</w:t>
      </w:r>
      <w:hyperlink r:id="rId19" w:history="1">
        <w:r w:rsidR="00F6614D" w:rsidRPr="004F6DAA">
          <w:rPr>
            <w:noProof/>
            <w:color w:val="FF0000"/>
          </w:rPr>
          <w:t>[po przyjęciu rozporządzenia można stosować bezpośrednie odniesienie do niego</w:t>
        </w:r>
      </w:hyperlink>
      <w:r w:rsidR="00F6614D" w:rsidRPr="004F6DAA">
        <w:rPr>
          <w:noProof/>
          <w:color w:val="FF0000"/>
        </w:rPr>
        <w:t>]</w:t>
      </w:r>
      <w:r w:rsidR="00F6614D" w:rsidRPr="004F6DAA">
        <w:rPr>
          <w:noProof/>
        </w:rPr>
        <w:t>, zgodnie</w:t>
      </w:r>
      <w:r w:rsidRPr="004F6DAA">
        <w:rPr>
          <w:noProof/>
        </w:rPr>
        <w:t xml:space="preserve"> z</w:t>
      </w:r>
      <w:r>
        <w:rPr>
          <w:noProof/>
        </w:rPr>
        <w:t> </w:t>
      </w:r>
      <w:r w:rsidRPr="00062BFA">
        <w:rPr>
          <w:noProof/>
        </w:rPr>
        <w:t>art</w:t>
      </w:r>
      <w:r w:rsidR="00F6614D" w:rsidRPr="00062BFA">
        <w:rPr>
          <w:noProof/>
        </w:rPr>
        <w:t>.</w:t>
      </w:r>
      <w:r w:rsidRPr="00062BFA">
        <w:rPr>
          <w:noProof/>
        </w:rPr>
        <w:t> </w:t>
      </w:r>
      <w:r w:rsidR="00F6614D" w:rsidRPr="00062BFA">
        <w:rPr>
          <w:noProof/>
        </w:rPr>
        <w:t>2</w:t>
      </w:r>
      <w:r w:rsidR="00F6614D" w:rsidRPr="004F6DAA">
        <w:rPr>
          <w:noProof/>
        </w:rPr>
        <w:t>6, m.in.</w:t>
      </w:r>
      <w:r w:rsidRPr="004F6DAA">
        <w:rPr>
          <w:noProof/>
        </w:rPr>
        <w:t xml:space="preserve"> w</w:t>
      </w:r>
      <w:r>
        <w:rPr>
          <w:noProof/>
        </w:rPr>
        <w:t> </w:t>
      </w:r>
      <w:r w:rsidRPr="004F6DAA">
        <w:rPr>
          <w:noProof/>
        </w:rPr>
        <w:t>cel</w:t>
      </w:r>
      <w:r w:rsidR="00F6614D" w:rsidRPr="004F6DAA">
        <w:rPr>
          <w:noProof/>
        </w:rPr>
        <w:t>u umożliwienia dokonywania powiadomień</w:t>
      </w:r>
      <w:r w:rsidRPr="004F6DAA">
        <w:rPr>
          <w:noProof/>
        </w:rPr>
        <w:t xml:space="preserve"> i</w:t>
      </w:r>
      <w:r>
        <w:rPr>
          <w:noProof/>
        </w:rPr>
        <w:t> </w:t>
      </w:r>
      <w:r w:rsidRPr="004F6DAA">
        <w:rPr>
          <w:noProof/>
        </w:rPr>
        <w:t>skł</w:t>
      </w:r>
      <w:r w:rsidR="00F6614D" w:rsidRPr="004F6DAA">
        <w:rPr>
          <w:noProof/>
        </w:rPr>
        <w:t xml:space="preserve">adania wniosków na podstawie </w:t>
      </w:r>
      <w:r w:rsidR="00F6614D" w:rsidRPr="00062BFA">
        <w:rPr>
          <w:noProof/>
        </w:rPr>
        <w:t>art.</w:t>
      </w:r>
      <w:r w:rsidRPr="00062BFA">
        <w:rPr>
          <w:noProof/>
        </w:rPr>
        <w:t> </w:t>
      </w:r>
      <w:r w:rsidR="00F6614D" w:rsidRPr="00062BFA">
        <w:rPr>
          <w:noProof/>
        </w:rPr>
        <w:t>2</w:t>
      </w:r>
      <w:r w:rsidR="00F6614D" w:rsidRPr="004F6DAA">
        <w:rPr>
          <w:noProof/>
        </w:rPr>
        <w:t xml:space="preserve">4 </w:t>
      </w:r>
      <w:r w:rsidR="00F6614D" w:rsidRPr="00062BFA">
        <w:rPr>
          <w:noProof/>
        </w:rPr>
        <w:t>ust.</w:t>
      </w:r>
      <w:r w:rsidRPr="00062BFA">
        <w:rPr>
          <w:noProof/>
        </w:rPr>
        <w:t> </w:t>
      </w:r>
      <w:r w:rsidR="00F6614D" w:rsidRPr="00062BFA">
        <w:rPr>
          <w:noProof/>
        </w:rPr>
        <w:t>5</w:t>
      </w:r>
      <w:r w:rsidR="00F6614D" w:rsidRPr="004F6DAA">
        <w:rPr>
          <w:noProof/>
        </w:rPr>
        <w:t>–8;</w:t>
      </w:r>
    </w:p>
    <w:p w14:paraId="109315E3" w14:textId="77777777" w:rsidR="00F6614D" w:rsidRPr="004F6DAA" w:rsidRDefault="00062BFA" w:rsidP="00062BFA">
      <w:pPr>
        <w:pStyle w:val="Point1"/>
        <w:rPr>
          <w:noProof/>
        </w:rPr>
      </w:pPr>
      <w:r w:rsidRPr="00062BFA">
        <w:rPr>
          <w:noProof/>
        </w:rPr>
        <w:t>e)</w:t>
      </w:r>
      <w:r w:rsidRPr="00062BFA">
        <w:rPr>
          <w:noProof/>
        </w:rPr>
        <w:tab/>
      </w:r>
      <w:r w:rsidR="00F6614D" w:rsidRPr="004F6DAA">
        <w:rPr>
          <w:noProof/>
        </w:rPr>
        <w:tab/>
        <w:t>umożliwienie tworzenia profili ryzyka podmiotów, podmiotów handlowych oraz odnośnych towarów</w:t>
      </w:r>
      <w:r w:rsidRPr="004F6DAA">
        <w:rPr>
          <w:noProof/>
        </w:rPr>
        <w:t xml:space="preserve"> i</w:t>
      </w:r>
      <w:r>
        <w:rPr>
          <w:noProof/>
        </w:rPr>
        <w:t> </w:t>
      </w:r>
      <w:r w:rsidRPr="004F6DAA">
        <w:rPr>
          <w:noProof/>
        </w:rPr>
        <w:t>pro</w:t>
      </w:r>
      <w:r w:rsidR="00F6614D" w:rsidRPr="004F6DAA">
        <w:rPr>
          <w:noProof/>
        </w:rPr>
        <w:t>duktów</w:t>
      </w:r>
      <w:r w:rsidRPr="004F6DAA">
        <w:rPr>
          <w:noProof/>
        </w:rPr>
        <w:t xml:space="preserve"> w</w:t>
      </w:r>
      <w:r>
        <w:rPr>
          <w:noProof/>
        </w:rPr>
        <w:t> </w:t>
      </w:r>
      <w:r w:rsidRPr="004F6DAA">
        <w:rPr>
          <w:noProof/>
        </w:rPr>
        <w:t>cel</w:t>
      </w:r>
      <w:r w:rsidR="00F6614D" w:rsidRPr="004F6DAA">
        <w:rPr>
          <w:noProof/>
        </w:rPr>
        <w:t>u zidentyfikowania przesyłek wysokiego ryzyka zgodnie</w:t>
      </w:r>
      <w:r w:rsidRPr="004F6DAA">
        <w:rPr>
          <w:noProof/>
        </w:rPr>
        <w:t xml:space="preserve"> z</w:t>
      </w:r>
      <w:r>
        <w:rPr>
          <w:noProof/>
        </w:rPr>
        <w:t> </w:t>
      </w:r>
      <w:r w:rsidRPr="004F6DAA">
        <w:rPr>
          <w:noProof/>
        </w:rPr>
        <w:t>ana</w:t>
      </w:r>
      <w:r w:rsidR="00F6614D" w:rsidRPr="004F6DAA">
        <w:rPr>
          <w:noProof/>
        </w:rPr>
        <w:t>lizą ryzyka,</w:t>
      </w:r>
      <w:r w:rsidRPr="004F6DAA">
        <w:rPr>
          <w:noProof/>
        </w:rPr>
        <w:t xml:space="preserve"> o</w:t>
      </w:r>
      <w:r>
        <w:rPr>
          <w:noProof/>
        </w:rPr>
        <w:t> </w:t>
      </w:r>
      <w:r w:rsidRPr="004F6DAA">
        <w:rPr>
          <w:noProof/>
        </w:rPr>
        <w:t>któ</w:t>
      </w:r>
      <w:r w:rsidR="00F6614D" w:rsidRPr="004F6DAA">
        <w:rPr>
          <w:noProof/>
        </w:rPr>
        <w:t>rej mowa</w:t>
      </w:r>
      <w:r w:rsidRPr="004F6DAA">
        <w:rPr>
          <w:noProof/>
        </w:rPr>
        <w:t xml:space="preserve"> w</w:t>
      </w:r>
      <w:r>
        <w:rPr>
          <w:noProof/>
        </w:rPr>
        <w:t> </w:t>
      </w:r>
      <w:r w:rsidRPr="00062BFA">
        <w:rPr>
          <w:noProof/>
        </w:rPr>
        <w:t>art</w:t>
      </w:r>
      <w:r w:rsidR="00F6614D" w:rsidRPr="00062BFA">
        <w:rPr>
          <w:noProof/>
        </w:rPr>
        <w:t>.</w:t>
      </w:r>
      <w:r w:rsidRPr="00062BFA">
        <w:rPr>
          <w:noProof/>
        </w:rPr>
        <w:t> </w:t>
      </w:r>
      <w:r w:rsidR="00F6614D" w:rsidRPr="00062BFA">
        <w:rPr>
          <w:noProof/>
        </w:rPr>
        <w:t>1</w:t>
      </w:r>
      <w:r w:rsidR="00F6614D" w:rsidRPr="004F6DAA">
        <w:rPr>
          <w:noProof/>
        </w:rPr>
        <w:t xml:space="preserve">4 </w:t>
      </w:r>
      <w:r w:rsidR="00F6614D" w:rsidRPr="00062BFA">
        <w:rPr>
          <w:noProof/>
        </w:rPr>
        <w:t>ust.</w:t>
      </w:r>
      <w:r w:rsidRPr="00062BFA">
        <w:rPr>
          <w:noProof/>
        </w:rPr>
        <w:t> </w:t>
      </w:r>
      <w:r w:rsidR="00F6614D" w:rsidRPr="00062BFA">
        <w:rPr>
          <w:noProof/>
        </w:rPr>
        <w:t>4</w:t>
      </w:r>
      <w:r w:rsidR="00F6614D" w:rsidRPr="004F6DAA">
        <w:rPr>
          <w:noProof/>
        </w:rPr>
        <w:t>;</w:t>
      </w:r>
    </w:p>
    <w:p w14:paraId="75BB569D" w14:textId="77777777" w:rsidR="00F6614D" w:rsidRPr="004F6DAA" w:rsidRDefault="00062BFA" w:rsidP="00062BFA">
      <w:pPr>
        <w:pStyle w:val="Point1"/>
        <w:rPr>
          <w:noProof/>
        </w:rPr>
      </w:pPr>
      <w:r w:rsidRPr="00062BFA">
        <w:rPr>
          <w:noProof/>
        </w:rPr>
        <w:t>f)</w:t>
      </w:r>
      <w:r w:rsidRPr="00062BFA">
        <w:rPr>
          <w:noProof/>
        </w:rPr>
        <w:tab/>
      </w:r>
      <w:r w:rsidR="00F6614D" w:rsidRPr="004F6DAA">
        <w:rPr>
          <w:noProof/>
        </w:rPr>
        <w:tab/>
        <w:t>umożliwienie wsparcia administracyjnego</w:t>
      </w:r>
      <w:r w:rsidRPr="004F6DAA">
        <w:rPr>
          <w:noProof/>
        </w:rPr>
        <w:t xml:space="preserve"> i</w:t>
      </w:r>
      <w:r>
        <w:rPr>
          <w:noProof/>
        </w:rPr>
        <w:t> </w:t>
      </w:r>
      <w:r w:rsidRPr="004F6DAA">
        <w:rPr>
          <w:noProof/>
        </w:rPr>
        <w:t>wsp</w:t>
      </w:r>
      <w:r w:rsidR="00F6614D" w:rsidRPr="004F6DAA">
        <w:rPr>
          <w:noProof/>
        </w:rPr>
        <w:t>ółpracy między właściwymi organami</w:t>
      </w:r>
      <w:r w:rsidRPr="004F6DAA">
        <w:rPr>
          <w:noProof/>
        </w:rPr>
        <w:t xml:space="preserve"> a</w:t>
      </w:r>
      <w:r>
        <w:rPr>
          <w:noProof/>
        </w:rPr>
        <w:t> </w:t>
      </w:r>
      <w:r w:rsidRPr="004F6DAA">
        <w:rPr>
          <w:noProof/>
        </w:rPr>
        <w:t>Kom</w:t>
      </w:r>
      <w:r w:rsidR="00F6614D" w:rsidRPr="004F6DAA">
        <w:rPr>
          <w:noProof/>
        </w:rPr>
        <w:t>isją</w:t>
      </w:r>
      <w:r w:rsidRPr="004F6DAA">
        <w:rPr>
          <w:noProof/>
        </w:rPr>
        <w:t xml:space="preserve"> w</w:t>
      </w:r>
      <w:r>
        <w:rPr>
          <w:noProof/>
        </w:rPr>
        <w:t> </w:t>
      </w:r>
      <w:r w:rsidRPr="004F6DAA">
        <w:rPr>
          <w:noProof/>
        </w:rPr>
        <w:t>zak</w:t>
      </w:r>
      <w:r w:rsidR="00F6614D" w:rsidRPr="004F6DAA">
        <w:rPr>
          <w:noProof/>
        </w:rPr>
        <w:t>resie wymiany informacji</w:t>
      </w:r>
      <w:r w:rsidRPr="004F6DAA">
        <w:rPr>
          <w:noProof/>
        </w:rPr>
        <w:t xml:space="preserve"> i</w:t>
      </w:r>
      <w:r>
        <w:rPr>
          <w:noProof/>
        </w:rPr>
        <w:t> </w:t>
      </w:r>
      <w:r w:rsidRPr="004F6DAA">
        <w:rPr>
          <w:noProof/>
        </w:rPr>
        <w:t>dan</w:t>
      </w:r>
      <w:r w:rsidR="00F6614D" w:rsidRPr="004F6DAA">
        <w:rPr>
          <w:noProof/>
        </w:rPr>
        <w:t>ych;</w:t>
      </w:r>
    </w:p>
    <w:p w14:paraId="2EF6CB3C" w14:textId="77777777" w:rsidR="00F6614D" w:rsidRPr="004F6DAA" w:rsidRDefault="00062BFA" w:rsidP="00062BFA">
      <w:pPr>
        <w:pStyle w:val="Point1"/>
        <w:rPr>
          <w:noProof/>
        </w:rPr>
      </w:pPr>
      <w:r w:rsidRPr="00062BFA">
        <w:rPr>
          <w:noProof/>
        </w:rPr>
        <w:t>g)</w:t>
      </w:r>
      <w:r w:rsidRPr="00062BFA">
        <w:rPr>
          <w:noProof/>
        </w:rPr>
        <w:tab/>
      </w:r>
      <w:r w:rsidR="00F6614D" w:rsidRPr="004F6DAA">
        <w:rPr>
          <w:noProof/>
        </w:rPr>
        <w:tab/>
        <w:t>umożliwienie komunikacji między właściwymi organami</w:t>
      </w:r>
      <w:r w:rsidRPr="004F6DAA">
        <w:rPr>
          <w:noProof/>
        </w:rPr>
        <w:t xml:space="preserve"> a</w:t>
      </w:r>
      <w:r>
        <w:rPr>
          <w:noProof/>
        </w:rPr>
        <w:t> </w:t>
      </w:r>
      <w:r w:rsidRPr="004F6DAA">
        <w:rPr>
          <w:noProof/>
        </w:rPr>
        <w:t>pod</w:t>
      </w:r>
      <w:r w:rsidR="00F6614D" w:rsidRPr="004F6DAA">
        <w:rPr>
          <w:noProof/>
        </w:rPr>
        <w:t>miotami</w:t>
      </w:r>
      <w:r w:rsidRPr="004F6DAA">
        <w:rPr>
          <w:noProof/>
        </w:rPr>
        <w:t xml:space="preserve"> i</w:t>
      </w:r>
      <w:r>
        <w:rPr>
          <w:noProof/>
        </w:rPr>
        <w:t> </w:t>
      </w:r>
      <w:r w:rsidRPr="004F6DAA">
        <w:rPr>
          <w:noProof/>
        </w:rPr>
        <w:t>pod</w:t>
      </w:r>
      <w:r w:rsidR="00F6614D" w:rsidRPr="004F6DAA">
        <w:rPr>
          <w:noProof/>
        </w:rPr>
        <w:t>miotami handlowymi do celów wykonania niniejszego rozporządzenia.</w:t>
      </w:r>
    </w:p>
    <w:p w14:paraId="4CDF7C8F" w14:textId="77777777" w:rsidR="00F6614D" w:rsidRPr="004F6DAA" w:rsidRDefault="007B7EB7" w:rsidP="007B7EB7">
      <w:pPr>
        <w:pStyle w:val="ManualNumPar1"/>
        <w:rPr>
          <w:noProof/>
        </w:rPr>
      </w:pPr>
      <w:r w:rsidRPr="007B7EB7">
        <w:t>3.</w:t>
      </w:r>
      <w:r w:rsidRPr="007B7EB7">
        <w:tab/>
      </w:r>
      <w:r w:rsidR="00F6614D" w:rsidRPr="004F6DAA">
        <w:rPr>
          <w:noProof/>
        </w:rPr>
        <w:t>Komisja ustanawia,</w:t>
      </w:r>
      <w:r w:rsidR="00062BFA" w:rsidRPr="004F6DAA">
        <w:rPr>
          <w:noProof/>
        </w:rPr>
        <w:t xml:space="preserve"> w</w:t>
      </w:r>
      <w:r w:rsidR="00062BFA">
        <w:rPr>
          <w:noProof/>
        </w:rPr>
        <w:t> </w:t>
      </w:r>
      <w:r w:rsidR="00062BFA" w:rsidRPr="004F6DAA">
        <w:rPr>
          <w:noProof/>
        </w:rPr>
        <w:t>dro</w:t>
      </w:r>
      <w:r w:rsidR="00F6614D" w:rsidRPr="004F6DAA">
        <w:rPr>
          <w:noProof/>
        </w:rPr>
        <w:t>dze aktów wykonawczych, przepisy dotyczące funkcjonowania systemu informacyjnego,</w:t>
      </w:r>
      <w:r w:rsidR="00062BFA" w:rsidRPr="004F6DAA">
        <w:rPr>
          <w:noProof/>
        </w:rPr>
        <w:t xml:space="preserve"> w</w:t>
      </w:r>
      <w:r w:rsidR="00062BFA">
        <w:rPr>
          <w:noProof/>
        </w:rPr>
        <w:t> </w:t>
      </w:r>
      <w:r w:rsidR="00062BFA" w:rsidRPr="004F6DAA">
        <w:rPr>
          <w:noProof/>
        </w:rPr>
        <w:t>tym</w:t>
      </w:r>
      <w:r w:rsidR="00F6614D" w:rsidRPr="004F6DAA">
        <w:rPr>
          <w:noProof/>
        </w:rPr>
        <w:t xml:space="preserve"> przepisy dotyczące ochrony danych osobowych</w:t>
      </w:r>
      <w:r w:rsidR="00062BFA" w:rsidRPr="004F6DAA">
        <w:rPr>
          <w:noProof/>
        </w:rPr>
        <w:t xml:space="preserve"> i</w:t>
      </w:r>
      <w:r w:rsidR="00062BFA">
        <w:rPr>
          <w:noProof/>
        </w:rPr>
        <w:t> </w:t>
      </w:r>
      <w:r w:rsidR="00062BFA" w:rsidRPr="004F6DAA">
        <w:rPr>
          <w:noProof/>
        </w:rPr>
        <w:t>wym</w:t>
      </w:r>
      <w:r w:rsidR="00F6614D" w:rsidRPr="004F6DAA">
        <w:rPr>
          <w:noProof/>
        </w:rPr>
        <w:t>iany danych</w:t>
      </w:r>
      <w:r w:rsidR="00062BFA" w:rsidRPr="004F6DAA">
        <w:rPr>
          <w:noProof/>
        </w:rPr>
        <w:t xml:space="preserve"> z</w:t>
      </w:r>
      <w:r w:rsidR="00062BFA">
        <w:rPr>
          <w:noProof/>
        </w:rPr>
        <w:t> </w:t>
      </w:r>
      <w:r w:rsidR="00062BFA" w:rsidRPr="004F6DAA">
        <w:rPr>
          <w:noProof/>
        </w:rPr>
        <w:t>inn</w:t>
      </w:r>
      <w:r w:rsidR="00F6614D" w:rsidRPr="004F6DAA">
        <w:rPr>
          <w:noProof/>
        </w:rPr>
        <w:t>ymi systemami informatycznymi. Wspomniane akty wykonawcze przyjmuje się zgodnie</w:t>
      </w:r>
      <w:r w:rsidR="00062BFA" w:rsidRPr="004F6DAA">
        <w:rPr>
          <w:noProof/>
        </w:rPr>
        <w:t xml:space="preserve"> z</w:t>
      </w:r>
      <w:r w:rsidR="00062BFA">
        <w:rPr>
          <w:noProof/>
        </w:rPr>
        <w:t> </w:t>
      </w:r>
      <w:r w:rsidR="00062BFA" w:rsidRPr="004F6DAA">
        <w:rPr>
          <w:noProof/>
        </w:rPr>
        <w:t>pro</w:t>
      </w:r>
      <w:r w:rsidR="00F6614D" w:rsidRPr="004F6DAA">
        <w:rPr>
          <w:noProof/>
        </w:rPr>
        <w:t>cedurą sprawdzającą,</w:t>
      </w:r>
      <w:r w:rsidR="00062BFA" w:rsidRPr="004F6DAA">
        <w:rPr>
          <w:noProof/>
        </w:rPr>
        <w:t xml:space="preserve"> o</w:t>
      </w:r>
      <w:r w:rsidR="00062BFA">
        <w:rPr>
          <w:noProof/>
        </w:rPr>
        <w:t> </w:t>
      </w:r>
      <w:r w:rsidR="00062BFA" w:rsidRPr="004F6DAA">
        <w:rPr>
          <w:noProof/>
        </w:rPr>
        <w:t>któ</w:t>
      </w:r>
      <w:r w:rsidR="00F6614D" w:rsidRPr="004F6DAA">
        <w:rPr>
          <w:noProof/>
        </w:rPr>
        <w:t>rej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3</w:t>
      </w:r>
      <w:r w:rsidR="00F6614D" w:rsidRPr="004F6DAA">
        <w:rPr>
          <w:noProof/>
        </w:rPr>
        <w:t xml:space="preserve">3 </w:t>
      </w:r>
      <w:r w:rsidR="00F6614D" w:rsidRPr="00062BFA">
        <w:rPr>
          <w:noProof/>
        </w:rPr>
        <w:t>ust.</w:t>
      </w:r>
      <w:r w:rsidR="00062BFA" w:rsidRPr="00062BFA">
        <w:rPr>
          <w:noProof/>
        </w:rPr>
        <w:t> </w:t>
      </w:r>
      <w:r w:rsidR="00F6614D" w:rsidRPr="00062BFA">
        <w:rPr>
          <w:noProof/>
        </w:rPr>
        <w:t>2</w:t>
      </w:r>
      <w:r w:rsidR="00F6614D" w:rsidRPr="004F6DAA">
        <w:rPr>
          <w:noProof/>
        </w:rPr>
        <w:t xml:space="preserve"> niniejszego rozporządzenia.</w:t>
      </w:r>
    </w:p>
    <w:p w14:paraId="34BA69E5" w14:textId="77777777" w:rsidR="00F6614D" w:rsidRPr="004F6DAA" w:rsidRDefault="007B7EB7" w:rsidP="007B7EB7">
      <w:pPr>
        <w:pStyle w:val="ManualNumPar1"/>
        <w:rPr>
          <w:noProof/>
        </w:rPr>
      </w:pPr>
      <w:r w:rsidRPr="007B7EB7">
        <w:t>4.</w:t>
      </w:r>
      <w:r w:rsidRPr="007B7EB7">
        <w:tab/>
      </w:r>
      <w:r w:rsidR="00F6614D" w:rsidRPr="004F6DAA">
        <w:rPr>
          <w:noProof/>
        </w:rPr>
        <w:t>Komisja zapewnia dostęp do tego systemu informacyjnego organom celnym, właściwym organom, podmiotom</w:t>
      </w:r>
      <w:r w:rsidR="00062BFA" w:rsidRPr="004F6DAA">
        <w:rPr>
          <w:noProof/>
        </w:rPr>
        <w:t xml:space="preserve"> i</w:t>
      </w:r>
      <w:r w:rsidR="00062BFA">
        <w:rPr>
          <w:noProof/>
        </w:rPr>
        <w:t> </w:t>
      </w:r>
      <w:r w:rsidR="00062BFA" w:rsidRPr="004F6DAA">
        <w:rPr>
          <w:noProof/>
        </w:rPr>
        <w:t>pod</w:t>
      </w:r>
      <w:r w:rsidR="00F6614D" w:rsidRPr="004F6DAA">
        <w:rPr>
          <w:noProof/>
        </w:rPr>
        <w:t>miotom handlowym zgodnie</w:t>
      </w:r>
      <w:r w:rsidR="00062BFA" w:rsidRPr="004F6DAA">
        <w:rPr>
          <w:noProof/>
        </w:rPr>
        <w:t xml:space="preserve"> z</w:t>
      </w:r>
      <w:r w:rsidR="00062BFA">
        <w:rPr>
          <w:noProof/>
        </w:rPr>
        <w:t> </w:t>
      </w:r>
      <w:r w:rsidR="00062BFA" w:rsidRPr="004F6DAA">
        <w:rPr>
          <w:noProof/>
        </w:rPr>
        <w:t>ich</w:t>
      </w:r>
      <w:r w:rsidR="00F6614D" w:rsidRPr="004F6DAA">
        <w:rPr>
          <w:noProof/>
        </w:rPr>
        <w:t xml:space="preserve"> odpowiednimi obowiązkami wynikającymi</w:t>
      </w:r>
      <w:r w:rsidR="00062BFA" w:rsidRPr="004F6DAA">
        <w:rPr>
          <w:noProof/>
        </w:rPr>
        <w:t xml:space="preserve"> z</w:t>
      </w:r>
      <w:r w:rsidR="00062BFA">
        <w:rPr>
          <w:noProof/>
        </w:rPr>
        <w:t> </w:t>
      </w:r>
      <w:r w:rsidR="00062BFA" w:rsidRPr="004F6DAA">
        <w:rPr>
          <w:noProof/>
        </w:rPr>
        <w:t>nin</w:t>
      </w:r>
      <w:r w:rsidR="00F6614D" w:rsidRPr="004F6DAA">
        <w:rPr>
          <w:noProof/>
        </w:rPr>
        <w:t xml:space="preserve">iejszego rozporządzenia. </w:t>
      </w:r>
    </w:p>
    <w:p w14:paraId="6E7D37E7" w14:textId="77777777" w:rsidR="00F6614D" w:rsidRPr="004F6DAA" w:rsidRDefault="007B7EB7" w:rsidP="007B7EB7">
      <w:pPr>
        <w:pStyle w:val="ManualNumPar1"/>
        <w:rPr>
          <w:noProof/>
        </w:rPr>
      </w:pPr>
      <w:r w:rsidRPr="007B7EB7">
        <w:t>5.</w:t>
      </w:r>
      <w:r w:rsidRPr="007B7EB7">
        <w:tab/>
      </w:r>
      <w:r w:rsidR="00F6614D" w:rsidRPr="004F6DAA">
        <w:rPr>
          <w:noProof/>
        </w:rPr>
        <w:t>Zgodnie</w:t>
      </w:r>
      <w:r w:rsidR="00062BFA" w:rsidRPr="004F6DAA">
        <w:rPr>
          <w:noProof/>
        </w:rPr>
        <w:t xml:space="preserve"> z</w:t>
      </w:r>
      <w:r w:rsidR="00062BFA">
        <w:rPr>
          <w:noProof/>
        </w:rPr>
        <w:t> </w:t>
      </w:r>
      <w:r w:rsidR="00062BFA" w:rsidRPr="004F6DAA">
        <w:rPr>
          <w:noProof/>
        </w:rPr>
        <w:t>uni</w:t>
      </w:r>
      <w:r w:rsidR="00F6614D" w:rsidRPr="004F6DAA">
        <w:rPr>
          <w:noProof/>
        </w:rPr>
        <w:t>jną polityką otwartych danych,</w:t>
      </w:r>
      <w:r w:rsidR="00062BFA" w:rsidRPr="004F6DAA">
        <w:rPr>
          <w:noProof/>
        </w:rPr>
        <w:t xml:space="preserve"> a</w:t>
      </w:r>
      <w:r w:rsidR="00062BFA">
        <w:rPr>
          <w:noProof/>
        </w:rPr>
        <w:t> </w:t>
      </w:r>
      <w:r w:rsidR="00062BFA" w:rsidRPr="004F6DAA">
        <w:rPr>
          <w:noProof/>
        </w:rPr>
        <w:t>w</w:t>
      </w:r>
      <w:r w:rsidR="00062BFA">
        <w:rPr>
          <w:noProof/>
        </w:rPr>
        <w:t> </w:t>
      </w:r>
      <w:r w:rsidR="00062BFA" w:rsidRPr="004F6DAA">
        <w:rPr>
          <w:noProof/>
        </w:rPr>
        <w:t>szc</w:t>
      </w:r>
      <w:r w:rsidR="00F6614D" w:rsidRPr="004F6DAA">
        <w:rPr>
          <w:noProof/>
        </w:rPr>
        <w:t>zególności</w:t>
      </w:r>
      <w:r w:rsidR="00062BFA" w:rsidRPr="004F6DAA">
        <w:rPr>
          <w:noProof/>
        </w:rPr>
        <w:t xml:space="preserve"> z</w:t>
      </w:r>
      <w:r w:rsidR="00062BFA">
        <w:rPr>
          <w:noProof/>
        </w:rPr>
        <w:t> </w:t>
      </w:r>
      <w:r w:rsidR="00062BFA" w:rsidRPr="004F6DAA">
        <w:rPr>
          <w:noProof/>
        </w:rPr>
        <w:t>dyr</w:t>
      </w:r>
      <w:r w:rsidR="00F6614D" w:rsidRPr="004F6DAA">
        <w:rPr>
          <w:noProof/>
        </w:rPr>
        <w:t>ektywą (UE) 2019/1024</w:t>
      </w:r>
      <w:r w:rsidR="00F6614D" w:rsidRPr="004F6DAA">
        <w:rPr>
          <w:rStyle w:val="Odwoanieprzypisudolnego"/>
          <w:noProof/>
        </w:rPr>
        <w:footnoteReference w:id="51"/>
      </w:r>
      <w:r w:rsidR="00F6614D" w:rsidRPr="004F6DAA">
        <w:rPr>
          <w:noProof/>
        </w:rPr>
        <w:t>, Komisja zapewnia szerszemu gronu odbiorców dostęp do kompletnych, zanonimizowanych zbiorów danych systemu informacyjnego</w:t>
      </w:r>
      <w:r w:rsidR="00062BFA" w:rsidRPr="004F6DAA">
        <w:rPr>
          <w:noProof/>
        </w:rPr>
        <w:t xml:space="preserve"> w</w:t>
      </w:r>
      <w:r w:rsidR="00062BFA">
        <w:rPr>
          <w:noProof/>
        </w:rPr>
        <w:t> </w:t>
      </w:r>
      <w:r w:rsidR="00062BFA" w:rsidRPr="004F6DAA">
        <w:rPr>
          <w:noProof/>
        </w:rPr>
        <w:t>otw</w:t>
      </w:r>
      <w:r w:rsidR="00F6614D" w:rsidRPr="004F6DAA">
        <w:rPr>
          <w:noProof/>
        </w:rPr>
        <w:t>artym formacie nadającym się do odczytu maszynowego</w:t>
      </w:r>
      <w:r w:rsidR="00062BFA" w:rsidRPr="004F6DAA">
        <w:rPr>
          <w:noProof/>
        </w:rPr>
        <w:t xml:space="preserve"> i</w:t>
      </w:r>
      <w:r w:rsidR="00062BFA">
        <w:rPr>
          <w:noProof/>
        </w:rPr>
        <w:t> </w:t>
      </w:r>
      <w:r w:rsidR="00062BFA" w:rsidRPr="004F6DAA">
        <w:rPr>
          <w:noProof/>
        </w:rPr>
        <w:t>któ</w:t>
      </w:r>
      <w:r w:rsidR="00F6614D" w:rsidRPr="004F6DAA">
        <w:rPr>
          <w:noProof/>
        </w:rPr>
        <w:t>ry zapewnia interoperacyjność, ponowne wykorzystanie</w:t>
      </w:r>
      <w:r w:rsidR="00062BFA" w:rsidRPr="004F6DAA">
        <w:rPr>
          <w:noProof/>
        </w:rPr>
        <w:t xml:space="preserve"> i</w:t>
      </w:r>
      <w:r w:rsidR="00062BFA">
        <w:rPr>
          <w:noProof/>
        </w:rPr>
        <w:t> </w:t>
      </w:r>
      <w:r w:rsidR="00062BFA" w:rsidRPr="004F6DAA">
        <w:rPr>
          <w:noProof/>
        </w:rPr>
        <w:t>dos</w:t>
      </w:r>
      <w:r w:rsidR="00F6614D" w:rsidRPr="004F6DAA">
        <w:rPr>
          <w:noProof/>
        </w:rPr>
        <w:t>tępność.</w:t>
      </w:r>
    </w:p>
    <w:p w14:paraId="54D67E38" w14:textId="77777777" w:rsidR="00F6614D" w:rsidRPr="004F6DAA" w:rsidRDefault="00F6614D" w:rsidP="00F6614D">
      <w:pPr>
        <w:spacing w:before="0" w:after="200" w:line="276" w:lineRule="auto"/>
        <w:jc w:val="left"/>
        <w:rPr>
          <w:noProof/>
        </w:rPr>
      </w:pPr>
    </w:p>
    <w:p w14:paraId="43B51A5D" w14:textId="77777777" w:rsidR="00201A50" w:rsidRPr="004F6DAA" w:rsidRDefault="00F6614D" w:rsidP="00F6614D">
      <w:pPr>
        <w:pStyle w:val="ChapterTitle"/>
        <w:rPr>
          <w:noProof/>
        </w:rPr>
      </w:pPr>
      <w:r w:rsidRPr="004F6DAA">
        <w:rPr>
          <w:noProof/>
        </w:rPr>
        <w:t>Rozdział 8</w:t>
      </w:r>
    </w:p>
    <w:p w14:paraId="15C12A78" w14:textId="77777777" w:rsidR="00F6614D" w:rsidRPr="004F6DAA" w:rsidRDefault="00F6614D" w:rsidP="00F6614D">
      <w:pPr>
        <w:pStyle w:val="ChapterTitle"/>
        <w:rPr>
          <w:i/>
          <w:iCs/>
          <w:noProof/>
        </w:rPr>
      </w:pPr>
      <w:r w:rsidRPr="004F6DAA">
        <w:rPr>
          <w:noProof/>
        </w:rPr>
        <w:t>Przegląd</w:t>
      </w:r>
    </w:p>
    <w:p w14:paraId="2E86F86A" w14:textId="77777777" w:rsidR="009A63D5" w:rsidRPr="004F6DAA" w:rsidRDefault="00F6614D" w:rsidP="009A63D5">
      <w:pPr>
        <w:pStyle w:val="Titrearticle"/>
        <w:rPr>
          <w:noProof/>
        </w:rPr>
      </w:pPr>
      <w:r w:rsidRPr="004F6DAA">
        <w:rPr>
          <w:noProof/>
        </w:rPr>
        <w:t>Artykuł 32</w:t>
      </w:r>
    </w:p>
    <w:p w14:paraId="0AF4C48A" w14:textId="77777777" w:rsidR="00F6614D" w:rsidRPr="004F6DAA" w:rsidRDefault="00F6614D" w:rsidP="009A63D5">
      <w:pPr>
        <w:pStyle w:val="Sous-titreobjet"/>
        <w:rPr>
          <w:noProof/>
        </w:rPr>
      </w:pPr>
      <w:r w:rsidRPr="004F6DAA">
        <w:rPr>
          <w:noProof/>
        </w:rPr>
        <w:t>Przegląd</w:t>
      </w:r>
    </w:p>
    <w:p w14:paraId="6B24A74A" w14:textId="77777777" w:rsidR="00F6614D" w:rsidRPr="004F6DAA" w:rsidRDefault="007B7EB7" w:rsidP="007B7EB7">
      <w:pPr>
        <w:pStyle w:val="ManualNumPar1"/>
        <w:rPr>
          <w:noProof/>
        </w:rPr>
      </w:pPr>
      <w:r w:rsidRPr="007B7EB7">
        <w:t>1.</w:t>
      </w:r>
      <w:r w:rsidRPr="007B7EB7">
        <w:tab/>
      </w:r>
      <w:r w:rsidR="00F6614D" w:rsidRPr="004F6DAA">
        <w:rPr>
          <w:noProof/>
        </w:rPr>
        <w:t>Nie później niż dwa lata po wejściu</w:t>
      </w:r>
      <w:r w:rsidR="00062BFA" w:rsidRPr="004F6DAA">
        <w:rPr>
          <w:noProof/>
        </w:rPr>
        <w:t xml:space="preserve"> w</w:t>
      </w:r>
      <w:r w:rsidR="00062BFA">
        <w:rPr>
          <w:noProof/>
        </w:rPr>
        <w:t> </w:t>
      </w:r>
      <w:r w:rsidR="00062BFA" w:rsidRPr="004F6DAA">
        <w:rPr>
          <w:noProof/>
        </w:rPr>
        <w:t>życ</w:t>
      </w:r>
      <w:r w:rsidR="00F6614D" w:rsidRPr="004F6DAA">
        <w:rPr>
          <w:noProof/>
        </w:rPr>
        <w:t>ie Komisja przeprowadza pierwszy przegląd niniejszego rozporządzenia</w:t>
      </w:r>
      <w:r w:rsidR="00062BFA" w:rsidRPr="004F6DAA">
        <w:rPr>
          <w:noProof/>
        </w:rPr>
        <w:t xml:space="preserve"> i</w:t>
      </w:r>
      <w:r w:rsidR="00062BFA">
        <w:rPr>
          <w:noProof/>
        </w:rPr>
        <w:t> </w:t>
      </w:r>
      <w:r w:rsidR="00062BFA" w:rsidRPr="004F6DAA">
        <w:rPr>
          <w:noProof/>
        </w:rPr>
        <w:t>prz</w:t>
      </w:r>
      <w:r w:rsidR="00F6614D" w:rsidRPr="004F6DAA">
        <w:rPr>
          <w:noProof/>
        </w:rPr>
        <w:t>edstawia sprawozdanie dla Parlamentu Europejskiego</w:t>
      </w:r>
      <w:r w:rsidR="00062BFA" w:rsidRPr="004F6DAA">
        <w:rPr>
          <w:noProof/>
        </w:rPr>
        <w:t xml:space="preserve"> i</w:t>
      </w:r>
      <w:r w:rsidR="00062BFA">
        <w:rPr>
          <w:noProof/>
        </w:rPr>
        <w:t> </w:t>
      </w:r>
      <w:r w:rsidR="00062BFA" w:rsidRPr="004F6DAA">
        <w:rPr>
          <w:noProof/>
        </w:rPr>
        <w:t>Rad</w:t>
      </w:r>
      <w:r w:rsidR="00F6614D" w:rsidRPr="004F6DAA">
        <w:rPr>
          <w:noProof/>
        </w:rPr>
        <w:t>y,</w:t>
      </w:r>
      <w:r w:rsidR="00062BFA" w:rsidRPr="004F6DAA">
        <w:rPr>
          <w:noProof/>
        </w:rPr>
        <w:t xml:space="preserve"> w</w:t>
      </w:r>
      <w:r w:rsidR="00062BFA">
        <w:rPr>
          <w:noProof/>
        </w:rPr>
        <w:t> </w:t>
      </w:r>
      <w:r w:rsidR="00062BFA" w:rsidRPr="004F6DAA">
        <w:rPr>
          <w:noProof/>
        </w:rPr>
        <w:t>sto</w:t>
      </w:r>
      <w:r w:rsidR="00F6614D" w:rsidRPr="004F6DAA">
        <w:rPr>
          <w:noProof/>
        </w:rPr>
        <w:t>sownych przypadkach wraz</w:t>
      </w:r>
      <w:r w:rsidR="00062BFA" w:rsidRPr="004F6DAA">
        <w:rPr>
          <w:noProof/>
        </w:rPr>
        <w:t xml:space="preserve"> z</w:t>
      </w:r>
      <w:r w:rsidR="00062BFA">
        <w:rPr>
          <w:noProof/>
        </w:rPr>
        <w:t> </w:t>
      </w:r>
      <w:r w:rsidR="00062BFA" w:rsidRPr="004F6DAA">
        <w:rPr>
          <w:noProof/>
        </w:rPr>
        <w:t>wni</w:t>
      </w:r>
      <w:r w:rsidR="00F6614D" w:rsidRPr="004F6DAA">
        <w:rPr>
          <w:noProof/>
        </w:rPr>
        <w:t>oskiem legislacyjnym. Sprawozdanie koncentruje się</w:t>
      </w:r>
      <w:r w:rsidR="00062BFA" w:rsidRPr="004F6DAA">
        <w:rPr>
          <w:noProof/>
        </w:rPr>
        <w:t xml:space="preserve"> w</w:t>
      </w:r>
      <w:r w:rsidR="00062BFA">
        <w:rPr>
          <w:noProof/>
        </w:rPr>
        <w:t> </w:t>
      </w:r>
      <w:r w:rsidR="00062BFA" w:rsidRPr="004F6DAA">
        <w:rPr>
          <w:noProof/>
        </w:rPr>
        <w:t>szc</w:t>
      </w:r>
      <w:r w:rsidR="00F6614D" w:rsidRPr="004F6DAA">
        <w:rPr>
          <w:noProof/>
        </w:rPr>
        <w:t>zególności na ocenie potrzeby</w:t>
      </w:r>
      <w:r w:rsidR="00062BFA" w:rsidRPr="004F6DAA">
        <w:rPr>
          <w:noProof/>
        </w:rPr>
        <w:t xml:space="preserve"> i</w:t>
      </w:r>
      <w:r w:rsidR="00062BFA">
        <w:rPr>
          <w:noProof/>
        </w:rPr>
        <w:t> </w:t>
      </w:r>
      <w:r w:rsidR="00062BFA" w:rsidRPr="004F6DAA">
        <w:rPr>
          <w:noProof/>
        </w:rPr>
        <w:t>wyk</w:t>
      </w:r>
      <w:r w:rsidR="00F6614D" w:rsidRPr="004F6DAA">
        <w:rPr>
          <w:noProof/>
        </w:rPr>
        <w:t>onalności rozszerzenia zakresu niniejszego rozporządzenia na inne ekosystemy,</w:t>
      </w:r>
      <w:r w:rsidR="00062BFA" w:rsidRPr="004F6DAA">
        <w:rPr>
          <w:noProof/>
        </w:rPr>
        <w:t xml:space="preserve"> w</w:t>
      </w:r>
      <w:r w:rsidR="00062BFA">
        <w:rPr>
          <w:noProof/>
        </w:rPr>
        <w:t> </w:t>
      </w:r>
      <w:r w:rsidR="00062BFA" w:rsidRPr="004F6DAA">
        <w:rPr>
          <w:noProof/>
        </w:rPr>
        <w:t>tym</w:t>
      </w:r>
      <w:r w:rsidR="00F6614D" w:rsidRPr="004F6DAA">
        <w:rPr>
          <w:noProof/>
        </w:rPr>
        <w:t xml:space="preserve"> na tereny zasobne</w:t>
      </w:r>
      <w:r w:rsidR="00062BFA" w:rsidRPr="004F6DAA">
        <w:rPr>
          <w:noProof/>
        </w:rPr>
        <w:t xml:space="preserve"> w</w:t>
      </w:r>
      <w:r w:rsidR="00062BFA">
        <w:rPr>
          <w:noProof/>
        </w:rPr>
        <w:t> </w:t>
      </w:r>
      <w:r w:rsidR="00062BFA" w:rsidRPr="004F6DAA">
        <w:rPr>
          <w:noProof/>
        </w:rPr>
        <w:t>pie</w:t>
      </w:r>
      <w:r w:rsidR="00F6614D" w:rsidRPr="004F6DAA">
        <w:rPr>
          <w:noProof/>
        </w:rPr>
        <w:t>rwiastek węgla oraz tereny</w:t>
      </w:r>
      <w:r w:rsidR="00062BFA" w:rsidRPr="004F6DAA">
        <w:rPr>
          <w:noProof/>
        </w:rPr>
        <w:t xml:space="preserve"> o</w:t>
      </w:r>
      <w:r w:rsidR="00062BFA">
        <w:rPr>
          <w:noProof/>
        </w:rPr>
        <w:t> </w:t>
      </w:r>
      <w:r w:rsidR="00062BFA" w:rsidRPr="004F6DAA">
        <w:rPr>
          <w:noProof/>
        </w:rPr>
        <w:t>wys</w:t>
      </w:r>
      <w:r w:rsidR="00F6614D" w:rsidRPr="004F6DAA">
        <w:rPr>
          <w:noProof/>
        </w:rPr>
        <w:t>okiej wartości pod względem różnorodności biologicznej, takie jak użytki zielone, torfowiska</w:t>
      </w:r>
      <w:r w:rsidR="00062BFA" w:rsidRPr="004F6DAA">
        <w:rPr>
          <w:noProof/>
        </w:rPr>
        <w:t xml:space="preserve"> i</w:t>
      </w:r>
      <w:r w:rsidR="00062BFA">
        <w:rPr>
          <w:noProof/>
        </w:rPr>
        <w:t> </w:t>
      </w:r>
      <w:r w:rsidR="00062BFA" w:rsidRPr="004F6DAA">
        <w:rPr>
          <w:noProof/>
        </w:rPr>
        <w:t>ter</w:t>
      </w:r>
      <w:r w:rsidR="00F6614D" w:rsidRPr="004F6DAA">
        <w:rPr>
          <w:noProof/>
        </w:rPr>
        <w:t>eny podmokłe, oraz na kolejne towary.</w:t>
      </w:r>
    </w:p>
    <w:p w14:paraId="7832B4D2" w14:textId="77777777" w:rsidR="00F6614D" w:rsidRPr="004F6DAA" w:rsidRDefault="007B7EB7" w:rsidP="007B7EB7">
      <w:pPr>
        <w:pStyle w:val="ManualNumPar1"/>
        <w:rPr>
          <w:noProof/>
        </w:rPr>
      </w:pPr>
      <w:r w:rsidRPr="007B7EB7">
        <w:t>2.</w:t>
      </w:r>
      <w:r w:rsidRPr="007B7EB7">
        <w:tab/>
      </w:r>
      <w:r w:rsidR="00F6614D" w:rsidRPr="004F6DAA">
        <w:rPr>
          <w:noProof/>
        </w:rPr>
        <w:t>Nie później niż pięć lat po wejściu</w:t>
      </w:r>
      <w:r w:rsidR="00062BFA" w:rsidRPr="004F6DAA">
        <w:rPr>
          <w:noProof/>
        </w:rPr>
        <w:t xml:space="preserve"> w</w:t>
      </w:r>
      <w:r w:rsidR="00062BFA">
        <w:rPr>
          <w:noProof/>
        </w:rPr>
        <w:t> </w:t>
      </w:r>
      <w:r w:rsidR="00062BFA" w:rsidRPr="004F6DAA">
        <w:rPr>
          <w:noProof/>
        </w:rPr>
        <w:t>życ</w:t>
      </w:r>
      <w:r w:rsidR="00F6614D" w:rsidRPr="004F6DAA">
        <w:rPr>
          <w:noProof/>
        </w:rPr>
        <w:t>ie,</w:t>
      </w:r>
      <w:r w:rsidR="00062BFA" w:rsidRPr="004F6DAA">
        <w:rPr>
          <w:noProof/>
        </w:rPr>
        <w:t xml:space="preserve"> a</w:t>
      </w:r>
      <w:r w:rsidR="00062BFA">
        <w:rPr>
          <w:noProof/>
        </w:rPr>
        <w:t> </w:t>
      </w:r>
      <w:r w:rsidR="00062BFA" w:rsidRPr="004F6DAA">
        <w:rPr>
          <w:noProof/>
        </w:rPr>
        <w:t>nas</w:t>
      </w:r>
      <w:r w:rsidR="00F6614D" w:rsidRPr="004F6DAA">
        <w:rPr>
          <w:noProof/>
        </w:rPr>
        <w:t>tępnie co najmniej co pięć lat, Komisja przeprowadza ogólny przegląd niniejszego rozporządzenia</w:t>
      </w:r>
      <w:r w:rsidR="00062BFA" w:rsidRPr="004F6DAA">
        <w:rPr>
          <w:noProof/>
        </w:rPr>
        <w:t xml:space="preserve"> i</w:t>
      </w:r>
      <w:r w:rsidR="00062BFA">
        <w:rPr>
          <w:noProof/>
        </w:rPr>
        <w:t> </w:t>
      </w:r>
      <w:r w:rsidR="00062BFA" w:rsidRPr="004F6DAA">
        <w:rPr>
          <w:noProof/>
        </w:rPr>
        <w:t>prz</w:t>
      </w:r>
      <w:r w:rsidR="00F6614D" w:rsidRPr="004F6DAA">
        <w:rPr>
          <w:noProof/>
        </w:rPr>
        <w:t>edstawia sprawozdanie dla Parlamentu Europejskiego</w:t>
      </w:r>
      <w:r w:rsidR="00062BFA" w:rsidRPr="004F6DAA">
        <w:rPr>
          <w:noProof/>
        </w:rPr>
        <w:t xml:space="preserve"> i</w:t>
      </w:r>
      <w:r w:rsidR="00062BFA">
        <w:rPr>
          <w:noProof/>
        </w:rPr>
        <w:t> </w:t>
      </w:r>
      <w:r w:rsidR="00062BFA" w:rsidRPr="004F6DAA">
        <w:rPr>
          <w:noProof/>
        </w:rPr>
        <w:t>Rad</w:t>
      </w:r>
      <w:r w:rsidR="00F6614D" w:rsidRPr="004F6DAA">
        <w:rPr>
          <w:noProof/>
        </w:rPr>
        <w:t>y,</w:t>
      </w:r>
      <w:r w:rsidR="00062BFA" w:rsidRPr="004F6DAA">
        <w:rPr>
          <w:noProof/>
        </w:rPr>
        <w:t xml:space="preserve"> w</w:t>
      </w:r>
      <w:r w:rsidR="00062BFA">
        <w:rPr>
          <w:noProof/>
        </w:rPr>
        <w:t> </w:t>
      </w:r>
      <w:r w:rsidR="00062BFA" w:rsidRPr="004F6DAA">
        <w:rPr>
          <w:noProof/>
        </w:rPr>
        <w:t>sto</w:t>
      </w:r>
      <w:r w:rsidR="00F6614D" w:rsidRPr="004F6DAA">
        <w:rPr>
          <w:noProof/>
        </w:rPr>
        <w:t>sownych przypadkach wraz</w:t>
      </w:r>
      <w:r w:rsidR="00062BFA" w:rsidRPr="004F6DAA">
        <w:rPr>
          <w:noProof/>
        </w:rPr>
        <w:t xml:space="preserve"> z</w:t>
      </w:r>
      <w:r w:rsidR="00062BFA">
        <w:rPr>
          <w:noProof/>
        </w:rPr>
        <w:t> </w:t>
      </w:r>
      <w:r w:rsidR="00062BFA" w:rsidRPr="004F6DAA">
        <w:rPr>
          <w:noProof/>
        </w:rPr>
        <w:t>wni</w:t>
      </w:r>
      <w:r w:rsidR="00F6614D" w:rsidRPr="004F6DAA">
        <w:rPr>
          <w:noProof/>
        </w:rPr>
        <w:t>oskiem ustawodawczym. Pierwsze ze sprawozdań zawiera</w:t>
      </w:r>
      <w:r w:rsidR="00062BFA" w:rsidRPr="004F6DAA">
        <w:rPr>
          <w:noProof/>
        </w:rPr>
        <w:t xml:space="preserve"> w</w:t>
      </w:r>
      <w:r w:rsidR="00062BFA">
        <w:rPr>
          <w:noProof/>
        </w:rPr>
        <w:t> </w:t>
      </w:r>
      <w:r w:rsidR="00062BFA" w:rsidRPr="004F6DAA">
        <w:rPr>
          <w:noProof/>
        </w:rPr>
        <w:t>szc</w:t>
      </w:r>
      <w:r w:rsidR="00F6614D" w:rsidRPr="004F6DAA">
        <w:rPr>
          <w:noProof/>
        </w:rPr>
        <w:t xml:space="preserve">zególności opartą na szczegółowych badaniach ocenę: </w:t>
      </w:r>
    </w:p>
    <w:p w14:paraId="4C4FCEB4" w14:textId="77777777" w:rsidR="00F6614D" w:rsidRPr="004F6DAA" w:rsidRDefault="00062BFA" w:rsidP="00062BFA">
      <w:pPr>
        <w:pStyle w:val="Point1"/>
        <w:rPr>
          <w:noProof/>
        </w:rPr>
      </w:pPr>
      <w:r w:rsidRPr="00062BFA">
        <w:rPr>
          <w:noProof/>
        </w:rPr>
        <w:t>a)</w:t>
      </w:r>
      <w:r w:rsidRPr="00062BFA">
        <w:rPr>
          <w:noProof/>
        </w:rPr>
        <w:tab/>
      </w:r>
      <w:r w:rsidR="00F6614D" w:rsidRPr="004F6DAA">
        <w:rPr>
          <w:noProof/>
        </w:rPr>
        <w:t>potrzeby</w:t>
      </w:r>
      <w:r w:rsidRPr="004F6DAA">
        <w:rPr>
          <w:noProof/>
        </w:rPr>
        <w:t xml:space="preserve"> i</w:t>
      </w:r>
      <w:r>
        <w:rPr>
          <w:noProof/>
        </w:rPr>
        <w:t> </w:t>
      </w:r>
      <w:r w:rsidRPr="004F6DAA">
        <w:rPr>
          <w:noProof/>
        </w:rPr>
        <w:t>wyk</w:t>
      </w:r>
      <w:r w:rsidR="00F6614D" w:rsidRPr="004F6DAA">
        <w:rPr>
          <w:noProof/>
        </w:rPr>
        <w:t>onalności dodatkowych ułatwień</w:t>
      </w:r>
      <w:r w:rsidRPr="004F6DAA">
        <w:rPr>
          <w:noProof/>
        </w:rPr>
        <w:t xml:space="preserve"> w</w:t>
      </w:r>
      <w:r>
        <w:rPr>
          <w:noProof/>
        </w:rPr>
        <w:t> </w:t>
      </w:r>
      <w:r w:rsidRPr="004F6DAA">
        <w:rPr>
          <w:noProof/>
        </w:rPr>
        <w:t>han</w:t>
      </w:r>
      <w:r w:rsidR="00F6614D" w:rsidRPr="004F6DAA">
        <w:rPr>
          <w:noProof/>
        </w:rPr>
        <w:t>dlu, aby wspierać osiąganie celów rozporządzenia</w:t>
      </w:r>
      <w:r w:rsidRPr="004F6DAA">
        <w:rPr>
          <w:i/>
          <w:iCs/>
          <w:noProof/>
        </w:rPr>
        <w:t xml:space="preserve"> </w:t>
      </w:r>
      <w:r w:rsidRPr="004F6DAA">
        <w:rPr>
          <w:noProof/>
        </w:rPr>
        <w:t>w</w:t>
      </w:r>
      <w:r>
        <w:rPr>
          <w:i/>
          <w:iCs/>
          <w:noProof/>
        </w:rPr>
        <w:t> </w:t>
      </w:r>
      <w:r w:rsidRPr="004F6DAA">
        <w:rPr>
          <w:noProof/>
        </w:rPr>
        <w:t>tym w</w:t>
      </w:r>
      <w:r>
        <w:rPr>
          <w:noProof/>
        </w:rPr>
        <w:t> </w:t>
      </w:r>
      <w:r w:rsidRPr="004F6DAA">
        <w:rPr>
          <w:noProof/>
        </w:rPr>
        <w:t>dro</w:t>
      </w:r>
      <w:r w:rsidR="00F6614D" w:rsidRPr="004F6DAA">
        <w:rPr>
          <w:noProof/>
        </w:rPr>
        <w:t>dze uznawania systemów certyfikacji;</w:t>
      </w:r>
    </w:p>
    <w:p w14:paraId="2CB9B751" w14:textId="77777777" w:rsidR="00F6614D" w:rsidRPr="004F6DAA" w:rsidRDefault="00062BFA" w:rsidP="00062BFA">
      <w:pPr>
        <w:pStyle w:val="Point1"/>
        <w:rPr>
          <w:noProof/>
          <w:szCs w:val="24"/>
        </w:rPr>
      </w:pPr>
      <w:r w:rsidRPr="00062BFA">
        <w:rPr>
          <w:noProof/>
        </w:rPr>
        <w:t>b)</w:t>
      </w:r>
      <w:r w:rsidRPr="00062BFA">
        <w:rPr>
          <w:noProof/>
        </w:rPr>
        <w:tab/>
      </w:r>
      <w:r w:rsidR="00F6614D" w:rsidRPr="004F6DAA">
        <w:rPr>
          <w:noProof/>
        </w:rPr>
        <w:t>wpływu rozporządzenia na rolników,</w:t>
      </w:r>
      <w:r w:rsidRPr="004F6DAA">
        <w:rPr>
          <w:noProof/>
        </w:rPr>
        <w:t xml:space="preserve"> w</w:t>
      </w:r>
      <w:r>
        <w:rPr>
          <w:noProof/>
        </w:rPr>
        <w:t> </w:t>
      </w:r>
      <w:r w:rsidRPr="004F6DAA">
        <w:rPr>
          <w:noProof/>
        </w:rPr>
        <w:t>szc</w:t>
      </w:r>
      <w:r w:rsidR="00F6614D" w:rsidRPr="004F6DAA">
        <w:rPr>
          <w:noProof/>
        </w:rPr>
        <w:t>zególności drobnych producentów rolnych, społeczności tubylcze</w:t>
      </w:r>
      <w:r w:rsidRPr="004F6DAA">
        <w:rPr>
          <w:noProof/>
        </w:rPr>
        <w:t xml:space="preserve"> i</w:t>
      </w:r>
      <w:r>
        <w:rPr>
          <w:noProof/>
        </w:rPr>
        <w:t> </w:t>
      </w:r>
      <w:r w:rsidRPr="004F6DAA">
        <w:rPr>
          <w:noProof/>
        </w:rPr>
        <w:t>lok</w:t>
      </w:r>
      <w:r w:rsidR="00F6614D" w:rsidRPr="004F6DAA">
        <w:rPr>
          <w:noProof/>
        </w:rPr>
        <w:t>alne oraz ewentualnej potrzeby dodatkowego wsparcia</w:t>
      </w:r>
      <w:r w:rsidRPr="004F6DAA">
        <w:rPr>
          <w:noProof/>
        </w:rPr>
        <w:t xml:space="preserve"> w</w:t>
      </w:r>
      <w:r>
        <w:rPr>
          <w:noProof/>
        </w:rPr>
        <w:t> </w:t>
      </w:r>
      <w:r w:rsidRPr="004F6DAA">
        <w:rPr>
          <w:noProof/>
        </w:rPr>
        <w:t>cel</w:t>
      </w:r>
      <w:r w:rsidR="00F6614D" w:rsidRPr="004F6DAA">
        <w:rPr>
          <w:noProof/>
        </w:rPr>
        <w:t>u przejścia na zrównoważone łańcuchy dostaw.</w:t>
      </w:r>
    </w:p>
    <w:p w14:paraId="6BBA75CA" w14:textId="77777777" w:rsidR="00F6614D" w:rsidRPr="004F6DAA" w:rsidRDefault="007B7EB7" w:rsidP="007B7EB7">
      <w:pPr>
        <w:pStyle w:val="ManualNumPar1"/>
        <w:rPr>
          <w:noProof/>
        </w:rPr>
      </w:pPr>
      <w:r w:rsidRPr="007B7EB7">
        <w:t>3.</w:t>
      </w:r>
      <w:r w:rsidRPr="007B7EB7">
        <w:tab/>
      </w:r>
      <w:r w:rsidR="00F6614D" w:rsidRPr="004F6DAA">
        <w:rPr>
          <w:noProof/>
        </w:rPr>
        <w:t xml:space="preserve">Bez uszczerbku dla ogólnego przeglądu na podstawie </w:t>
      </w:r>
      <w:r w:rsidR="00F6614D" w:rsidRPr="00062BFA">
        <w:rPr>
          <w:noProof/>
        </w:rPr>
        <w:t>ust.</w:t>
      </w:r>
      <w:r w:rsidR="00062BFA" w:rsidRPr="00062BFA">
        <w:rPr>
          <w:noProof/>
        </w:rPr>
        <w:t> </w:t>
      </w:r>
      <w:r w:rsidR="00F6614D" w:rsidRPr="00062BFA">
        <w:rPr>
          <w:noProof/>
        </w:rPr>
        <w:t>1</w:t>
      </w:r>
      <w:r w:rsidR="00F6614D" w:rsidRPr="004F6DAA">
        <w:rPr>
          <w:noProof/>
        </w:rPr>
        <w:t>, pierwszy przegląd załącznika I Komisja przeprowadzi nie później niż dwa lata po wejściu</w:t>
      </w:r>
      <w:r w:rsidR="00062BFA" w:rsidRPr="004F6DAA">
        <w:rPr>
          <w:noProof/>
        </w:rPr>
        <w:t xml:space="preserve"> w</w:t>
      </w:r>
      <w:r w:rsidR="00062BFA">
        <w:rPr>
          <w:noProof/>
        </w:rPr>
        <w:t> </w:t>
      </w:r>
      <w:r w:rsidR="00062BFA" w:rsidRPr="004F6DAA">
        <w:rPr>
          <w:noProof/>
        </w:rPr>
        <w:t>życ</w:t>
      </w:r>
      <w:r w:rsidR="00F6614D" w:rsidRPr="004F6DAA">
        <w:rPr>
          <w:noProof/>
        </w:rPr>
        <w:t>ie niniejszego rozporządzenia,</w:t>
      </w:r>
      <w:r w:rsidR="00062BFA" w:rsidRPr="004F6DAA">
        <w:rPr>
          <w:noProof/>
        </w:rPr>
        <w:t xml:space="preserve"> a</w:t>
      </w:r>
      <w:r w:rsidR="00062BFA">
        <w:rPr>
          <w:noProof/>
        </w:rPr>
        <w:t> </w:t>
      </w:r>
      <w:r w:rsidR="00062BFA" w:rsidRPr="004F6DAA">
        <w:rPr>
          <w:noProof/>
        </w:rPr>
        <w:t>nas</w:t>
      </w:r>
      <w:r w:rsidR="00F6614D" w:rsidRPr="004F6DAA">
        <w:rPr>
          <w:noProof/>
        </w:rPr>
        <w:t>tępnie</w:t>
      </w:r>
      <w:r w:rsidR="00062BFA" w:rsidRPr="004F6DAA">
        <w:rPr>
          <w:noProof/>
        </w:rPr>
        <w:t xml:space="preserve"> w</w:t>
      </w:r>
      <w:r w:rsidR="00062BFA">
        <w:rPr>
          <w:noProof/>
        </w:rPr>
        <w:t> </w:t>
      </w:r>
      <w:r w:rsidR="00062BFA" w:rsidRPr="004F6DAA">
        <w:rPr>
          <w:noProof/>
        </w:rPr>
        <w:t>reg</w:t>
      </w:r>
      <w:r w:rsidR="00F6614D" w:rsidRPr="004F6DAA">
        <w:rPr>
          <w:noProof/>
        </w:rPr>
        <w:t>ularnych odstępach czasu</w:t>
      </w:r>
      <w:r w:rsidR="00062BFA" w:rsidRPr="004F6DAA">
        <w:rPr>
          <w:noProof/>
        </w:rPr>
        <w:t xml:space="preserve"> w</w:t>
      </w:r>
      <w:r w:rsidR="00062BFA">
        <w:rPr>
          <w:noProof/>
        </w:rPr>
        <w:t> </w:t>
      </w:r>
      <w:r w:rsidR="00062BFA" w:rsidRPr="004F6DAA">
        <w:rPr>
          <w:noProof/>
        </w:rPr>
        <w:t>cel</w:t>
      </w:r>
      <w:r w:rsidR="00F6614D" w:rsidRPr="004F6DAA">
        <w:rPr>
          <w:noProof/>
        </w:rPr>
        <w:t>u oceny, czy należy zmienić lub rozszerzyć wykaz odnośnych produktów wymienionych</w:t>
      </w:r>
      <w:r w:rsidR="00062BFA" w:rsidRPr="004F6DAA">
        <w:rPr>
          <w:noProof/>
        </w:rPr>
        <w:t xml:space="preserve"> w</w:t>
      </w:r>
      <w:r w:rsidR="00062BFA">
        <w:rPr>
          <w:noProof/>
        </w:rPr>
        <w:t> </w:t>
      </w:r>
      <w:r w:rsidR="00062BFA" w:rsidRPr="004F6DAA">
        <w:rPr>
          <w:noProof/>
        </w:rPr>
        <w:t>zał</w:t>
      </w:r>
      <w:r w:rsidR="00F6614D" w:rsidRPr="004F6DAA">
        <w:rPr>
          <w:noProof/>
        </w:rPr>
        <w:t>ączniku I, aby zapewnić, że wszystkie produkty, które zawierają odnośne towary, były nimi karmione, lub zostały wytworzone przy ich użyciu, zostały uwzględnione</w:t>
      </w:r>
      <w:r w:rsidR="00062BFA" w:rsidRPr="004F6DAA">
        <w:rPr>
          <w:noProof/>
        </w:rPr>
        <w:t xml:space="preserve"> w</w:t>
      </w:r>
      <w:r w:rsidR="00062BFA">
        <w:rPr>
          <w:noProof/>
        </w:rPr>
        <w:t> </w:t>
      </w:r>
      <w:r w:rsidR="00062BFA" w:rsidRPr="004F6DAA">
        <w:rPr>
          <w:noProof/>
        </w:rPr>
        <w:t>tym</w:t>
      </w:r>
      <w:r w:rsidR="00F6614D" w:rsidRPr="004F6DAA">
        <w:rPr>
          <w:noProof/>
        </w:rPr>
        <w:t xml:space="preserve"> wykazie, chyba że popyt na te produkty ma znikomy wpływ na wylesianie. Przeglądy opierają się na ocenie wpływu odnośnych towarów</w:t>
      </w:r>
      <w:r w:rsidR="00062BFA" w:rsidRPr="004F6DAA">
        <w:rPr>
          <w:noProof/>
        </w:rPr>
        <w:t xml:space="preserve"> i</w:t>
      </w:r>
      <w:r w:rsidR="00062BFA">
        <w:rPr>
          <w:noProof/>
        </w:rPr>
        <w:t> </w:t>
      </w:r>
      <w:r w:rsidR="00062BFA" w:rsidRPr="004F6DAA">
        <w:rPr>
          <w:noProof/>
        </w:rPr>
        <w:t>pro</w:t>
      </w:r>
      <w:r w:rsidR="00F6614D" w:rsidRPr="004F6DAA">
        <w:rPr>
          <w:noProof/>
        </w:rPr>
        <w:t>duktów na wylesianie</w:t>
      </w:r>
      <w:r w:rsidR="00062BFA" w:rsidRPr="004F6DAA">
        <w:rPr>
          <w:noProof/>
        </w:rPr>
        <w:t xml:space="preserve"> i</w:t>
      </w:r>
      <w:r w:rsidR="00062BFA">
        <w:rPr>
          <w:noProof/>
        </w:rPr>
        <w:t> </w:t>
      </w:r>
      <w:r w:rsidR="00062BFA" w:rsidRPr="004F6DAA">
        <w:rPr>
          <w:noProof/>
        </w:rPr>
        <w:t>deg</w:t>
      </w:r>
      <w:r w:rsidR="00F6614D" w:rsidRPr="004F6DAA">
        <w:rPr>
          <w:noProof/>
        </w:rPr>
        <w:t>radację lasów oraz uwzględniają zmiany</w:t>
      </w:r>
      <w:r w:rsidR="00062BFA" w:rsidRPr="004F6DAA">
        <w:rPr>
          <w:noProof/>
        </w:rPr>
        <w:t xml:space="preserve"> w</w:t>
      </w:r>
      <w:r w:rsidR="00062BFA">
        <w:rPr>
          <w:noProof/>
        </w:rPr>
        <w:t> </w:t>
      </w:r>
      <w:r w:rsidR="00062BFA" w:rsidRPr="004F6DAA">
        <w:rPr>
          <w:noProof/>
        </w:rPr>
        <w:t>kon</w:t>
      </w:r>
      <w:r w:rsidR="00F6614D" w:rsidRPr="004F6DAA">
        <w:rPr>
          <w:noProof/>
        </w:rPr>
        <w:t>sumpcji, na które wskazują dowody naukowe.</w:t>
      </w:r>
    </w:p>
    <w:p w14:paraId="6B45BEA4" w14:textId="77777777" w:rsidR="00F6614D" w:rsidRPr="004F6DAA" w:rsidRDefault="007B7EB7" w:rsidP="007B7EB7">
      <w:pPr>
        <w:pStyle w:val="ManualNumPar1"/>
        <w:rPr>
          <w:noProof/>
        </w:rPr>
      </w:pPr>
      <w:r w:rsidRPr="007B7EB7">
        <w:t>4.</w:t>
      </w:r>
      <w:r w:rsidRPr="007B7EB7">
        <w:tab/>
      </w:r>
      <w:r w:rsidR="00F6614D" w:rsidRPr="004F6DAA">
        <w:rPr>
          <w:noProof/>
        </w:rPr>
        <w:t>W następstwie przeglądu określonego</w:t>
      </w:r>
      <w:r w:rsidR="00062BFA" w:rsidRPr="004F6DAA">
        <w:rPr>
          <w:noProof/>
        </w:rPr>
        <w:t xml:space="preserve"> w</w:t>
      </w:r>
      <w:r w:rsidR="00062BFA">
        <w:rPr>
          <w:noProof/>
        </w:rPr>
        <w:t> </w:t>
      </w:r>
      <w:r w:rsidR="00062BFA" w:rsidRPr="00062BFA">
        <w:rPr>
          <w:noProof/>
        </w:rPr>
        <w:t>ust</w:t>
      </w:r>
      <w:r w:rsidR="00F6614D" w:rsidRPr="00062BFA">
        <w:rPr>
          <w:noProof/>
        </w:rPr>
        <w:t>.</w:t>
      </w:r>
      <w:r w:rsidR="00062BFA" w:rsidRPr="00062BFA">
        <w:rPr>
          <w:noProof/>
        </w:rPr>
        <w:t> </w:t>
      </w:r>
      <w:r w:rsidR="00F6614D" w:rsidRPr="00062BFA">
        <w:rPr>
          <w:noProof/>
        </w:rPr>
        <w:t>3</w:t>
      </w:r>
      <w:r w:rsidR="00F6614D" w:rsidRPr="004F6DAA">
        <w:rPr>
          <w:noProof/>
        </w:rPr>
        <w:t xml:space="preserve"> Komisja może przyjąć akty delegowane zgodnie</w:t>
      </w:r>
      <w:r w:rsidR="00062BFA" w:rsidRPr="004F6DAA">
        <w:rPr>
          <w:noProof/>
        </w:rPr>
        <w:t xml:space="preserve"> z</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3</w:t>
      </w:r>
      <w:r w:rsidR="00F6614D" w:rsidRPr="004F6DAA">
        <w:rPr>
          <w:noProof/>
        </w:rPr>
        <w:t>3, aby zmienić załącznik I</w:t>
      </w:r>
      <w:r w:rsidR="00062BFA" w:rsidRPr="004F6DAA">
        <w:rPr>
          <w:noProof/>
        </w:rPr>
        <w:t xml:space="preserve"> w</w:t>
      </w:r>
      <w:r w:rsidR="00062BFA">
        <w:rPr>
          <w:noProof/>
        </w:rPr>
        <w:t> </w:t>
      </w:r>
      <w:r w:rsidR="00062BFA" w:rsidRPr="004F6DAA">
        <w:rPr>
          <w:noProof/>
        </w:rPr>
        <w:t>cel</w:t>
      </w:r>
      <w:r w:rsidR="00F6614D" w:rsidRPr="004F6DAA">
        <w:rPr>
          <w:noProof/>
        </w:rPr>
        <w:t>u włączenia odnośnych produktów, które zawierają odnośne towary lub zostały wytworzone</w:t>
      </w:r>
      <w:r w:rsidR="00062BFA" w:rsidRPr="004F6DAA">
        <w:rPr>
          <w:noProof/>
        </w:rPr>
        <w:t xml:space="preserve"> z</w:t>
      </w:r>
      <w:r w:rsidR="00062BFA">
        <w:rPr>
          <w:noProof/>
        </w:rPr>
        <w:t> </w:t>
      </w:r>
      <w:r w:rsidR="00062BFA" w:rsidRPr="004F6DAA">
        <w:rPr>
          <w:noProof/>
        </w:rPr>
        <w:t>wyk</w:t>
      </w:r>
      <w:r w:rsidR="00F6614D" w:rsidRPr="004F6DAA">
        <w:rPr>
          <w:noProof/>
        </w:rPr>
        <w:t>orzystaniem istotnych towarów.</w:t>
      </w:r>
    </w:p>
    <w:p w14:paraId="6DAF87F2" w14:textId="77777777" w:rsidR="00F6614D" w:rsidRPr="004F6DAA" w:rsidRDefault="00F6614D" w:rsidP="006E17BA">
      <w:pPr>
        <w:rPr>
          <w:noProof/>
        </w:rPr>
      </w:pPr>
    </w:p>
    <w:p w14:paraId="01FF3E30" w14:textId="77777777" w:rsidR="009A63D5" w:rsidRPr="004F6DAA" w:rsidRDefault="00F6614D" w:rsidP="009A63D5">
      <w:pPr>
        <w:pStyle w:val="ChapterTitle"/>
        <w:rPr>
          <w:noProof/>
        </w:rPr>
      </w:pPr>
      <w:r w:rsidRPr="004F6DAA">
        <w:rPr>
          <w:noProof/>
        </w:rPr>
        <w:t>Rozdział 9</w:t>
      </w:r>
    </w:p>
    <w:p w14:paraId="380160E0" w14:textId="77777777" w:rsidR="00F6614D" w:rsidRPr="004F6DAA" w:rsidRDefault="00F6614D" w:rsidP="009A63D5">
      <w:pPr>
        <w:pStyle w:val="ChapterTitle"/>
        <w:rPr>
          <w:i/>
          <w:noProof/>
        </w:rPr>
      </w:pPr>
      <w:r w:rsidRPr="004F6DAA">
        <w:rPr>
          <w:noProof/>
        </w:rPr>
        <w:t>Przepisy końcowe</w:t>
      </w:r>
    </w:p>
    <w:p w14:paraId="27EE3603" w14:textId="77777777" w:rsidR="00CF4A1A" w:rsidRPr="004F6DAA" w:rsidRDefault="00F6614D" w:rsidP="00CF4A1A">
      <w:pPr>
        <w:pStyle w:val="Titrearticle"/>
        <w:rPr>
          <w:noProof/>
        </w:rPr>
      </w:pPr>
      <w:r w:rsidRPr="004F6DAA">
        <w:rPr>
          <w:noProof/>
        </w:rPr>
        <w:t>Artykuł 33</w:t>
      </w:r>
    </w:p>
    <w:p w14:paraId="789AEA40" w14:textId="77777777" w:rsidR="00F6614D" w:rsidRPr="004F6DAA" w:rsidRDefault="00F6614D" w:rsidP="00CF4A1A">
      <w:pPr>
        <w:pStyle w:val="Sous-titreobjet"/>
        <w:rPr>
          <w:noProof/>
        </w:rPr>
      </w:pPr>
      <w:r w:rsidRPr="004F6DAA">
        <w:rPr>
          <w:noProof/>
        </w:rPr>
        <w:t>Wykonywanie przekazanych uprawnień</w:t>
      </w:r>
    </w:p>
    <w:p w14:paraId="6A199F4B" w14:textId="77777777" w:rsidR="00F6614D" w:rsidRPr="004F6DAA" w:rsidRDefault="007B7EB7" w:rsidP="007B7EB7">
      <w:pPr>
        <w:pStyle w:val="ManualNumPar1"/>
        <w:rPr>
          <w:noProof/>
        </w:rPr>
      </w:pPr>
      <w:r w:rsidRPr="007B7EB7">
        <w:t>1.</w:t>
      </w:r>
      <w:r w:rsidRPr="007B7EB7">
        <w:tab/>
      </w:r>
      <w:r w:rsidR="00F6614D" w:rsidRPr="004F6DAA">
        <w:rPr>
          <w:noProof/>
        </w:rPr>
        <w:t>Powierzenie Komisji uprawnień do przyjmowania aktów delegowanych podlega warunkom określonym</w:t>
      </w:r>
      <w:r w:rsidR="00062BFA" w:rsidRPr="004F6DAA">
        <w:rPr>
          <w:noProof/>
        </w:rPr>
        <w:t xml:space="preserve"> w</w:t>
      </w:r>
      <w:r w:rsidR="00062BFA">
        <w:rPr>
          <w:noProof/>
        </w:rPr>
        <w:t> </w:t>
      </w:r>
      <w:r w:rsidR="00062BFA" w:rsidRPr="004F6DAA">
        <w:rPr>
          <w:noProof/>
        </w:rPr>
        <w:t>nin</w:t>
      </w:r>
      <w:r w:rsidR="00F6614D" w:rsidRPr="004F6DAA">
        <w:rPr>
          <w:noProof/>
        </w:rPr>
        <w:t>iejszym artykule.</w:t>
      </w:r>
    </w:p>
    <w:p w14:paraId="7400FECC" w14:textId="77777777" w:rsidR="00F6614D" w:rsidRPr="004F6DAA" w:rsidRDefault="007B7EB7" w:rsidP="007B7EB7">
      <w:pPr>
        <w:pStyle w:val="ManualNumPar1"/>
        <w:rPr>
          <w:noProof/>
        </w:rPr>
      </w:pPr>
      <w:r w:rsidRPr="007B7EB7">
        <w:t>2.</w:t>
      </w:r>
      <w:r w:rsidRPr="007B7EB7">
        <w:tab/>
      </w:r>
      <w:r w:rsidR="00F6614D" w:rsidRPr="004F6DAA">
        <w:rPr>
          <w:noProof/>
        </w:rPr>
        <w:t>Uprawnienia do przyjmowania aktów delegowanych,</w:t>
      </w:r>
      <w:r w:rsidR="00062BFA" w:rsidRPr="004F6DAA">
        <w:rPr>
          <w:noProof/>
        </w:rPr>
        <w:t xml:space="preserve"> o</w:t>
      </w:r>
      <w:r w:rsidR="00062BFA">
        <w:rPr>
          <w:noProof/>
        </w:rPr>
        <w:t> </w:t>
      </w:r>
      <w:r w:rsidR="00062BFA" w:rsidRPr="004F6DAA">
        <w:rPr>
          <w:noProof/>
        </w:rPr>
        <w:t>któ</w:t>
      </w:r>
      <w:r w:rsidR="00F6614D" w:rsidRPr="004F6DAA">
        <w:rPr>
          <w:noProof/>
        </w:rPr>
        <w:t>rych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9</w:t>
      </w:r>
      <w:r w:rsidR="00F6614D" w:rsidRPr="004F6DAA">
        <w:rPr>
          <w:noProof/>
        </w:rPr>
        <w:t xml:space="preserve"> </w:t>
      </w:r>
      <w:r w:rsidR="00F6614D" w:rsidRPr="00062BFA">
        <w:rPr>
          <w:noProof/>
        </w:rPr>
        <w:t>ust.</w:t>
      </w:r>
      <w:r w:rsidR="00062BFA" w:rsidRPr="00062BFA">
        <w:rPr>
          <w:noProof/>
        </w:rPr>
        <w:t> </w:t>
      </w:r>
      <w:r w:rsidR="00F6614D" w:rsidRPr="00062BFA">
        <w:rPr>
          <w:noProof/>
        </w:rPr>
        <w:t>3</w:t>
      </w:r>
      <w:r w:rsidR="00F6614D" w:rsidRPr="004F6DAA">
        <w:rPr>
          <w:noProof/>
        </w:rPr>
        <w:t xml:space="preserve">, </w:t>
      </w:r>
      <w:r w:rsidR="00F6614D" w:rsidRPr="00062BFA">
        <w:rPr>
          <w:noProof/>
        </w:rPr>
        <w:t>art.</w:t>
      </w:r>
      <w:r w:rsidR="00062BFA" w:rsidRPr="00062BFA">
        <w:rPr>
          <w:noProof/>
        </w:rPr>
        <w:t> </w:t>
      </w:r>
      <w:r w:rsidR="00F6614D" w:rsidRPr="00062BFA">
        <w:rPr>
          <w:noProof/>
        </w:rPr>
        <w:t>1</w:t>
      </w:r>
      <w:r w:rsidR="00F6614D" w:rsidRPr="004F6DAA">
        <w:rPr>
          <w:noProof/>
        </w:rPr>
        <w:t xml:space="preserve">0 </w:t>
      </w:r>
      <w:r w:rsidR="00F6614D" w:rsidRPr="00062BFA">
        <w:rPr>
          <w:noProof/>
        </w:rPr>
        <w:t>ust.</w:t>
      </w:r>
      <w:r w:rsidR="00062BFA" w:rsidRPr="00062BFA">
        <w:rPr>
          <w:noProof/>
        </w:rPr>
        <w:t> </w:t>
      </w:r>
      <w:r w:rsidR="00F6614D" w:rsidRPr="00062BFA">
        <w:rPr>
          <w:noProof/>
        </w:rPr>
        <w:t>8</w:t>
      </w:r>
      <w:r w:rsidR="00F6614D" w:rsidRPr="004F6DAA">
        <w:rPr>
          <w:noProof/>
        </w:rPr>
        <w:t xml:space="preserve"> oraz </w:t>
      </w:r>
      <w:r w:rsidR="00F6614D" w:rsidRPr="00062BFA">
        <w:rPr>
          <w:noProof/>
        </w:rPr>
        <w:t>art.</w:t>
      </w:r>
      <w:r w:rsidR="00062BFA" w:rsidRPr="00062BFA">
        <w:rPr>
          <w:noProof/>
        </w:rPr>
        <w:t> </w:t>
      </w:r>
      <w:r w:rsidR="00F6614D" w:rsidRPr="00062BFA">
        <w:rPr>
          <w:noProof/>
        </w:rPr>
        <w:t>3</w:t>
      </w:r>
      <w:r w:rsidR="00F6614D" w:rsidRPr="004F6DAA">
        <w:rPr>
          <w:noProof/>
        </w:rPr>
        <w:t xml:space="preserve">2 </w:t>
      </w:r>
      <w:r w:rsidR="00F6614D" w:rsidRPr="00062BFA">
        <w:rPr>
          <w:noProof/>
        </w:rPr>
        <w:t>ust.</w:t>
      </w:r>
      <w:r w:rsidR="00062BFA" w:rsidRPr="00062BFA">
        <w:rPr>
          <w:noProof/>
        </w:rPr>
        <w:t> </w:t>
      </w:r>
      <w:r w:rsidR="00F6614D" w:rsidRPr="00062BFA">
        <w:rPr>
          <w:noProof/>
        </w:rPr>
        <w:t>4</w:t>
      </w:r>
      <w:r w:rsidR="00F6614D" w:rsidRPr="004F6DAA">
        <w:rPr>
          <w:noProof/>
        </w:rPr>
        <w:t>, powierza się Komisji na okres 5 lat od dnia [dd/mm/rr] r. Komisja sporządza sprawozdanie dotyczące przekazania uprawnień nie później niż 6 miesięcy przed końcem tego pięcioletniego okresu. Przekazanie uprawnień zostaje automatycznie przedłużone na takie same okresy, chyba że Parlament Europejski lub Rada sprzeciwią się takiemu przedłużeniu nie później niż trzy miesiące przed końcem każdego okresu.</w:t>
      </w:r>
    </w:p>
    <w:p w14:paraId="653BD04B" w14:textId="77777777" w:rsidR="00F6614D" w:rsidRPr="004F6DAA" w:rsidRDefault="007B7EB7" w:rsidP="007B7EB7">
      <w:pPr>
        <w:pStyle w:val="ManualNumPar1"/>
        <w:rPr>
          <w:noProof/>
        </w:rPr>
      </w:pPr>
      <w:r w:rsidRPr="007B7EB7">
        <w:t>3.</w:t>
      </w:r>
      <w:r w:rsidRPr="007B7EB7">
        <w:tab/>
      </w:r>
      <w:r w:rsidR="00F6614D" w:rsidRPr="004F6DAA">
        <w:rPr>
          <w:noProof/>
        </w:rPr>
        <w:t>Przekazanie uprawnień,</w:t>
      </w:r>
      <w:r w:rsidR="00062BFA" w:rsidRPr="004F6DAA">
        <w:rPr>
          <w:noProof/>
        </w:rPr>
        <w:t xml:space="preserve"> o</w:t>
      </w:r>
      <w:r w:rsidR="00062BFA">
        <w:rPr>
          <w:noProof/>
        </w:rPr>
        <w:t> </w:t>
      </w:r>
      <w:r w:rsidR="00062BFA" w:rsidRPr="004F6DAA">
        <w:rPr>
          <w:noProof/>
        </w:rPr>
        <w:t>któ</w:t>
      </w:r>
      <w:r w:rsidR="00F6614D" w:rsidRPr="004F6DAA">
        <w:rPr>
          <w:noProof/>
        </w:rPr>
        <w:t>rym mowa</w:t>
      </w:r>
      <w:r w:rsidR="00062BFA" w:rsidRPr="004F6DAA">
        <w:rPr>
          <w:noProof/>
        </w:rPr>
        <w:t xml:space="preserve"> w</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9</w:t>
      </w:r>
      <w:r w:rsidR="00F6614D" w:rsidRPr="004F6DAA">
        <w:rPr>
          <w:noProof/>
        </w:rPr>
        <w:t xml:space="preserve"> </w:t>
      </w:r>
      <w:r w:rsidR="00F6614D" w:rsidRPr="00062BFA">
        <w:rPr>
          <w:noProof/>
        </w:rPr>
        <w:t>ust.</w:t>
      </w:r>
      <w:r w:rsidR="00062BFA" w:rsidRPr="00062BFA">
        <w:rPr>
          <w:noProof/>
        </w:rPr>
        <w:t> </w:t>
      </w:r>
      <w:r w:rsidR="00F6614D" w:rsidRPr="00062BFA">
        <w:rPr>
          <w:noProof/>
        </w:rPr>
        <w:t>3</w:t>
      </w:r>
      <w:r w:rsidR="00F6614D" w:rsidRPr="004F6DAA">
        <w:rPr>
          <w:noProof/>
        </w:rPr>
        <w:t xml:space="preserve">, </w:t>
      </w:r>
      <w:r w:rsidR="00F6614D" w:rsidRPr="00062BFA">
        <w:rPr>
          <w:noProof/>
        </w:rPr>
        <w:t>art.</w:t>
      </w:r>
      <w:r w:rsidR="00062BFA" w:rsidRPr="00062BFA">
        <w:rPr>
          <w:noProof/>
        </w:rPr>
        <w:t> </w:t>
      </w:r>
      <w:r w:rsidR="00F6614D" w:rsidRPr="00062BFA">
        <w:rPr>
          <w:noProof/>
        </w:rPr>
        <w:t>1</w:t>
      </w:r>
      <w:r w:rsidR="00F6614D" w:rsidRPr="004F6DAA">
        <w:rPr>
          <w:noProof/>
        </w:rPr>
        <w:t xml:space="preserve">0 </w:t>
      </w:r>
      <w:r w:rsidR="00F6614D" w:rsidRPr="00062BFA">
        <w:rPr>
          <w:noProof/>
        </w:rPr>
        <w:t>ust.</w:t>
      </w:r>
      <w:r w:rsidR="00062BFA" w:rsidRPr="00062BFA">
        <w:rPr>
          <w:noProof/>
        </w:rPr>
        <w:t> </w:t>
      </w:r>
      <w:r w:rsidR="00F6614D" w:rsidRPr="00062BFA">
        <w:rPr>
          <w:noProof/>
        </w:rPr>
        <w:t>8</w:t>
      </w:r>
      <w:r w:rsidR="00F6614D" w:rsidRPr="004F6DAA">
        <w:rPr>
          <w:noProof/>
        </w:rPr>
        <w:t xml:space="preserve"> oraz </w:t>
      </w:r>
      <w:r w:rsidR="00F6614D" w:rsidRPr="00062BFA">
        <w:rPr>
          <w:noProof/>
        </w:rPr>
        <w:t>art.</w:t>
      </w:r>
      <w:r w:rsidR="00062BFA" w:rsidRPr="00062BFA">
        <w:rPr>
          <w:noProof/>
        </w:rPr>
        <w:t> </w:t>
      </w:r>
      <w:r w:rsidR="00F6614D" w:rsidRPr="00062BFA">
        <w:rPr>
          <w:noProof/>
        </w:rPr>
        <w:t>3</w:t>
      </w:r>
      <w:r w:rsidR="00F6614D" w:rsidRPr="004F6DAA">
        <w:rPr>
          <w:noProof/>
        </w:rPr>
        <w:t xml:space="preserve">2 </w:t>
      </w:r>
      <w:r w:rsidR="00F6614D" w:rsidRPr="00062BFA">
        <w:rPr>
          <w:noProof/>
        </w:rPr>
        <w:t>ust.</w:t>
      </w:r>
      <w:r w:rsidR="00062BFA" w:rsidRPr="00062BFA">
        <w:rPr>
          <w:noProof/>
        </w:rPr>
        <w:t> </w:t>
      </w:r>
      <w:r w:rsidR="00F6614D" w:rsidRPr="00062BFA">
        <w:rPr>
          <w:noProof/>
        </w:rPr>
        <w:t>4</w:t>
      </w:r>
      <w:r w:rsidR="00F6614D" w:rsidRPr="004F6DAA">
        <w:rPr>
          <w:noProof/>
        </w:rPr>
        <w:t>, może zostać</w:t>
      </w:r>
      <w:r w:rsidR="00062BFA" w:rsidRPr="004F6DAA">
        <w:rPr>
          <w:noProof/>
        </w:rPr>
        <w:t xml:space="preserve"> w</w:t>
      </w:r>
      <w:r w:rsidR="00062BFA">
        <w:rPr>
          <w:noProof/>
        </w:rPr>
        <w:t> </w:t>
      </w:r>
      <w:r w:rsidR="00062BFA" w:rsidRPr="004F6DAA">
        <w:rPr>
          <w:noProof/>
        </w:rPr>
        <w:t>dow</w:t>
      </w:r>
      <w:r w:rsidR="00F6614D" w:rsidRPr="004F6DAA">
        <w:rPr>
          <w:noProof/>
        </w:rPr>
        <w:t>olnym momencie odwołane przez Parlament Europejski lub przez Radę. Decyzja</w:t>
      </w:r>
      <w:r w:rsidR="00062BFA" w:rsidRPr="004F6DAA">
        <w:rPr>
          <w:noProof/>
        </w:rPr>
        <w:t xml:space="preserve"> o</w:t>
      </w:r>
      <w:r w:rsidR="00062BFA">
        <w:rPr>
          <w:noProof/>
        </w:rPr>
        <w:t> </w:t>
      </w:r>
      <w:r w:rsidR="00062BFA" w:rsidRPr="004F6DAA">
        <w:rPr>
          <w:noProof/>
        </w:rPr>
        <w:t>odw</w:t>
      </w:r>
      <w:r w:rsidR="00F6614D" w:rsidRPr="004F6DAA">
        <w:rPr>
          <w:noProof/>
        </w:rPr>
        <w:t>ołaniu kończy przekazanie określonych</w:t>
      </w:r>
      <w:r w:rsidR="00062BFA" w:rsidRPr="004F6DAA">
        <w:rPr>
          <w:noProof/>
        </w:rPr>
        <w:t xml:space="preserve"> w</w:t>
      </w:r>
      <w:r w:rsidR="00062BFA">
        <w:rPr>
          <w:noProof/>
        </w:rPr>
        <w:t> </w:t>
      </w:r>
      <w:r w:rsidR="00062BFA" w:rsidRPr="004F6DAA">
        <w:rPr>
          <w:noProof/>
        </w:rPr>
        <w:t>nie</w:t>
      </w:r>
      <w:r w:rsidR="00F6614D" w:rsidRPr="004F6DAA">
        <w:rPr>
          <w:noProof/>
        </w:rPr>
        <w:t>j uprawnień. Decyzja</w:t>
      </w:r>
      <w:r w:rsidR="00062BFA" w:rsidRPr="004F6DAA">
        <w:rPr>
          <w:noProof/>
        </w:rPr>
        <w:t xml:space="preserve"> o</w:t>
      </w:r>
      <w:r w:rsidR="00062BFA">
        <w:rPr>
          <w:noProof/>
        </w:rPr>
        <w:t> </w:t>
      </w:r>
      <w:r w:rsidR="00062BFA" w:rsidRPr="004F6DAA">
        <w:rPr>
          <w:noProof/>
        </w:rPr>
        <w:t>odw</w:t>
      </w:r>
      <w:r w:rsidR="00F6614D" w:rsidRPr="004F6DAA">
        <w:rPr>
          <w:noProof/>
        </w:rPr>
        <w:t>ołaniu staje się skuteczna następnego dnia po jej opublikowaniu</w:t>
      </w:r>
      <w:r w:rsidR="00062BFA" w:rsidRPr="004F6DAA">
        <w:rPr>
          <w:noProof/>
        </w:rPr>
        <w:t xml:space="preserve"> w</w:t>
      </w:r>
      <w:r w:rsidR="00062BFA">
        <w:rPr>
          <w:noProof/>
        </w:rPr>
        <w:t> </w:t>
      </w:r>
      <w:r w:rsidR="00062BFA" w:rsidRPr="004F6DAA">
        <w:rPr>
          <w:i/>
          <w:iCs/>
          <w:noProof/>
        </w:rPr>
        <w:t>Dzi</w:t>
      </w:r>
      <w:r w:rsidR="00F6614D" w:rsidRPr="004F6DAA">
        <w:rPr>
          <w:i/>
          <w:iCs/>
          <w:noProof/>
        </w:rPr>
        <w:t>enniku Urzędowym Unii Europejskiej</w:t>
      </w:r>
      <w:r w:rsidR="00F6614D" w:rsidRPr="004F6DAA">
        <w:rPr>
          <w:noProof/>
        </w:rPr>
        <w:t xml:space="preserve"> lub</w:t>
      </w:r>
      <w:r w:rsidR="00062BFA" w:rsidRPr="004F6DAA">
        <w:rPr>
          <w:noProof/>
        </w:rPr>
        <w:t xml:space="preserve"> w</w:t>
      </w:r>
      <w:r w:rsidR="00062BFA">
        <w:rPr>
          <w:noProof/>
        </w:rPr>
        <w:t> </w:t>
      </w:r>
      <w:r w:rsidR="00062BFA" w:rsidRPr="004F6DAA">
        <w:rPr>
          <w:noProof/>
        </w:rPr>
        <w:t>okr</w:t>
      </w:r>
      <w:r w:rsidR="00F6614D" w:rsidRPr="004F6DAA">
        <w:rPr>
          <w:noProof/>
        </w:rPr>
        <w:t>eślonym</w:t>
      </w:r>
      <w:r w:rsidR="00062BFA" w:rsidRPr="004F6DAA">
        <w:rPr>
          <w:noProof/>
        </w:rPr>
        <w:t xml:space="preserve"> w</w:t>
      </w:r>
      <w:r w:rsidR="00062BFA">
        <w:rPr>
          <w:noProof/>
        </w:rPr>
        <w:t> </w:t>
      </w:r>
      <w:r w:rsidR="00062BFA" w:rsidRPr="004F6DAA">
        <w:rPr>
          <w:noProof/>
        </w:rPr>
        <w:t>tej</w:t>
      </w:r>
      <w:r w:rsidR="00F6614D" w:rsidRPr="004F6DAA">
        <w:rPr>
          <w:noProof/>
        </w:rPr>
        <w:t xml:space="preserve"> decyzji późniejszym terminie. Nie wpływa ona na ważność już obowiązujących aktów delegowanych.</w:t>
      </w:r>
    </w:p>
    <w:p w14:paraId="42B2B493" w14:textId="77777777" w:rsidR="00F6614D" w:rsidRPr="004F6DAA" w:rsidRDefault="007B7EB7" w:rsidP="007B7EB7">
      <w:pPr>
        <w:pStyle w:val="ManualNumPar1"/>
        <w:rPr>
          <w:noProof/>
        </w:rPr>
      </w:pPr>
      <w:r w:rsidRPr="007B7EB7">
        <w:t>4.</w:t>
      </w:r>
      <w:r w:rsidRPr="007B7EB7">
        <w:tab/>
      </w:r>
      <w:r w:rsidR="00F6614D" w:rsidRPr="004F6DAA">
        <w:rPr>
          <w:noProof/>
        </w:rPr>
        <w:t>Przed przyjęciem aktu delegowanego Komisja konsultuje się</w:t>
      </w:r>
      <w:r w:rsidR="00062BFA" w:rsidRPr="004F6DAA">
        <w:rPr>
          <w:noProof/>
        </w:rPr>
        <w:t xml:space="preserve"> z</w:t>
      </w:r>
      <w:r w:rsidR="00062BFA">
        <w:rPr>
          <w:noProof/>
        </w:rPr>
        <w:t> </w:t>
      </w:r>
      <w:r w:rsidR="00062BFA" w:rsidRPr="004F6DAA">
        <w:rPr>
          <w:noProof/>
        </w:rPr>
        <w:t>eks</w:t>
      </w:r>
      <w:r w:rsidR="00F6614D" w:rsidRPr="004F6DAA">
        <w:rPr>
          <w:noProof/>
        </w:rPr>
        <w:t>pertami wyznaczonymi przez każde państwo członkowskie zgodnie</w:t>
      </w:r>
      <w:r w:rsidR="00062BFA" w:rsidRPr="004F6DAA">
        <w:rPr>
          <w:noProof/>
        </w:rPr>
        <w:t xml:space="preserve"> z</w:t>
      </w:r>
      <w:r w:rsidR="00062BFA">
        <w:rPr>
          <w:noProof/>
        </w:rPr>
        <w:t> </w:t>
      </w:r>
      <w:r w:rsidR="00062BFA" w:rsidRPr="004F6DAA">
        <w:rPr>
          <w:noProof/>
        </w:rPr>
        <w:t>zas</w:t>
      </w:r>
      <w:r w:rsidR="00F6614D" w:rsidRPr="004F6DAA">
        <w:rPr>
          <w:noProof/>
        </w:rPr>
        <w:t>adami określonymi</w:t>
      </w:r>
      <w:r w:rsidR="00062BFA" w:rsidRPr="004F6DAA">
        <w:rPr>
          <w:noProof/>
        </w:rPr>
        <w:t xml:space="preserve"> w</w:t>
      </w:r>
      <w:r w:rsidR="00062BFA">
        <w:rPr>
          <w:noProof/>
        </w:rPr>
        <w:t> </w:t>
      </w:r>
      <w:r w:rsidR="00062BFA" w:rsidRPr="004F6DAA">
        <w:rPr>
          <w:noProof/>
        </w:rPr>
        <w:t>Por</w:t>
      </w:r>
      <w:r w:rsidR="00F6614D" w:rsidRPr="004F6DAA">
        <w:rPr>
          <w:noProof/>
        </w:rPr>
        <w:t>ozumieniu międzyinstytucjonalnym</w:t>
      </w:r>
      <w:r w:rsidR="00062BFA" w:rsidRPr="004F6DAA">
        <w:rPr>
          <w:noProof/>
        </w:rPr>
        <w:t xml:space="preserve"> z</w:t>
      </w:r>
      <w:r w:rsidR="00062BFA">
        <w:rPr>
          <w:noProof/>
        </w:rPr>
        <w:t> </w:t>
      </w:r>
      <w:r w:rsidR="00062BFA" w:rsidRPr="004F6DAA">
        <w:rPr>
          <w:noProof/>
        </w:rPr>
        <w:t>dni</w:t>
      </w:r>
      <w:r w:rsidR="00F6614D" w:rsidRPr="004F6DAA">
        <w:rPr>
          <w:noProof/>
        </w:rPr>
        <w:t>a 13 kwietnia 20</w:t>
      </w:r>
      <w:r w:rsidR="00F6614D" w:rsidRPr="00062BFA">
        <w:rPr>
          <w:noProof/>
        </w:rPr>
        <w:t>16</w:t>
      </w:r>
      <w:r w:rsidR="00062BFA" w:rsidRPr="00062BFA">
        <w:rPr>
          <w:noProof/>
        </w:rPr>
        <w:t> </w:t>
      </w:r>
      <w:r w:rsidR="00F6614D" w:rsidRPr="00062BFA">
        <w:rPr>
          <w:noProof/>
        </w:rPr>
        <w:t>r.</w:t>
      </w:r>
      <w:r w:rsidR="00062BFA" w:rsidRPr="004F6DAA">
        <w:rPr>
          <w:noProof/>
        </w:rPr>
        <w:t xml:space="preserve"> w</w:t>
      </w:r>
      <w:r w:rsidR="00062BFA">
        <w:rPr>
          <w:noProof/>
        </w:rPr>
        <w:t> </w:t>
      </w:r>
      <w:r w:rsidR="00062BFA" w:rsidRPr="004F6DAA">
        <w:rPr>
          <w:noProof/>
        </w:rPr>
        <w:t>spr</w:t>
      </w:r>
      <w:r w:rsidR="00F6614D" w:rsidRPr="004F6DAA">
        <w:rPr>
          <w:noProof/>
        </w:rPr>
        <w:t>awie lepszego stanowienia prawa.</w:t>
      </w:r>
    </w:p>
    <w:p w14:paraId="5CC63162" w14:textId="77777777" w:rsidR="00F6614D" w:rsidRPr="004F6DAA" w:rsidRDefault="007B7EB7" w:rsidP="007B7EB7">
      <w:pPr>
        <w:pStyle w:val="ManualNumPar1"/>
        <w:rPr>
          <w:noProof/>
        </w:rPr>
      </w:pPr>
      <w:r w:rsidRPr="007B7EB7">
        <w:t>5.</w:t>
      </w:r>
      <w:r w:rsidRPr="007B7EB7">
        <w:tab/>
      </w:r>
      <w:r w:rsidR="00F6614D" w:rsidRPr="004F6DAA">
        <w:rPr>
          <w:noProof/>
        </w:rPr>
        <w:t>Niezwłocznie po przyjęciu aktu delegowanego Komisja przekazuje go równocześnie Parlamentowi Europejskiemu</w:t>
      </w:r>
      <w:r w:rsidR="00062BFA" w:rsidRPr="004F6DAA">
        <w:rPr>
          <w:noProof/>
        </w:rPr>
        <w:t xml:space="preserve"> i</w:t>
      </w:r>
      <w:r w:rsidR="00062BFA">
        <w:rPr>
          <w:noProof/>
        </w:rPr>
        <w:t> </w:t>
      </w:r>
      <w:r w:rsidR="00062BFA" w:rsidRPr="004F6DAA">
        <w:rPr>
          <w:noProof/>
        </w:rPr>
        <w:t>Rad</w:t>
      </w:r>
      <w:r w:rsidR="00F6614D" w:rsidRPr="004F6DAA">
        <w:rPr>
          <w:noProof/>
        </w:rPr>
        <w:t>zie.</w:t>
      </w:r>
    </w:p>
    <w:p w14:paraId="3A616F78" w14:textId="77777777" w:rsidR="00F6614D" w:rsidRPr="004F6DAA" w:rsidRDefault="007B7EB7" w:rsidP="007B7EB7">
      <w:pPr>
        <w:pStyle w:val="ManualNumPar1"/>
        <w:rPr>
          <w:noProof/>
        </w:rPr>
      </w:pPr>
      <w:r w:rsidRPr="007B7EB7">
        <w:t>6.</w:t>
      </w:r>
      <w:r w:rsidRPr="007B7EB7">
        <w:tab/>
      </w:r>
      <w:r w:rsidR="00F6614D" w:rsidRPr="004F6DAA">
        <w:rPr>
          <w:noProof/>
        </w:rPr>
        <w:t xml:space="preserve">Akt delegowany przyjęty na podstawie </w:t>
      </w:r>
      <w:r w:rsidR="00F6614D" w:rsidRPr="00062BFA">
        <w:rPr>
          <w:noProof/>
        </w:rPr>
        <w:t>art.</w:t>
      </w:r>
      <w:r w:rsidR="00062BFA" w:rsidRPr="00062BFA">
        <w:rPr>
          <w:noProof/>
        </w:rPr>
        <w:t> </w:t>
      </w:r>
      <w:r w:rsidR="00F6614D" w:rsidRPr="00062BFA">
        <w:rPr>
          <w:noProof/>
        </w:rPr>
        <w:t>9</w:t>
      </w:r>
      <w:r w:rsidR="00F6614D" w:rsidRPr="004F6DAA">
        <w:rPr>
          <w:noProof/>
        </w:rPr>
        <w:t xml:space="preserve"> </w:t>
      </w:r>
      <w:r w:rsidR="00F6614D" w:rsidRPr="00062BFA">
        <w:rPr>
          <w:noProof/>
        </w:rPr>
        <w:t>ust.</w:t>
      </w:r>
      <w:r w:rsidR="00062BFA" w:rsidRPr="00062BFA">
        <w:rPr>
          <w:noProof/>
        </w:rPr>
        <w:t> </w:t>
      </w:r>
      <w:r w:rsidR="00F6614D" w:rsidRPr="00062BFA">
        <w:rPr>
          <w:noProof/>
        </w:rPr>
        <w:t>3</w:t>
      </w:r>
      <w:r w:rsidR="00F6614D" w:rsidRPr="004F6DAA">
        <w:rPr>
          <w:noProof/>
        </w:rPr>
        <w:t xml:space="preserve">, </w:t>
      </w:r>
      <w:r w:rsidR="00F6614D" w:rsidRPr="00062BFA">
        <w:rPr>
          <w:noProof/>
        </w:rPr>
        <w:t>art.</w:t>
      </w:r>
      <w:r w:rsidR="00062BFA" w:rsidRPr="00062BFA">
        <w:rPr>
          <w:noProof/>
        </w:rPr>
        <w:t> </w:t>
      </w:r>
      <w:r w:rsidR="00F6614D" w:rsidRPr="00062BFA">
        <w:rPr>
          <w:noProof/>
        </w:rPr>
        <w:t>1</w:t>
      </w:r>
      <w:r w:rsidR="00F6614D" w:rsidRPr="004F6DAA">
        <w:rPr>
          <w:noProof/>
        </w:rPr>
        <w:t xml:space="preserve">0 </w:t>
      </w:r>
      <w:r w:rsidR="00F6614D" w:rsidRPr="00062BFA">
        <w:rPr>
          <w:noProof/>
        </w:rPr>
        <w:t>ust.</w:t>
      </w:r>
      <w:r w:rsidR="00062BFA" w:rsidRPr="00062BFA">
        <w:rPr>
          <w:noProof/>
        </w:rPr>
        <w:t> </w:t>
      </w:r>
      <w:r w:rsidR="00F6614D" w:rsidRPr="00062BFA">
        <w:rPr>
          <w:noProof/>
        </w:rPr>
        <w:t>8</w:t>
      </w:r>
      <w:r w:rsidR="00062BFA" w:rsidRPr="004F6DAA">
        <w:rPr>
          <w:noProof/>
        </w:rPr>
        <w:t xml:space="preserve"> i</w:t>
      </w:r>
      <w:r w:rsidR="00062BFA">
        <w:rPr>
          <w:noProof/>
        </w:rPr>
        <w:t> </w:t>
      </w:r>
      <w:r w:rsidR="00062BFA" w:rsidRPr="00062BFA">
        <w:rPr>
          <w:noProof/>
        </w:rPr>
        <w:t>art</w:t>
      </w:r>
      <w:r w:rsidR="00F6614D" w:rsidRPr="00062BFA">
        <w:rPr>
          <w:noProof/>
        </w:rPr>
        <w:t>.</w:t>
      </w:r>
      <w:r w:rsidR="00062BFA" w:rsidRPr="00062BFA">
        <w:rPr>
          <w:noProof/>
        </w:rPr>
        <w:t> </w:t>
      </w:r>
      <w:r w:rsidR="00F6614D" w:rsidRPr="00062BFA">
        <w:rPr>
          <w:noProof/>
        </w:rPr>
        <w:t>3</w:t>
      </w:r>
      <w:r w:rsidR="00F6614D" w:rsidRPr="004F6DAA">
        <w:rPr>
          <w:noProof/>
        </w:rPr>
        <w:t xml:space="preserve">2 </w:t>
      </w:r>
      <w:r w:rsidR="00F6614D" w:rsidRPr="00062BFA">
        <w:rPr>
          <w:noProof/>
        </w:rPr>
        <w:t>ust.</w:t>
      </w:r>
      <w:r w:rsidR="00062BFA" w:rsidRPr="00062BFA">
        <w:rPr>
          <w:noProof/>
        </w:rPr>
        <w:t> </w:t>
      </w:r>
      <w:r w:rsidR="00F6614D" w:rsidRPr="00062BFA">
        <w:rPr>
          <w:noProof/>
        </w:rPr>
        <w:t>4</w:t>
      </w:r>
      <w:r w:rsidR="00F6614D" w:rsidRPr="004F6DAA">
        <w:rPr>
          <w:noProof/>
        </w:rPr>
        <w:t xml:space="preserve"> wchodzi</w:t>
      </w:r>
      <w:r w:rsidR="00062BFA" w:rsidRPr="004F6DAA">
        <w:rPr>
          <w:noProof/>
        </w:rPr>
        <w:t xml:space="preserve"> w</w:t>
      </w:r>
      <w:r w:rsidR="00062BFA">
        <w:rPr>
          <w:noProof/>
        </w:rPr>
        <w:t> </w:t>
      </w:r>
      <w:r w:rsidR="00062BFA" w:rsidRPr="004F6DAA">
        <w:rPr>
          <w:noProof/>
        </w:rPr>
        <w:t>życ</w:t>
      </w:r>
      <w:r w:rsidR="00F6614D" w:rsidRPr="004F6DAA">
        <w:rPr>
          <w:noProof/>
        </w:rPr>
        <w:t>ie tylko wówczas, gdy ani Parlament Europejski, ani Rada nie wyraziły sprzeciwu</w:t>
      </w:r>
      <w:r w:rsidR="00062BFA" w:rsidRPr="004F6DAA">
        <w:rPr>
          <w:noProof/>
        </w:rPr>
        <w:t xml:space="preserve"> w</w:t>
      </w:r>
      <w:r w:rsidR="00062BFA">
        <w:rPr>
          <w:noProof/>
        </w:rPr>
        <w:t> </w:t>
      </w:r>
      <w:r w:rsidR="00062BFA" w:rsidRPr="004F6DAA">
        <w:rPr>
          <w:noProof/>
        </w:rPr>
        <w:t>ter</w:t>
      </w:r>
      <w:r w:rsidR="00F6614D" w:rsidRPr="004F6DAA">
        <w:rPr>
          <w:noProof/>
        </w:rPr>
        <w:t>minie dwóch miesięcy od przekazania tego aktu Parlamentowi Europejskiemu</w:t>
      </w:r>
      <w:r w:rsidR="00062BFA" w:rsidRPr="004F6DAA">
        <w:rPr>
          <w:noProof/>
        </w:rPr>
        <w:t xml:space="preserve"> i</w:t>
      </w:r>
      <w:r w:rsidR="00062BFA">
        <w:rPr>
          <w:noProof/>
        </w:rPr>
        <w:t> </w:t>
      </w:r>
      <w:r w:rsidR="00062BFA" w:rsidRPr="004F6DAA">
        <w:rPr>
          <w:noProof/>
        </w:rPr>
        <w:t>Rad</w:t>
      </w:r>
      <w:r w:rsidR="00F6614D" w:rsidRPr="004F6DAA">
        <w:rPr>
          <w:noProof/>
        </w:rPr>
        <w:t>zie, lub gdy, przed upływem tego terminu, zarówno Parlament Europejski, jak</w:t>
      </w:r>
      <w:r w:rsidR="00062BFA" w:rsidRPr="004F6DAA">
        <w:rPr>
          <w:noProof/>
        </w:rPr>
        <w:t xml:space="preserve"> i</w:t>
      </w:r>
      <w:r w:rsidR="00062BFA">
        <w:rPr>
          <w:noProof/>
        </w:rPr>
        <w:t> </w:t>
      </w:r>
      <w:r w:rsidR="00062BFA" w:rsidRPr="004F6DAA">
        <w:rPr>
          <w:noProof/>
        </w:rPr>
        <w:t>Rad</w:t>
      </w:r>
      <w:r w:rsidR="00F6614D" w:rsidRPr="004F6DAA">
        <w:rPr>
          <w:noProof/>
        </w:rPr>
        <w:t>a poinformowały Komisję, że nie wniosą sprzeciwu. Termin ten przedłuża się o [</w:t>
      </w:r>
      <w:r w:rsidR="00F6614D" w:rsidRPr="004F6DAA">
        <w:rPr>
          <w:noProof/>
          <w:color w:val="FF0000"/>
        </w:rPr>
        <w:t>dwa miesiące</w:t>
      </w:r>
      <w:r w:rsidR="00F6614D" w:rsidRPr="004F6DAA">
        <w:rPr>
          <w:noProof/>
        </w:rPr>
        <w:t>]</w:t>
      </w:r>
      <w:r w:rsidR="00062BFA" w:rsidRPr="004F6DAA">
        <w:rPr>
          <w:noProof/>
        </w:rPr>
        <w:t xml:space="preserve"> z</w:t>
      </w:r>
      <w:r w:rsidR="00062BFA">
        <w:rPr>
          <w:noProof/>
        </w:rPr>
        <w:t> </w:t>
      </w:r>
      <w:r w:rsidR="00062BFA" w:rsidRPr="004F6DAA">
        <w:rPr>
          <w:noProof/>
        </w:rPr>
        <w:t>ini</w:t>
      </w:r>
      <w:r w:rsidR="00F6614D" w:rsidRPr="004F6DAA">
        <w:rPr>
          <w:noProof/>
        </w:rPr>
        <w:t>cjatywy Parlamentu Europejskiego lub Rady.</w:t>
      </w:r>
    </w:p>
    <w:p w14:paraId="46FE1387" w14:textId="77777777" w:rsidR="00CF4A1A" w:rsidRPr="004F6DAA" w:rsidRDefault="00F6614D" w:rsidP="00CF4A1A">
      <w:pPr>
        <w:pStyle w:val="Titrearticle"/>
        <w:rPr>
          <w:noProof/>
        </w:rPr>
      </w:pPr>
      <w:r w:rsidRPr="004F6DAA">
        <w:rPr>
          <w:noProof/>
        </w:rPr>
        <w:t>Artykuł 34</w:t>
      </w:r>
    </w:p>
    <w:p w14:paraId="1C400015" w14:textId="77777777" w:rsidR="00F6614D" w:rsidRPr="004F6DAA" w:rsidRDefault="00CF4A1A" w:rsidP="00CF4A1A">
      <w:pPr>
        <w:pStyle w:val="Sous-titreobjet"/>
        <w:rPr>
          <w:noProof/>
        </w:rPr>
      </w:pPr>
      <w:r w:rsidRPr="004F6DAA">
        <w:rPr>
          <w:noProof/>
        </w:rPr>
        <w:t>Procedura komitetowa</w:t>
      </w:r>
    </w:p>
    <w:p w14:paraId="5E4FD788" w14:textId="77777777" w:rsidR="00F6614D" w:rsidRPr="004F6DAA" w:rsidRDefault="007B7EB7" w:rsidP="007B7EB7">
      <w:pPr>
        <w:pStyle w:val="ManualNumPar1"/>
        <w:rPr>
          <w:noProof/>
        </w:rPr>
      </w:pPr>
      <w:r w:rsidRPr="007B7EB7">
        <w:t>1.</w:t>
      </w:r>
      <w:r w:rsidRPr="007B7EB7">
        <w:tab/>
      </w:r>
      <w:r w:rsidR="00F6614D" w:rsidRPr="004F6DAA">
        <w:rPr>
          <w:noProof/>
        </w:rPr>
        <w:t>Komisję wspomaga komitet. Komitet ten jest komitetem</w:t>
      </w:r>
      <w:r w:rsidR="00062BFA" w:rsidRPr="004F6DAA">
        <w:rPr>
          <w:noProof/>
        </w:rPr>
        <w:t xml:space="preserve"> w</w:t>
      </w:r>
      <w:r w:rsidR="00062BFA">
        <w:rPr>
          <w:noProof/>
        </w:rPr>
        <w:t> </w:t>
      </w:r>
      <w:r w:rsidR="00062BFA" w:rsidRPr="004F6DAA">
        <w:rPr>
          <w:noProof/>
        </w:rPr>
        <w:t>roz</w:t>
      </w:r>
      <w:r w:rsidR="00F6614D" w:rsidRPr="004F6DAA">
        <w:rPr>
          <w:noProof/>
        </w:rPr>
        <w:t xml:space="preserve">umieniu rozporządzenia (UE) </w:t>
      </w:r>
      <w:r w:rsidR="00F6614D" w:rsidRPr="00062BFA">
        <w:rPr>
          <w:noProof/>
        </w:rPr>
        <w:t>nr</w:t>
      </w:r>
      <w:r w:rsidR="00062BFA" w:rsidRPr="00062BFA">
        <w:rPr>
          <w:noProof/>
        </w:rPr>
        <w:t> </w:t>
      </w:r>
      <w:r w:rsidR="00F6614D" w:rsidRPr="00062BFA">
        <w:rPr>
          <w:noProof/>
        </w:rPr>
        <w:t>1</w:t>
      </w:r>
      <w:r w:rsidR="00F6614D" w:rsidRPr="004F6DAA">
        <w:rPr>
          <w:noProof/>
        </w:rPr>
        <w:t>82/2011</w:t>
      </w:r>
      <w:r w:rsidR="00F6614D" w:rsidRPr="004F6DAA">
        <w:rPr>
          <w:rStyle w:val="Odwoanieprzypisudolnego"/>
          <w:noProof/>
        </w:rPr>
        <w:footnoteReference w:id="52"/>
      </w:r>
      <w:r w:rsidR="00F6614D" w:rsidRPr="004F6DAA">
        <w:rPr>
          <w:noProof/>
        </w:rPr>
        <w:t>.</w:t>
      </w:r>
    </w:p>
    <w:p w14:paraId="380C5532" w14:textId="77777777" w:rsidR="00F6614D" w:rsidRPr="004F6DAA" w:rsidRDefault="007B7EB7" w:rsidP="007B7EB7">
      <w:pPr>
        <w:pStyle w:val="ManualNumPar1"/>
        <w:rPr>
          <w:noProof/>
        </w:rPr>
      </w:pPr>
      <w:r w:rsidRPr="007B7EB7">
        <w:t>2.</w:t>
      </w:r>
      <w:r w:rsidRPr="007B7EB7">
        <w:tab/>
      </w:r>
      <w:r w:rsidR="00F6614D" w:rsidRPr="004F6DAA">
        <w:rPr>
          <w:noProof/>
        </w:rPr>
        <w:t xml:space="preserve">W przypadku odesłania do niniejszego ustępu stosuje się </w:t>
      </w:r>
      <w:r w:rsidR="00F6614D" w:rsidRPr="00062BFA">
        <w:rPr>
          <w:noProof/>
        </w:rPr>
        <w:t>art.</w:t>
      </w:r>
      <w:r w:rsidR="00062BFA" w:rsidRPr="00062BFA">
        <w:rPr>
          <w:noProof/>
        </w:rPr>
        <w:t> </w:t>
      </w:r>
      <w:r w:rsidR="00F6614D" w:rsidRPr="00062BFA">
        <w:rPr>
          <w:noProof/>
        </w:rPr>
        <w:t>5</w:t>
      </w:r>
      <w:r w:rsidR="00F6614D" w:rsidRPr="004F6DAA">
        <w:rPr>
          <w:noProof/>
        </w:rPr>
        <w:t xml:space="preserve"> rozporządzenia (UE) </w:t>
      </w:r>
      <w:r w:rsidR="00F6614D" w:rsidRPr="00062BFA">
        <w:rPr>
          <w:noProof/>
        </w:rPr>
        <w:t>nr</w:t>
      </w:r>
      <w:r w:rsidR="00062BFA" w:rsidRPr="00062BFA">
        <w:rPr>
          <w:noProof/>
        </w:rPr>
        <w:t> </w:t>
      </w:r>
      <w:r w:rsidR="00F6614D" w:rsidRPr="00062BFA">
        <w:rPr>
          <w:noProof/>
        </w:rPr>
        <w:t>1</w:t>
      </w:r>
      <w:r w:rsidR="00F6614D" w:rsidRPr="004F6DAA">
        <w:rPr>
          <w:noProof/>
        </w:rPr>
        <w:t>82/2011,</w:t>
      </w:r>
      <w:r w:rsidR="00062BFA" w:rsidRPr="004F6DAA">
        <w:rPr>
          <w:noProof/>
        </w:rPr>
        <w:t xml:space="preserve"> z</w:t>
      </w:r>
      <w:r w:rsidR="00062BFA">
        <w:rPr>
          <w:noProof/>
        </w:rPr>
        <w:t> </w:t>
      </w:r>
      <w:r w:rsidR="00062BFA" w:rsidRPr="004F6DAA">
        <w:rPr>
          <w:noProof/>
        </w:rPr>
        <w:t>uwz</w:t>
      </w:r>
      <w:r w:rsidR="00F6614D" w:rsidRPr="004F6DAA">
        <w:rPr>
          <w:noProof/>
        </w:rPr>
        <w:t xml:space="preserve">ględnieniem jego </w:t>
      </w:r>
      <w:r w:rsidR="00F6614D" w:rsidRPr="00062BFA">
        <w:rPr>
          <w:noProof/>
        </w:rPr>
        <w:t>art.</w:t>
      </w:r>
      <w:r w:rsidR="00062BFA" w:rsidRPr="00062BFA">
        <w:rPr>
          <w:noProof/>
        </w:rPr>
        <w:t> </w:t>
      </w:r>
      <w:r w:rsidR="00F6614D" w:rsidRPr="00062BFA">
        <w:rPr>
          <w:noProof/>
        </w:rPr>
        <w:t>1</w:t>
      </w:r>
      <w:r w:rsidR="00F6614D" w:rsidRPr="004F6DAA">
        <w:rPr>
          <w:noProof/>
        </w:rPr>
        <w:t xml:space="preserve">1. </w:t>
      </w:r>
    </w:p>
    <w:p w14:paraId="4C2D425E" w14:textId="77777777" w:rsidR="00ED5F57" w:rsidRPr="004F6DAA" w:rsidRDefault="00F6614D" w:rsidP="00ED5F57">
      <w:pPr>
        <w:pStyle w:val="Titrearticle"/>
        <w:rPr>
          <w:noProof/>
        </w:rPr>
      </w:pPr>
      <w:r w:rsidRPr="004F6DAA">
        <w:rPr>
          <w:noProof/>
        </w:rPr>
        <w:t>Artykuł 35</w:t>
      </w:r>
    </w:p>
    <w:p w14:paraId="7F57FCDE" w14:textId="77777777" w:rsidR="00F6614D" w:rsidRPr="004F6DAA" w:rsidRDefault="00F6614D" w:rsidP="00ED5F57">
      <w:pPr>
        <w:pStyle w:val="Sous-titreobjet"/>
        <w:rPr>
          <w:noProof/>
          <w:szCs w:val="24"/>
        </w:rPr>
      </w:pPr>
      <w:r w:rsidRPr="004F6DAA">
        <w:rPr>
          <w:noProof/>
        </w:rPr>
        <w:t>Uchylenie</w:t>
      </w:r>
    </w:p>
    <w:p w14:paraId="6D8CBFFD" w14:textId="77777777" w:rsidR="00F6614D" w:rsidRPr="004F6DAA" w:rsidRDefault="00F6614D" w:rsidP="00F6614D">
      <w:pPr>
        <w:rPr>
          <w:noProof/>
        </w:rPr>
      </w:pPr>
      <w:r w:rsidRPr="004F6DAA">
        <w:rPr>
          <w:noProof/>
        </w:rPr>
        <w:t xml:space="preserve">Rozporządzenie (UE) </w:t>
      </w:r>
      <w:r w:rsidRPr="00062BFA">
        <w:rPr>
          <w:noProof/>
        </w:rPr>
        <w:t>nr</w:t>
      </w:r>
      <w:r w:rsidR="00062BFA" w:rsidRPr="00062BFA">
        <w:rPr>
          <w:noProof/>
        </w:rPr>
        <w:t> </w:t>
      </w:r>
      <w:r w:rsidRPr="00062BFA">
        <w:rPr>
          <w:noProof/>
        </w:rPr>
        <w:t>9</w:t>
      </w:r>
      <w:r w:rsidRPr="004F6DAA">
        <w:rPr>
          <w:noProof/>
        </w:rPr>
        <w:t>95/2010 traci moc ze skutkiem od daty rozpoczęcia stosowania niniejszego rozporządzenia, określonej</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 xml:space="preserve">6 </w:t>
      </w:r>
      <w:r w:rsidRPr="00062BFA">
        <w:rPr>
          <w:noProof/>
        </w:rPr>
        <w:t>ust.</w:t>
      </w:r>
      <w:r w:rsidR="00062BFA" w:rsidRPr="00062BFA">
        <w:rPr>
          <w:noProof/>
        </w:rPr>
        <w:t> </w:t>
      </w:r>
      <w:r w:rsidRPr="00062BFA">
        <w:rPr>
          <w:noProof/>
        </w:rPr>
        <w:t>2</w:t>
      </w:r>
      <w:r w:rsidRPr="004F6DAA">
        <w:rPr>
          <w:noProof/>
        </w:rPr>
        <w:t xml:space="preserve">. </w:t>
      </w:r>
    </w:p>
    <w:p w14:paraId="4BAE4A1D" w14:textId="77777777" w:rsidR="00ED5F57" w:rsidRPr="004F6DAA" w:rsidRDefault="00F6614D" w:rsidP="00ED5F57">
      <w:pPr>
        <w:pStyle w:val="Titrearticle"/>
        <w:rPr>
          <w:noProof/>
        </w:rPr>
      </w:pPr>
      <w:r w:rsidRPr="004F6DAA">
        <w:rPr>
          <w:noProof/>
        </w:rPr>
        <w:t>Artykuł 36</w:t>
      </w:r>
    </w:p>
    <w:p w14:paraId="785E2874" w14:textId="77777777" w:rsidR="00F6614D" w:rsidRPr="004F6DAA" w:rsidRDefault="00F6614D" w:rsidP="00ED5F57">
      <w:pPr>
        <w:pStyle w:val="Sous-titreobjet"/>
        <w:rPr>
          <w:noProof/>
        </w:rPr>
      </w:pPr>
      <w:r w:rsidRPr="004F6DAA">
        <w:rPr>
          <w:noProof/>
        </w:rPr>
        <w:t>Wejście</w:t>
      </w:r>
      <w:r w:rsidR="00062BFA" w:rsidRPr="004F6DAA">
        <w:rPr>
          <w:noProof/>
        </w:rPr>
        <w:t xml:space="preserve"> w</w:t>
      </w:r>
      <w:r w:rsidR="00062BFA">
        <w:rPr>
          <w:noProof/>
        </w:rPr>
        <w:t> </w:t>
      </w:r>
      <w:r w:rsidR="00062BFA" w:rsidRPr="004F6DAA">
        <w:rPr>
          <w:noProof/>
        </w:rPr>
        <w:t>życ</w:t>
      </w:r>
      <w:r w:rsidRPr="004F6DAA">
        <w:rPr>
          <w:noProof/>
        </w:rPr>
        <w:t>ie</w:t>
      </w:r>
      <w:r w:rsidR="00062BFA" w:rsidRPr="004F6DAA">
        <w:rPr>
          <w:noProof/>
        </w:rPr>
        <w:t xml:space="preserve"> i</w:t>
      </w:r>
      <w:r w:rsidR="00062BFA">
        <w:rPr>
          <w:noProof/>
        </w:rPr>
        <w:t> </w:t>
      </w:r>
      <w:r w:rsidR="00062BFA" w:rsidRPr="004F6DAA">
        <w:rPr>
          <w:noProof/>
        </w:rPr>
        <w:t>dat</w:t>
      </w:r>
      <w:r w:rsidRPr="004F6DAA">
        <w:rPr>
          <w:noProof/>
        </w:rPr>
        <w:t>a rozpoczęcia stosowania</w:t>
      </w:r>
    </w:p>
    <w:p w14:paraId="4F42D5E3" w14:textId="77777777" w:rsidR="00F6614D" w:rsidRPr="004F6DAA" w:rsidRDefault="007B7EB7" w:rsidP="007B7EB7">
      <w:pPr>
        <w:pStyle w:val="ManualNumPar1"/>
        <w:rPr>
          <w:noProof/>
        </w:rPr>
      </w:pPr>
      <w:r w:rsidRPr="007B7EB7">
        <w:t>1.</w:t>
      </w:r>
      <w:r w:rsidRPr="007B7EB7">
        <w:tab/>
      </w:r>
      <w:r w:rsidR="00F6614D" w:rsidRPr="004F6DAA">
        <w:rPr>
          <w:noProof/>
        </w:rPr>
        <w:t>Niniejsze rozporządzenie wchodzi</w:t>
      </w:r>
      <w:r w:rsidR="00062BFA" w:rsidRPr="004F6DAA">
        <w:rPr>
          <w:noProof/>
        </w:rPr>
        <w:t xml:space="preserve"> w</w:t>
      </w:r>
      <w:r w:rsidR="00062BFA">
        <w:rPr>
          <w:noProof/>
        </w:rPr>
        <w:t> </w:t>
      </w:r>
      <w:r w:rsidR="00062BFA" w:rsidRPr="004F6DAA">
        <w:rPr>
          <w:noProof/>
        </w:rPr>
        <w:t>życ</w:t>
      </w:r>
      <w:r w:rsidR="00F6614D" w:rsidRPr="004F6DAA">
        <w:rPr>
          <w:noProof/>
        </w:rPr>
        <w:t>ie dwudziestego dnia po jego opublikowaniu</w:t>
      </w:r>
      <w:r w:rsidR="00062BFA" w:rsidRPr="004F6DAA">
        <w:rPr>
          <w:noProof/>
        </w:rPr>
        <w:t xml:space="preserve"> w</w:t>
      </w:r>
      <w:r w:rsidR="00062BFA">
        <w:rPr>
          <w:noProof/>
        </w:rPr>
        <w:t> </w:t>
      </w:r>
      <w:r w:rsidR="00062BFA" w:rsidRPr="004F6DAA">
        <w:rPr>
          <w:i/>
          <w:iCs/>
          <w:noProof/>
        </w:rPr>
        <w:t>Dzi</w:t>
      </w:r>
      <w:r w:rsidR="00F6614D" w:rsidRPr="004F6DAA">
        <w:rPr>
          <w:i/>
          <w:iCs/>
          <w:noProof/>
        </w:rPr>
        <w:t>enniku Urzędowym Unii Europejskiej</w:t>
      </w:r>
      <w:r w:rsidR="00F6614D" w:rsidRPr="004F6DAA">
        <w:rPr>
          <w:noProof/>
        </w:rPr>
        <w:t xml:space="preserve">. </w:t>
      </w:r>
    </w:p>
    <w:p w14:paraId="52144718" w14:textId="77777777" w:rsidR="00F6614D" w:rsidRPr="004F6DAA" w:rsidRDefault="007B7EB7" w:rsidP="007B7EB7">
      <w:pPr>
        <w:pStyle w:val="ManualNumPar1"/>
        <w:rPr>
          <w:noProof/>
        </w:rPr>
      </w:pPr>
      <w:r w:rsidRPr="007B7EB7">
        <w:t>2.</w:t>
      </w:r>
      <w:r w:rsidRPr="007B7EB7">
        <w:tab/>
      </w:r>
      <w:r w:rsidR="00F6614D" w:rsidRPr="004F6DAA">
        <w:rPr>
          <w:noProof/>
        </w:rPr>
        <w:t>Art. 3–12, 14–22, 24 oraz 29</w:t>
      </w:r>
      <w:r w:rsidR="00062BFA" w:rsidRPr="004F6DAA">
        <w:rPr>
          <w:noProof/>
        </w:rPr>
        <w:t xml:space="preserve"> i</w:t>
      </w:r>
      <w:r w:rsidR="00062BFA">
        <w:rPr>
          <w:noProof/>
        </w:rPr>
        <w:t> </w:t>
      </w:r>
      <w:r w:rsidR="00062BFA" w:rsidRPr="004F6DAA">
        <w:rPr>
          <w:noProof/>
        </w:rPr>
        <w:t>3</w:t>
      </w:r>
      <w:r w:rsidR="00F6614D" w:rsidRPr="004F6DAA">
        <w:rPr>
          <w:noProof/>
        </w:rPr>
        <w:t>0 stosuje się po upływie 12 miesięcy od wejścia</w:t>
      </w:r>
      <w:r w:rsidR="00062BFA" w:rsidRPr="004F6DAA">
        <w:rPr>
          <w:noProof/>
        </w:rPr>
        <w:t xml:space="preserve"> w</w:t>
      </w:r>
      <w:r w:rsidR="00062BFA">
        <w:rPr>
          <w:noProof/>
        </w:rPr>
        <w:t> </w:t>
      </w:r>
      <w:r w:rsidR="00062BFA" w:rsidRPr="004F6DAA">
        <w:rPr>
          <w:noProof/>
        </w:rPr>
        <w:t>życ</w:t>
      </w:r>
      <w:r w:rsidR="00F6614D" w:rsidRPr="004F6DAA">
        <w:rPr>
          <w:noProof/>
        </w:rPr>
        <w:t>ie niniejszego rozporządzenia.</w:t>
      </w:r>
    </w:p>
    <w:p w14:paraId="6EF8578E" w14:textId="77777777" w:rsidR="00F6614D" w:rsidRPr="004F6DAA" w:rsidRDefault="007B7EB7" w:rsidP="007B7EB7">
      <w:pPr>
        <w:pStyle w:val="ManualNumPar1"/>
        <w:rPr>
          <w:noProof/>
        </w:rPr>
      </w:pPr>
      <w:r w:rsidRPr="007B7EB7">
        <w:t>3.</w:t>
      </w:r>
      <w:r w:rsidRPr="007B7EB7">
        <w:tab/>
      </w:r>
      <w:r w:rsidR="00F6614D" w:rsidRPr="004F6DAA">
        <w:rPr>
          <w:noProof/>
        </w:rPr>
        <w:t>Artykuły,</w:t>
      </w:r>
      <w:r w:rsidR="00062BFA" w:rsidRPr="004F6DAA">
        <w:rPr>
          <w:noProof/>
        </w:rPr>
        <w:t xml:space="preserve"> o</w:t>
      </w:r>
      <w:r w:rsidR="00062BFA">
        <w:rPr>
          <w:noProof/>
        </w:rPr>
        <w:t> </w:t>
      </w:r>
      <w:r w:rsidR="00062BFA" w:rsidRPr="004F6DAA">
        <w:rPr>
          <w:noProof/>
        </w:rPr>
        <w:t>któ</w:t>
      </w:r>
      <w:r w:rsidR="00F6614D" w:rsidRPr="004F6DAA">
        <w:rPr>
          <w:noProof/>
        </w:rPr>
        <w:t>rych mowa</w:t>
      </w:r>
      <w:r w:rsidR="00062BFA" w:rsidRPr="004F6DAA">
        <w:rPr>
          <w:noProof/>
        </w:rPr>
        <w:t xml:space="preserve"> w</w:t>
      </w:r>
      <w:r w:rsidR="00062BFA">
        <w:rPr>
          <w:noProof/>
        </w:rPr>
        <w:t> </w:t>
      </w:r>
      <w:r w:rsidR="00062BFA" w:rsidRPr="00062BFA">
        <w:rPr>
          <w:noProof/>
        </w:rPr>
        <w:t>ust</w:t>
      </w:r>
      <w:r w:rsidR="00F6614D" w:rsidRPr="00062BFA">
        <w:rPr>
          <w:noProof/>
        </w:rPr>
        <w:t>.</w:t>
      </w:r>
      <w:r w:rsidR="00062BFA" w:rsidRPr="00062BFA">
        <w:rPr>
          <w:noProof/>
        </w:rPr>
        <w:t> </w:t>
      </w:r>
      <w:r w:rsidR="00F6614D" w:rsidRPr="00062BFA">
        <w:rPr>
          <w:noProof/>
        </w:rPr>
        <w:t>2</w:t>
      </w:r>
      <w:r w:rsidR="00F6614D" w:rsidRPr="004F6DAA">
        <w:rPr>
          <w:noProof/>
        </w:rPr>
        <w:t xml:space="preserve">, stosuje </w:t>
      </w:r>
      <w:r w:rsidR="00F6614D" w:rsidRPr="00062BFA">
        <w:rPr>
          <w:noProof/>
        </w:rPr>
        <w:t>się</w:t>
      </w:r>
      <w:r w:rsidR="00062BFA" w:rsidRPr="00062BFA">
        <w:rPr>
          <w:noProof/>
        </w:rPr>
        <w:t> </w:t>
      </w:r>
      <w:r w:rsidR="00F6614D" w:rsidRPr="00062BFA">
        <w:rPr>
          <w:noProof/>
        </w:rPr>
        <w:t>2</w:t>
      </w:r>
      <w:r w:rsidR="00F6614D" w:rsidRPr="004F6DAA">
        <w:rPr>
          <w:noProof/>
        </w:rPr>
        <w:t>4 miesiące od wejścia</w:t>
      </w:r>
      <w:r w:rsidR="00062BFA" w:rsidRPr="004F6DAA">
        <w:rPr>
          <w:noProof/>
        </w:rPr>
        <w:t xml:space="preserve"> w</w:t>
      </w:r>
      <w:r w:rsidR="00062BFA">
        <w:rPr>
          <w:noProof/>
        </w:rPr>
        <w:t> </w:t>
      </w:r>
      <w:r w:rsidR="00062BFA" w:rsidRPr="004F6DAA">
        <w:rPr>
          <w:noProof/>
        </w:rPr>
        <w:t>życ</w:t>
      </w:r>
      <w:r w:rsidR="00F6614D" w:rsidRPr="004F6DAA">
        <w:rPr>
          <w:noProof/>
        </w:rPr>
        <w:t>ie niniejszego rozporządzenia</w:t>
      </w:r>
      <w:r w:rsidR="00062BFA" w:rsidRPr="004F6DAA">
        <w:rPr>
          <w:noProof/>
        </w:rPr>
        <w:t xml:space="preserve"> w</w:t>
      </w:r>
      <w:r w:rsidR="00062BFA">
        <w:rPr>
          <w:noProof/>
        </w:rPr>
        <w:t> </w:t>
      </w:r>
      <w:r w:rsidR="00062BFA" w:rsidRPr="004F6DAA">
        <w:rPr>
          <w:noProof/>
        </w:rPr>
        <w:t>odn</w:t>
      </w:r>
      <w:r w:rsidR="00F6614D" w:rsidRPr="004F6DAA">
        <w:rPr>
          <w:noProof/>
        </w:rPr>
        <w:t>iesieniu do podmiotów, które są mikroprzedsiębiorstwami</w:t>
      </w:r>
      <w:r w:rsidR="00F6614D" w:rsidRPr="004F6DAA">
        <w:rPr>
          <w:rStyle w:val="Odwoanieprzypisudolnego"/>
          <w:noProof/>
        </w:rPr>
        <w:footnoteReference w:id="53"/>
      </w:r>
      <w:r w:rsidR="00F6614D" w:rsidRPr="004F6DAA">
        <w:rPr>
          <w:noProof/>
        </w:rPr>
        <w:t xml:space="preserve"> utworzonymi do dnia 31 grudnia 20</w:t>
      </w:r>
      <w:r w:rsidR="00F6614D" w:rsidRPr="00062BFA">
        <w:rPr>
          <w:noProof/>
        </w:rPr>
        <w:t>20</w:t>
      </w:r>
      <w:r w:rsidR="00062BFA" w:rsidRPr="00062BFA">
        <w:rPr>
          <w:noProof/>
        </w:rPr>
        <w:t> </w:t>
      </w:r>
      <w:r w:rsidR="00F6614D" w:rsidRPr="00062BFA">
        <w:rPr>
          <w:noProof/>
        </w:rPr>
        <w:t>r.</w:t>
      </w:r>
      <w:r w:rsidR="00F6614D" w:rsidRPr="004F6DAA">
        <w:rPr>
          <w:noProof/>
        </w:rPr>
        <w:t>,</w:t>
      </w:r>
      <w:r w:rsidR="00062BFA" w:rsidRPr="004F6DAA">
        <w:rPr>
          <w:noProof/>
        </w:rPr>
        <w:t xml:space="preserve"> z</w:t>
      </w:r>
      <w:r w:rsidR="00062BFA">
        <w:rPr>
          <w:noProof/>
        </w:rPr>
        <w:t> </w:t>
      </w:r>
      <w:r w:rsidR="00062BFA" w:rsidRPr="004F6DAA">
        <w:rPr>
          <w:noProof/>
        </w:rPr>
        <w:t>wyj</w:t>
      </w:r>
      <w:r w:rsidR="00F6614D" w:rsidRPr="004F6DAA">
        <w:rPr>
          <w:noProof/>
        </w:rPr>
        <w:t xml:space="preserve">ątkiem produktów objętych załącznikiem do rozporządzenia (UE) </w:t>
      </w:r>
      <w:r w:rsidR="00F6614D" w:rsidRPr="00062BFA">
        <w:rPr>
          <w:noProof/>
        </w:rPr>
        <w:t>nr</w:t>
      </w:r>
      <w:r w:rsidR="00062BFA" w:rsidRPr="00062BFA">
        <w:rPr>
          <w:noProof/>
        </w:rPr>
        <w:t> </w:t>
      </w:r>
      <w:r w:rsidR="00F6614D" w:rsidRPr="00062BFA">
        <w:rPr>
          <w:noProof/>
        </w:rPr>
        <w:t>9</w:t>
      </w:r>
      <w:r w:rsidR="00F6614D" w:rsidRPr="004F6DAA">
        <w:rPr>
          <w:noProof/>
        </w:rPr>
        <w:t>95/2010.</w:t>
      </w:r>
    </w:p>
    <w:p w14:paraId="4843DBBF" w14:textId="77777777" w:rsidR="00DE4FED" w:rsidRPr="004F6DAA" w:rsidRDefault="00DE4FED" w:rsidP="00CF62AF">
      <w:pPr>
        <w:keepNext/>
        <w:keepLines/>
        <w:rPr>
          <w:noProof/>
        </w:rPr>
      </w:pPr>
    </w:p>
    <w:p w14:paraId="6E51FD49" w14:textId="77777777" w:rsidR="001C3FCC" w:rsidRPr="004F6DAA" w:rsidRDefault="007E4B52" w:rsidP="00CF62AF">
      <w:pPr>
        <w:pStyle w:val="Fait"/>
        <w:rPr>
          <w:noProof/>
        </w:rPr>
      </w:pPr>
      <w:r w:rsidRPr="007E4B52">
        <w:t xml:space="preserve">Sporządzono w Brukseli dnia </w:t>
      </w:r>
      <w:r w:rsidRPr="007E4B52">
        <w:rPr>
          <w:rStyle w:val="Marker"/>
        </w:rPr>
        <w:t>[…]</w:t>
      </w:r>
      <w:r w:rsidRPr="007E4B52">
        <w:t xml:space="preserve"> r.</w:t>
      </w:r>
    </w:p>
    <w:p w14:paraId="5A6EBD9F" w14:textId="77777777" w:rsidR="001C3FCC" w:rsidRPr="004F6DAA" w:rsidRDefault="001C3FCC" w:rsidP="00CF62AF">
      <w:pPr>
        <w:pStyle w:val="Institutionquisigne"/>
        <w:rPr>
          <w:noProof/>
        </w:rPr>
      </w:pPr>
      <w:r w:rsidRPr="004F6DAA">
        <w:rPr>
          <w:noProof/>
        </w:rPr>
        <w:t>W imieniu Parlamentu Europejskiego</w:t>
      </w:r>
      <w:r w:rsidRPr="004F6DAA">
        <w:rPr>
          <w:noProof/>
        </w:rPr>
        <w:tab/>
        <w:t>W imieniu Rady</w:t>
      </w:r>
    </w:p>
    <w:p w14:paraId="656D7060" w14:textId="77777777" w:rsidR="001C3FCC" w:rsidRPr="004F6DAA" w:rsidRDefault="001C3FCC" w:rsidP="001C3FCC">
      <w:pPr>
        <w:pStyle w:val="Personnequisigne"/>
        <w:rPr>
          <w:noProof/>
        </w:rPr>
      </w:pPr>
      <w:r w:rsidRPr="004F6DAA">
        <w:rPr>
          <w:noProof/>
        </w:rPr>
        <w:t>Przewodniczący</w:t>
      </w:r>
      <w:r w:rsidRPr="004F6DAA">
        <w:rPr>
          <w:noProof/>
        </w:rPr>
        <w:tab/>
        <w:t>Przewodniczący</w:t>
      </w:r>
    </w:p>
    <w:p w14:paraId="327CF721" w14:textId="77777777" w:rsidR="001C3FCC" w:rsidRPr="004F6DAA" w:rsidRDefault="001C3FCC" w:rsidP="001C3FCC">
      <w:pPr>
        <w:rPr>
          <w:noProof/>
        </w:rPr>
        <w:sectPr w:rsidR="001C3FCC" w:rsidRPr="004F6DAA" w:rsidSect="00007A34">
          <w:footnotePr>
            <w:numRestart w:val="eachSect"/>
          </w:footnotePr>
          <w:pgSz w:w="11907" w:h="16839"/>
          <w:pgMar w:top="1134" w:right="1417" w:bottom="1134" w:left="1417" w:header="709" w:footer="709" w:gutter="0"/>
          <w:cols w:space="708"/>
          <w:docGrid w:linePitch="360"/>
        </w:sectPr>
      </w:pPr>
    </w:p>
    <w:p w14:paraId="7F21882C" w14:textId="77777777" w:rsidR="007F4C85" w:rsidRPr="004F6DAA" w:rsidRDefault="007F4C85" w:rsidP="007F4C85">
      <w:pPr>
        <w:pStyle w:val="Fichefinanciretitre"/>
        <w:keepNext/>
        <w:rPr>
          <w:noProof/>
        </w:rPr>
      </w:pPr>
      <w:r w:rsidRPr="004F6DAA">
        <w:rPr>
          <w:noProof/>
        </w:rPr>
        <w:t>OCENA SKUTKÓW FINANSOWYCH REGULACJI</w:t>
      </w:r>
    </w:p>
    <w:p w14:paraId="4472025C" w14:textId="77777777" w:rsidR="007F4C85" w:rsidRPr="004F6DAA" w:rsidRDefault="007F4C85" w:rsidP="007F4C85">
      <w:pPr>
        <w:pStyle w:val="ManualHeading1"/>
        <w:rPr>
          <w:noProof/>
        </w:rPr>
      </w:pPr>
      <w:r w:rsidRPr="004F6DAA">
        <w:rPr>
          <w:noProof/>
        </w:rPr>
        <w:t>1.</w:t>
      </w:r>
      <w:r w:rsidRPr="004F6DAA">
        <w:rPr>
          <w:noProof/>
        </w:rPr>
        <w:tab/>
        <w:t>STRUKTURA WNIOSKU/INICJATYWY</w:t>
      </w:r>
    </w:p>
    <w:p w14:paraId="64D15F5B" w14:textId="77777777" w:rsidR="007F4C85" w:rsidRPr="004F6DAA" w:rsidRDefault="007F4C85" w:rsidP="007F4C85">
      <w:pPr>
        <w:pStyle w:val="ManualHeading2"/>
        <w:rPr>
          <w:noProof/>
        </w:rPr>
      </w:pPr>
      <w:r w:rsidRPr="004F6DAA">
        <w:rPr>
          <w:noProof/>
        </w:rPr>
        <w:tab/>
        <w:t>1.1.</w:t>
      </w:r>
      <w:r w:rsidRPr="004F6DAA">
        <w:rPr>
          <w:noProof/>
        </w:rPr>
        <w:tab/>
        <w:t>Tytuł wniosku/inicjatywy</w:t>
      </w:r>
    </w:p>
    <w:p w14:paraId="4F442164" w14:textId="77777777" w:rsidR="007F4C85" w:rsidRPr="004F6DAA" w:rsidRDefault="007F4C85" w:rsidP="007F4C85">
      <w:pPr>
        <w:pStyle w:val="ManualHeading2"/>
        <w:rPr>
          <w:noProof/>
        </w:rPr>
      </w:pPr>
      <w:r w:rsidRPr="004F6DAA">
        <w:rPr>
          <w:noProof/>
        </w:rPr>
        <w:tab/>
        <w:t>1.2.</w:t>
      </w:r>
      <w:r w:rsidRPr="004F6DAA">
        <w:rPr>
          <w:noProof/>
        </w:rPr>
        <w:tab/>
        <w:t>Obszary polityki, których dotyczy wniosek/inicjatywa</w:t>
      </w:r>
    </w:p>
    <w:p w14:paraId="03C1D26C" w14:textId="77777777" w:rsidR="007F4C85" w:rsidRPr="004F6DAA" w:rsidRDefault="007F4C85" w:rsidP="007F4C85">
      <w:pPr>
        <w:pStyle w:val="ManualHeading2"/>
        <w:rPr>
          <w:noProof/>
        </w:rPr>
      </w:pPr>
      <w:r w:rsidRPr="004F6DAA">
        <w:rPr>
          <w:noProof/>
        </w:rPr>
        <w:tab/>
        <w:t>1.3.</w:t>
      </w:r>
      <w:r w:rsidRPr="004F6DAA">
        <w:rPr>
          <w:noProof/>
        </w:rPr>
        <w:tab/>
        <w:t>Wniosek/inicjatywa dotyczy:</w:t>
      </w:r>
    </w:p>
    <w:p w14:paraId="3DB22B96" w14:textId="77777777" w:rsidR="007F4C85" w:rsidRPr="004F6DAA" w:rsidRDefault="007F4C85" w:rsidP="007F4C85">
      <w:pPr>
        <w:pStyle w:val="ManualHeading2"/>
        <w:rPr>
          <w:noProof/>
        </w:rPr>
      </w:pPr>
      <w:r w:rsidRPr="004F6DAA">
        <w:rPr>
          <w:noProof/>
        </w:rPr>
        <w:tab/>
        <w:t>1.4.</w:t>
      </w:r>
      <w:r w:rsidRPr="004F6DAA">
        <w:rPr>
          <w:noProof/>
        </w:rPr>
        <w:tab/>
        <w:t>Cel(e)</w:t>
      </w:r>
    </w:p>
    <w:p w14:paraId="773EF5BA" w14:textId="77777777" w:rsidR="007F4C85" w:rsidRPr="004F6DAA" w:rsidRDefault="007F4C85" w:rsidP="007F4C85">
      <w:pPr>
        <w:pStyle w:val="ManualHeading3"/>
        <w:rPr>
          <w:noProof/>
        </w:rPr>
      </w:pPr>
      <w:r w:rsidRPr="004F6DAA">
        <w:rPr>
          <w:noProof/>
        </w:rPr>
        <w:tab/>
        <w:t>1.4.1.</w:t>
      </w:r>
      <w:r w:rsidRPr="004F6DAA">
        <w:rPr>
          <w:noProof/>
        </w:rPr>
        <w:tab/>
        <w:t>Cel(e) ogólny(e)</w:t>
      </w:r>
    </w:p>
    <w:p w14:paraId="4565D16A" w14:textId="77777777" w:rsidR="007F4C85" w:rsidRPr="004F6DAA" w:rsidRDefault="007F4C85" w:rsidP="007F4C85">
      <w:pPr>
        <w:pStyle w:val="ManualHeading3"/>
        <w:rPr>
          <w:noProof/>
        </w:rPr>
      </w:pPr>
      <w:r w:rsidRPr="004F6DAA">
        <w:rPr>
          <w:noProof/>
        </w:rPr>
        <w:tab/>
        <w:t>1.4.2.</w:t>
      </w:r>
      <w:r w:rsidRPr="004F6DAA">
        <w:rPr>
          <w:noProof/>
        </w:rPr>
        <w:tab/>
        <w:t>Cel(e) szczegółowy(e)</w:t>
      </w:r>
    </w:p>
    <w:p w14:paraId="6E1F9843" w14:textId="77777777" w:rsidR="007F4C85" w:rsidRPr="004F6DAA" w:rsidRDefault="007F4C85" w:rsidP="007F4C85">
      <w:pPr>
        <w:pStyle w:val="ManualHeading3"/>
        <w:rPr>
          <w:noProof/>
        </w:rPr>
      </w:pPr>
      <w:r w:rsidRPr="004F6DAA">
        <w:rPr>
          <w:noProof/>
        </w:rPr>
        <w:tab/>
        <w:t>1.4.3.</w:t>
      </w:r>
      <w:r w:rsidRPr="004F6DAA">
        <w:rPr>
          <w:noProof/>
        </w:rPr>
        <w:tab/>
        <w:t>Oczekiwane wyniki</w:t>
      </w:r>
      <w:r w:rsidR="00062BFA" w:rsidRPr="004F6DAA">
        <w:rPr>
          <w:noProof/>
        </w:rPr>
        <w:t xml:space="preserve"> i</w:t>
      </w:r>
      <w:r w:rsidR="00062BFA">
        <w:rPr>
          <w:noProof/>
        </w:rPr>
        <w:t> </w:t>
      </w:r>
      <w:r w:rsidR="00062BFA" w:rsidRPr="004F6DAA">
        <w:rPr>
          <w:noProof/>
        </w:rPr>
        <w:t>wpł</w:t>
      </w:r>
      <w:r w:rsidRPr="004F6DAA">
        <w:rPr>
          <w:noProof/>
        </w:rPr>
        <w:t>yw</w:t>
      </w:r>
    </w:p>
    <w:p w14:paraId="4D212A7D" w14:textId="77777777" w:rsidR="007F4C85" w:rsidRPr="004F6DAA" w:rsidRDefault="007F4C85" w:rsidP="007F4C85">
      <w:pPr>
        <w:pStyle w:val="ManualHeading3"/>
        <w:rPr>
          <w:noProof/>
        </w:rPr>
      </w:pPr>
      <w:r w:rsidRPr="004F6DAA">
        <w:rPr>
          <w:noProof/>
        </w:rPr>
        <w:tab/>
        <w:t>1.4.4.</w:t>
      </w:r>
      <w:r w:rsidRPr="004F6DAA">
        <w:rPr>
          <w:noProof/>
        </w:rPr>
        <w:tab/>
        <w:t>Wskaźniki dotyczące realizacji celów</w:t>
      </w:r>
    </w:p>
    <w:p w14:paraId="0C67E9D6" w14:textId="77777777" w:rsidR="007F4C85" w:rsidRPr="004F6DAA" w:rsidRDefault="007F4C85" w:rsidP="007F4C85">
      <w:pPr>
        <w:pStyle w:val="ManualHeading2"/>
        <w:rPr>
          <w:noProof/>
        </w:rPr>
      </w:pPr>
      <w:r w:rsidRPr="004F6DAA">
        <w:rPr>
          <w:noProof/>
        </w:rPr>
        <w:tab/>
        <w:t>1.5.</w:t>
      </w:r>
      <w:r w:rsidRPr="004F6DAA">
        <w:rPr>
          <w:noProof/>
        </w:rPr>
        <w:tab/>
        <w:t>Uzasadnienie wniosku/inicjatywy</w:t>
      </w:r>
    </w:p>
    <w:p w14:paraId="098263DA" w14:textId="77777777" w:rsidR="007F4C85" w:rsidRPr="004F6DAA" w:rsidRDefault="007F4C85" w:rsidP="007F4C85">
      <w:pPr>
        <w:pStyle w:val="ManualHeading3"/>
        <w:rPr>
          <w:noProof/>
        </w:rPr>
      </w:pPr>
      <w:r w:rsidRPr="004F6DAA">
        <w:rPr>
          <w:noProof/>
        </w:rPr>
        <w:tab/>
        <w:t>1.5.1.</w:t>
      </w:r>
      <w:r w:rsidRPr="004F6DAA">
        <w:rPr>
          <w:noProof/>
        </w:rPr>
        <w:tab/>
        <w:t>Potrzeby, które należy zaspokoić</w:t>
      </w:r>
      <w:r w:rsidR="00062BFA" w:rsidRPr="004F6DAA">
        <w:rPr>
          <w:noProof/>
        </w:rPr>
        <w:t xml:space="preserve"> w</w:t>
      </w:r>
      <w:r w:rsidR="00062BFA">
        <w:rPr>
          <w:noProof/>
        </w:rPr>
        <w:t> </w:t>
      </w:r>
      <w:r w:rsidR="00062BFA" w:rsidRPr="004F6DAA">
        <w:rPr>
          <w:noProof/>
        </w:rPr>
        <w:t>per</w:t>
      </w:r>
      <w:r w:rsidRPr="004F6DAA">
        <w:rPr>
          <w:noProof/>
        </w:rPr>
        <w:t>spektywie krótko- lub długoterminowej,</w:t>
      </w:r>
      <w:r w:rsidR="00062BFA" w:rsidRPr="004F6DAA">
        <w:rPr>
          <w:noProof/>
        </w:rPr>
        <w:t xml:space="preserve"> w</w:t>
      </w:r>
      <w:r w:rsidR="00062BFA">
        <w:rPr>
          <w:noProof/>
        </w:rPr>
        <w:t> </w:t>
      </w:r>
      <w:r w:rsidR="00062BFA" w:rsidRPr="004F6DAA">
        <w:rPr>
          <w:noProof/>
        </w:rPr>
        <w:t>tym</w:t>
      </w:r>
      <w:r w:rsidRPr="004F6DAA">
        <w:rPr>
          <w:noProof/>
        </w:rPr>
        <w:t xml:space="preserve"> szczegółowy terminarz przebiegu realizacji inicjatywy</w:t>
      </w:r>
    </w:p>
    <w:p w14:paraId="6A3D6302" w14:textId="77777777" w:rsidR="007F4C85" w:rsidRPr="004F6DAA" w:rsidRDefault="007F4C85" w:rsidP="007F4C85">
      <w:pPr>
        <w:pStyle w:val="ManualHeading3"/>
        <w:rPr>
          <w:noProof/>
        </w:rPr>
      </w:pPr>
      <w:r w:rsidRPr="004F6DAA">
        <w:rPr>
          <w:noProof/>
        </w:rPr>
        <w:tab/>
        <w:t>1.5.2.</w:t>
      </w:r>
      <w:r w:rsidRPr="004F6DAA">
        <w:rPr>
          <w:noProof/>
        </w:rPr>
        <w:tab/>
        <w:t>Wartość dodana</w:t>
      </w:r>
      <w:r w:rsidR="00062BFA" w:rsidRPr="004F6DAA">
        <w:rPr>
          <w:noProof/>
        </w:rPr>
        <w:t xml:space="preserve"> z</w:t>
      </w:r>
      <w:r w:rsidR="00062BFA">
        <w:rPr>
          <w:noProof/>
        </w:rPr>
        <w:t> </w:t>
      </w:r>
      <w:r w:rsidR="00062BFA" w:rsidRPr="004F6DAA">
        <w:rPr>
          <w:noProof/>
        </w:rPr>
        <w:t>tyt</w:t>
      </w:r>
      <w:r w:rsidRPr="004F6DAA">
        <w:rPr>
          <w:noProof/>
        </w:rPr>
        <w:t>ułu zaangażowania Unii Europejskiej (może wynikać</w:t>
      </w:r>
      <w:r w:rsidR="00062BFA" w:rsidRPr="004F6DAA">
        <w:rPr>
          <w:noProof/>
        </w:rPr>
        <w:t xml:space="preserve"> z</w:t>
      </w:r>
      <w:r w:rsidR="00062BFA">
        <w:rPr>
          <w:noProof/>
        </w:rPr>
        <w:t> </w:t>
      </w:r>
      <w:r w:rsidR="00062BFA" w:rsidRPr="004F6DAA">
        <w:rPr>
          <w:noProof/>
        </w:rPr>
        <w:t>róż</w:t>
      </w:r>
      <w:r w:rsidRPr="004F6DAA">
        <w:rPr>
          <w:noProof/>
        </w:rPr>
        <w:t>nych czynników, na przykład korzyści koordynacyjnych, pewności prawa, większej efektywności lub komplementarności). Na potrzeby tego punktu „wartość dodaną</w:t>
      </w:r>
      <w:r w:rsidR="00062BFA" w:rsidRPr="004F6DAA">
        <w:rPr>
          <w:noProof/>
        </w:rPr>
        <w:t xml:space="preserve"> z</w:t>
      </w:r>
      <w:r w:rsidR="00062BFA">
        <w:rPr>
          <w:noProof/>
        </w:rPr>
        <w:t> </w:t>
      </w:r>
      <w:r w:rsidR="00062BFA" w:rsidRPr="004F6DAA">
        <w:rPr>
          <w:noProof/>
        </w:rPr>
        <w:t>tyt</w:t>
      </w:r>
      <w:r w:rsidRPr="004F6DAA">
        <w:rPr>
          <w:noProof/>
        </w:rPr>
        <w:t>ułu zaangażowania Unii” należy rozumieć jako wartość wynikającą</w:t>
      </w:r>
      <w:r w:rsidR="00062BFA" w:rsidRPr="004F6DAA">
        <w:rPr>
          <w:noProof/>
        </w:rPr>
        <w:t xml:space="preserve"> z</w:t>
      </w:r>
      <w:r w:rsidR="00062BFA">
        <w:rPr>
          <w:noProof/>
        </w:rPr>
        <w:t> </w:t>
      </w:r>
      <w:r w:rsidR="00062BFA" w:rsidRPr="004F6DAA">
        <w:rPr>
          <w:noProof/>
        </w:rPr>
        <w:t>uni</w:t>
      </w:r>
      <w:r w:rsidRPr="004F6DAA">
        <w:rPr>
          <w:noProof/>
        </w:rPr>
        <w:t>jnej interwencji, wykraczającą poza wartość, która zostałaby wytworzona przez same państwa członkowskie.</w:t>
      </w:r>
    </w:p>
    <w:p w14:paraId="500C2223" w14:textId="77777777" w:rsidR="007F4C85" w:rsidRPr="004F6DAA" w:rsidRDefault="007F4C85" w:rsidP="007F4C85">
      <w:pPr>
        <w:pStyle w:val="ManualHeading3"/>
        <w:rPr>
          <w:noProof/>
        </w:rPr>
      </w:pPr>
      <w:r w:rsidRPr="004F6DAA">
        <w:rPr>
          <w:noProof/>
        </w:rPr>
        <w:tab/>
        <w:t>1.5.3.</w:t>
      </w:r>
      <w:r w:rsidRPr="004F6DAA">
        <w:rPr>
          <w:noProof/>
        </w:rPr>
        <w:tab/>
        <w:t>Główne wnioski wyciągnięte</w:t>
      </w:r>
      <w:r w:rsidR="00062BFA" w:rsidRPr="004F6DAA">
        <w:rPr>
          <w:noProof/>
        </w:rPr>
        <w:t xml:space="preserve"> z</w:t>
      </w:r>
      <w:r w:rsidR="00062BFA">
        <w:rPr>
          <w:noProof/>
        </w:rPr>
        <w:t> </w:t>
      </w:r>
      <w:r w:rsidR="00062BFA" w:rsidRPr="004F6DAA">
        <w:rPr>
          <w:noProof/>
        </w:rPr>
        <w:t>pod</w:t>
      </w:r>
      <w:r w:rsidRPr="004F6DAA">
        <w:rPr>
          <w:noProof/>
        </w:rPr>
        <w:t>obnych działań</w:t>
      </w:r>
    </w:p>
    <w:p w14:paraId="7C866D75" w14:textId="77777777" w:rsidR="007F4C85" w:rsidRPr="004F6DAA" w:rsidRDefault="007F4C85" w:rsidP="007F4C85">
      <w:pPr>
        <w:pStyle w:val="ManualHeading3"/>
        <w:rPr>
          <w:noProof/>
        </w:rPr>
      </w:pPr>
      <w:r w:rsidRPr="004F6DAA">
        <w:rPr>
          <w:noProof/>
        </w:rPr>
        <w:tab/>
        <w:t>1.5.4.</w:t>
      </w:r>
      <w:r w:rsidRPr="004F6DAA">
        <w:rPr>
          <w:noProof/>
        </w:rPr>
        <w:tab/>
        <w:t>Spójność</w:t>
      </w:r>
      <w:r w:rsidR="00062BFA" w:rsidRPr="004F6DAA">
        <w:rPr>
          <w:noProof/>
        </w:rPr>
        <w:t xml:space="preserve"> z</w:t>
      </w:r>
      <w:r w:rsidR="00062BFA">
        <w:rPr>
          <w:noProof/>
        </w:rPr>
        <w:t> </w:t>
      </w:r>
      <w:r w:rsidR="00062BFA" w:rsidRPr="004F6DAA">
        <w:rPr>
          <w:noProof/>
        </w:rPr>
        <w:t>wie</w:t>
      </w:r>
      <w:r w:rsidRPr="004F6DAA">
        <w:rPr>
          <w:noProof/>
        </w:rPr>
        <w:t>loletnimi ramami finansowymi oraz możliwa synergia</w:t>
      </w:r>
      <w:r w:rsidR="00062BFA" w:rsidRPr="004F6DAA">
        <w:rPr>
          <w:noProof/>
        </w:rPr>
        <w:t xml:space="preserve"> z</w:t>
      </w:r>
      <w:r w:rsidR="00062BFA">
        <w:rPr>
          <w:noProof/>
        </w:rPr>
        <w:t> </w:t>
      </w:r>
      <w:r w:rsidR="00062BFA" w:rsidRPr="004F6DAA">
        <w:rPr>
          <w:noProof/>
        </w:rPr>
        <w:t>inn</w:t>
      </w:r>
      <w:r w:rsidRPr="004F6DAA">
        <w:rPr>
          <w:noProof/>
        </w:rPr>
        <w:t>ymi właściwymi instrumentami</w:t>
      </w:r>
    </w:p>
    <w:p w14:paraId="4C220C0D" w14:textId="77777777" w:rsidR="007F4C85" w:rsidRPr="004F6DAA" w:rsidRDefault="007F4C85" w:rsidP="007F4C85">
      <w:pPr>
        <w:pStyle w:val="ManualHeading3"/>
        <w:rPr>
          <w:noProof/>
        </w:rPr>
      </w:pPr>
      <w:r w:rsidRPr="004F6DAA">
        <w:rPr>
          <w:noProof/>
        </w:rPr>
        <w:tab/>
        <w:t>1.5.5.</w:t>
      </w:r>
      <w:r w:rsidRPr="004F6DAA">
        <w:rPr>
          <w:noProof/>
        </w:rPr>
        <w:tab/>
        <w:t>Ocena różnych dostępnych możliwości finansowania,</w:t>
      </w:r>
      <w:r w:rsidR="00062BFA" w:rsidRPr="004F6DAA">
        <w:rPr>
          <w:noProof/>
        </w:rPr>
        <w:t xml:space="preserve"> w</w:t>
      </w:r>
      <w:r w:rsidR="00062BFA">
        <w:rPr>
          <w:noProof/>
        </w:rPr>
        <w:t> </w:t>
      </w:r>
      <w:r w:rsidR="00062BFA" w:rsidRPr="004F6DAA">
        <w:rPr>
          <w:noProof/>
        </w:rPr>
        <w:t>tym</w:t>
      </w:r>
      <w:r w:rsidRPr="004F6DAA">
        <w:rPr>
          <w:noProof/>
        </w:rPr>
        <w:t xml:space="preserve"> zakresu przegrupowania środków</w:t>
      </w:r>
    </w:p>
    <w:p w14:paraId="513533F3" w14:textId="77777777" w:rsidR="007F4C85" w:rsidRPr="004F6DAA" w:rsidRDefault="007F4C85" w:rsidP="007F4C85">
      <w:pPr>
        <w:pStyle w:val="ManualHeading2"/>
        <w:rPr>
          <w:noProof/>
        </w:rPr>
      </w:pPr>
      <w:r w:rsidRPr="004F6DAA">
        <w:rPr>
          <w:noProof/>
        </w:rPr>
        <w:tab/>
        <w:t>1.6.</w:t>
      </w:r>
      <w:r w:rsidRPr="004F6DAA">
        <w:rPr>
          <w:noProof/>
        </w:rPr>
        <w:tab/>
        <w:t>Czas trwania</w:t>
      </w:r>
      <w:r w:rsidR="00062BFA" w:rsidRPr="004F6DAA">
        <w:rPr>
          <w:noProof/>
        </w:rPr>
        <w:t xml:space="preserve"> i</w:t>
      </w:r>
      <w:r w:rsidR="00062BFA">
        <w:rPr>
          <w:noProof/>
        </w:rPr>
        <w:t> </w:t>
      </w:r>
      <w:r w:rsidR="00062BFA" w:rsidRPr="004F6DAA">
        <w:rPr>
          <w:noProof/>
        </w:rPr>
        <w:t>wpł</w:t>
      </w:r>
      <w:r w:rsidRPr="004F6DAA">
        <w:rPr>
          <w:noProof/>
        </w:rPr>
        <w:t>yw finansowy wniosku/inicjatywy</w:t>
      </w:r>
    </w:p>
    <w:p w14:paraId="0116DA55" w14:textId="77777777" w:rsidR="007F4C85" w:rsidRPr="004F6DAA" w:rsidRDefault="007F4C85" w:rsidP="007F4C85">
      <w:pPr>
        <w:pStyle w:val="ManualHeading2"/>
        <w:rPr>
          <w:noProof/>
        </w:rPr>
      </w:pPr>
      <w:r w:rsidRPr="004F6DAA">
        <w:rPr>
          <w:noProof/>
        </w:rPr>
        <w:tab/>
        <w:t>1.7.</w:t>
      </w:r>
      <w:r w:rsidRPr="004F6DAA">
        <w:rPr>
          <w:noProof/>
        </w:rPr>
        <w:tab/>
        <w:t>Planowane tryby zarządzania</w:t>
      </w:r>
    </w:p>
    <w:p w14:paraId="64C29551" w14:textId="77777777" w:rsidR="007F4C85" w:rsidRPr="004F6DAA" w:rsidRDefault="007F4C85" w:rsidP="007F4C85">
      <w:pPr>
        <w:pStyle w:val="ManualHeading1"/>
        <w:rPr>
          <w:noProof/>
        </w:rPr>
      </w:pPr>
      <w:r w:rsidRPr="004F6DAA">
        <w:rPr>
          <w:noProof/>
        </w:rPr>
        <w:tab/>
        <w:t>2.</w:t>
      </w:r>
      <w:r w:rsidRPr="004F6DAA">
        <w:rPr>
          <w:noProof/>
        </w:rPr>
        <w:tab/>
        <w:t>ŚRODKI ZARZĄDZANIA</w:t>
      </w:r>
    </w:p>
    <w:p w14:paraId="17E7253D" w14:textId="77777777" w:rsidR="007F4C85" w:rsidRPr="004F6DAA" w:rsidRDefault="007F4C85" w:rsidP="007F4C85">
      <w:pPr>
        <w:pStyle w:val="ManualHeading2"/>
        <w:rPr>
          <w:noProof/>
        </w:rPr>
      </w:pPr>
      <w:r w:rsidRPr="004F6DAA">
        <w:rPr>
          <w:noProof/>
        </w:rPr>
        <w:tab/>
        <w:t>2.1.</w:t>
      </w:r>
      <w:r w:rsidRPr="004F6DAA">
        <w:rPr>
          <w:noProof/>
        </w:rPr>
        <w:tab/>
        <w:t>Zasady nadzoru</w:t>
      </w:r>
      <w:r w:rsidR="00062BFA" w:rsidRPr="004F6DAA">
        <w:rPr>
          <w:noProof/>
        </w:rPr>
        <w:t xml:space="preserve"> i</w:t>
      </w:r>
      <w:r w:rsidR="00062BFA">
        <w:rPr>
          <w:noProof/>
        </w:rPr>
        <w:t> </w:t>
      </w:r>
      <w:r w:rsidR="00062BFA" w:rsidRPr="004F6DAA">
        <w:rPr>
          <w:noProof/>
        </w:rPr>
        <w:t>spr</w:t>
      </w:r>
      <w:r w:rsidRPr="004F6DAA">
        <w:rPr>
          <w:noProof/>
        </w:rPr>
        <w:t>awozdawczości</w:t>
      </w:r>
    </w:p>
    <w:p w14:paraId="198C47D0" w14:textId="77777777" w:rsidR="007F4C85" w:rsidRPr="004F6DAA" w:rsidRDefault="007F4C85" w:rsidP="007F4C85">
      <w:pPr>
        <w:pStyle w:val="ManualHeading2"/>
        <w:rPr>
          <w:noProof/>
        </w:rPr>
      </w:pPr>
      <w:r w:rsidRPr="004F6DAA">
        <w:rPr>
          <w:noProof/>
        </w:rPr>
        <w:tab/>
        <w:t>2.2.</w:t>
      </w:r>
      <w:r w:rsidRPr="004F6DAA">
        <w:rPr>
          <w:noProof/>
        </w:rPr>
        <w:tab/>
        <w:t>System zarządzania</w:t>
      </w:r>
      <w:r w:rsidR="00062BFA" w:rsidRPr="004F6DAA">
        <w:rPr>
          <w:noProof/>
        </w:rPr>
        <w:t xml:space="preserve"> i</w:t>
      </w:r>
      <w:r w:rsidR="00062BFA">
        <w:rPr>
          <w:noProof/>
        </w:rPr>
        <w:t> </w:t>
      </w:r>
      <w:r w:rsidR="00062BFA" w:rsidRPr="004F6DAA">
        <w:rPr>
          <w:noProof/>
        </w:rPr>
        <w:t>kon</w:t>
      </w:r>
      <w:r w:rsidRPr="004F6DAA">
        <w:rPr>
          <w:noProof/>
        </w:rPr>
        <w:t>troli</w:t>
      </w:r>
    </w:p>
    <w:p w14:paraId="35ABC84F" w14:textId="77777777" w:rsidR="007F4C85" w:rsidRPr="004F6DAA" w:rsidRDefault="007F4C85" w:rsidP="007F4C85">
      <w:pPr>
        <w:pStyle w:val="ManualHeading3"/>
        <w:rPr>
          <w:noProof/>
        </w:rPr>
      </w:pPr>
      <w:r w:rsidRPr="004F6DAA">
        <w:rPr>
          <w:noProof/>
        </w:rPr>
        <w:tab/>
        <w:t>2.2.1.</w:t>
      </w:r>
      <w:r w:rsidRPr="004F6DAA">
        <w:rPr>
          <w:noProof/>
        </w:rPr>
        <w:tab/>
        <w:t>Uzasadnienie dla systemu zarządzania, mechanizmów finansowania wykonania, warunków płatności</w:t>
      </w:r>
      <w:r w:rsidR="00062BFA" w:rsidRPr="004F6DAA">
        <w:rPr>
          <w:noProof/>
        </w:rPr>
        <w:t xml:space="preserve"> i</w:t>
      </w:r>
      <w:r w:rsidR="00062BFA">
        <w:rPr>
          <w:noProof/>
        </w:rPr>
        <w:t> </w:t>
      </w:r>
      <w:r w:rsidR="00062BFA" w:rsidRPr="004F6DAA">
        <w:rPr>
          <w:noProof/>
        </w:rPr>
        <w:t>pro</w:t>
      </w:r>
      <w:r w:rsidRPr="004F6DAA">
        <w:rPr>
          <w:noProof/>
        </w:rPr>
        <w:t>ponowanej strategii kontroli</w:t>
      </w:r>
    </w:p>
    <w:p w14:paraId="1A305F0F" w14:textId="77777777" w:rsidR="007F4C85" w:rsidRPr="004F6DAA" w:rsidRDefault="007F4C85" w:rsidP="007F4C85">
      <w:pPr>
        <w:pStyle w:val="ManualHeading3"/>
        <w:rPr>
          <w:noProof/>
        </w:rPr>
      </w:pPr>
      <w:r w:rsidRPr="004F6DAA">
        <w:rPr>
          <w:noProof/>
        </w:rPr>
        <w:tab/>
        <w:t>2.2.2.</w:t>
      </w:r>
      <w:r w:rsidRPr="004F6DAA">
        <w:rPr>
          <w:noProof/>
        </w:rPr>
        <w:tab/>
        <w:t>Informacje dotyczące zidentyfikowanego ryzyka</w:t>
      </w:r>
      <w:r w:rsidR="00062BFA" w:rsidRPr="004F6DAA">
        <w:rPr>
          <w:noProof/>
        </w:rPr>
        <w:t xml:space="preserve"> i</w:t>
      </w:r>
      <w:r w:rsidR="00062BFA">
        <w:rPr>
          <w:noProof/>
        </w:rPr>
        <w:t> </w:t>
      </w:r>
      <w:r w:rsidR="00062BFA" w:rsidRPr="004F6DAA">
        <w:rPr>
          <w:noProof/>
        </w:rPr>
        <w:t>sys</w:t>
      </w:r>
      <w:r w:rsidRPr="004F6DAA">
        <w:rPr>
          <w:noProof/>
        </w:rPr>
        <w:t>temów kontroli wewnętrznej ustanowionych</w:t>
      </w:r>
      <w:r w:rsidR="00062BFA" w:rsidRPr="004F6DAA">
        <w:rPr>
          <w:noProof/>
        </w:rPr>
        <w:t xml:space="preserve"> w</w:t>
      </w:r>
      <w:r w:rsidR="00062BFA">
        <w:rPr>
          <w:noProof/>
        </w:rPr>
        <w:t> </w:t>
      </w:r>
      <w:r w:rsidR="00062BFA" w:rsidRPr="004F6DAA">
        <w:rPr>
          <w:noProof/>
        </w:rPr>
        <w:t>cel</w:t>
      </w:r>
      <w:r w:rsidRPr="004F6DAA">
        <w:rPr>
          <w:noProof/>
        </w:rPr>
        <w:t>u jego ograniczenia</w:t>
      </w:r>
    </w:p>
    <w:p w14:paraId="4CBB8C8E" w14:textId="77777777" w:rsidR="007F4C85" w:rsidRPr="004F6DAA" w:rsidRDefault="007F4C85" w:rsidP="007F4C85">
      <w:pPr>
        <w:pStyle w:val="ManualHeading3"/>
        <w:rPr>
          <w:noProof/>
        </w:rPr>
      </w:pPr>
      <w:r w:rsidRPr="004F6DAA">
        <w:rPr>
          <w:noProof/>
        </w:rPr>
        <w:tab/>
        <w:t>2.2.3.</w:t>
      </w:r>
      <w:r w:rsidRPr="004F6DAA">
        <w:rPr>
          <w:noProof/>
        </w:rPr>
        <w:tab/>
        <w:t>Oszacowanie</w:t>
      </w:r>
      <w:r w:rsidR="00062BFA" w:rsidRPr="004F6DAA">
        <w:rPr>
          <w:noProof/>
        </w:rPr>
        <w:t xml:space="preserve"> i</w:t>
      </w:r>
      <w:r w:rsidR="00062BFA">
        <w:rPr>
          <w:noProof/>
        </w:rPr>
        <w:t> </w:t>
      </w:r>
      <w:r w:rsidR="00062BFA" w:rsidRPr="004F6DAA">
        <w:rPr>
          <w:noProof/>
        </w:rPr>
        <w:t>uza</w:t>
      </w:r>
      <w:r w:rsidRPr="004F6DAA">
        <w:rPr>
          <w:noProof/>
        </w:rPr>
        <w:t>sadnienie efektywności kosztowej kontroli (relacja kosztów kontroli do wartości zarządzanych funduszy powiązanych) oraz ocena prawdopodobnego ryzyka błędu (przy płatności</w:t>
      </w:r>
      <w:r w:rsidR="00062BFA" w:rsidRPr="004F6DAA">
        <w:rPr>
          <w:noProof/>
        </w:rPr>
        <w:t xml:space="preserve"> i</w:t>
      </w:r>
      <w:r w:rsidR="00062BFA">
        <w:rPr>
          <w:noProof/>
        </w:rPr>
        <w:t> </w:t>
      </w:r>
      <w:r w:rsidR="00062BFA" w:rsidRPr="004F6DAA">
        <w:rPr>
          <w:noProof/>
        </w:rPr>
        <w:t>prz</w:t>
      </w:r>
      <w:r w:rsidRPr="004F6DAA">
        <w:rPr>
          <w:noProof/>
        </w:rPr>
        <w:t>y zamykaniu)</w:t>
      </w:r>
    </w:p>
    <w:p w14:paraId="520BEFB6" w14:textId="77777777" w:rsidR="007F4C85" w:rsidRPr="004F6DAA" w:rsidRDefault="007F4C85" w:rsidP="007F4C85">
      <w:pPr>
        <w:pStyle w:val="ManualHeading2"/>
        <w:rPr>
          <w:noProof/>
        </w:rPr>
      </w:pPr>
      <w:r w:rsidRPr="004F6DAA">
        <w:rPr>
          <w:noProof/>
        </w:rPr>
        <w:tab/>
        <w:t>2.3.</w:t>
      </w:r>
      <w:r w:rsidRPr="004F6DAA">
        <w:rPr>
          <w:noProof/>
        </w:rPr>
        <w:tab/>
        <w:t>Środki zapobiegania nadużyciom finansowym</w:t>
      </w:r>
      <w:r w:rsidR="00062BFA" w:rsidRPr="004F6DAA">
        <w:rPr>
          <w:noProof/>
        </w:rPr>
        <w:t xml:space="preserve"> i</w:t>
      </w:r>
      <w:r w:rsidR="00062BFA">
        <w:rPr>
          <w:noProof/>
        </w:rPr>
        <w:t> </w:t>
      </w:r>
      <w:r w:rsidR="00062BFA" w:rsidRPr="004F6DAA">
        <w:rPr>
          <w:noProof/>
        </w:rPr>
        <w:t>nie</w:t>
      </w:r>
      <w:r w:rsidRPr="004F6DAA">
        <w:rPr>
          <w:noProof/>
        </w:rPr>
        <w:t>prawidłowościom</w:t>
      </w:r>
    </w:p>
    <w:p w14:paraId="2EF807F0" w14:textId="77777777" w:rsidR="007F4C85" w:rsidRPr="004F6DAA" w:rsidRDefault="007F4C85" w:rsidP="007F4C85">
      <w:pPr>
        <w:pStyle w:val="ManualHeading1"/>
        <w:rPr>
          <w:noProof/>
        </w:rPr>
      </w:pPr>
      <w:r w:rsidRPr="004F6DAA">
        <w:rPr>
          <w:noProof/>
        </w:rPr>
        <w:t>3.</w:t>
      </w:r>
      <w:r w:rsidRPr="004F6DAA">
        <w:rPr>
          <w:noProof/>
        </w:rPr>
        <w:tab/>
        <w:t>SZACUNKOWY WPŁYW FINANSOWY WNIOSKU/INICJATYWY</w:t>
      </w:r>
      <w:r w:rsidRPr="004F6DAA">
        <w:rPr>
          <w:noProof/>
        </w:rPr>
        <w:tab/>
      </w:r>
    </w:p>
    <w:p w14:paraId="7C554E76" w14:textId="77777777" w:rsidR="007F4C85" w:rsidRPr="004F6DAA" w:rsidRDefault="007F4C85" w:rsidP="007F4C85">
      <w:pPr>
        <w:pStyle w:val="ManualHeading2"/>
        <w:rPr>
          <w:noProof/>
        </w:rPr>
      </w:pPr>
      <w:r w:rsidRPr="004F6DAA">
        <w:rPr>
          <w:noProof/>
        </w:rPr>
        <w:tab/>
        <w:t>3.1.</w:t>
      </w:r>
      <w:r w:rsidRPr="004F6DAA">
        <w:rPr>
          <w:noProof/>
        </w:rPr>
        <w:tab/>
        <w:t>Działy wieloletnich ram finansowych</w:t>
      </w:r>
      <w:r w:rsidR="00062BFA" w:rsidRPr="004F6DAA">
        <w:rPr>
          <w:noProof/>
        </w:rPr>
        <w:t xml:space="preserve"> i</w:t>
      </w:r>
      <w:r w:rsidR="00062BFA">
        <w:rPr>
          <w:noProof/>
        </w:rPr>
        <w:t> </w:t>
      </w:r>
      <w:r w:rsidR="00062BFA" w:rsidRPr="004F6DAA">
        <w:rPr>
          <w:noProof/>
        </w:rPr>
        <w:t>lin</w:t>
      </w:r>
      <w:r w:rsidRPr="004F6DAA">
        <w:rPr>
          <w:noProof/>
        </w:rPr>
        <w:t>ie budżetowe po stronie wydatków, na które wniosek/inicjatywa ma wpływ</w:t>
      </w:r>
    </w:p>
    <w:p w14:paraId="6FB0019F" w14:textId="77777777" w:rsidR="007F4C85" w:rsidRPr="004F6DAA" w:rsidRDefault="007F4C85" w:rsidP="007F4C85">
      <w:pPr>
        <w:pStyle w:val="ManualHeading2"/>
        <w:rPr>
          <w:noProof/>
        </w:rPr>
      </w:pPr>
      <w:r w:rsidRPr="004F6DAA">
        <w:rPr>
          <w:noProof/>
        </w:rPr>
        <w:tab/>
        <w:t>3.2.</w:t>
      </w:r>
      <w:r w:rsidRPr="004F6DAA">
        <w:rPr>
          <w:noProof/>
        </w:rPr>
        <w:tab/>
        <w:t>Szacunkowy wpływ finansowy wniosku na środki</w:t>
      </w:r>
    </w:p>
    <w:p w14:paraId="4E3B1B3C" w14:textId="77777777" w:rsidR="007F4C85" w:rsidRPr="004F6DAA" w:rsidRDefault="007F4C85" w:rsidP="007F4C85">
      <w:pPr>
        <w:pStyle w:val="ManualHeading3"/>
        <w:rPr>
          <w:noProof/>
        </w:rPr>
      </w:pPr>
      <w:r w:rsidRPr="004F6DAA">
        <w:rPr>
          <w:noProof/>
        </w:rPr>
        <w:tab/>
        <w:t>3.2.1.</w:t>
      </w:r>
      <w:r w:rsidRPr="004F6DAA">
        <w:rPr>
          <w:noProof/>
        </w:rPr>
        <w:tab/>
        <w:t>Podsumowanie szacunkowego wpływu na środki operacyjne</w:t>
      </w:r>
    </w:p>
    <w:p w14:paraId="4C90AAFB" w14:textId="77777777" w:rsidR="007F4C85" w:rsidRPr="004F6DAA" w:rsidRDefault="007F4C85" w:rsidP="007F4C85">
      <w:pPr>
        <w:pStyle w:val="ManualHeading3"/>
        <w:rPr>
          <w:noProof/>
        </w:rPr>
      </w:pPr>
      <w:r w:rsidRPr="004F6DAA">
        <w:rPr>
          <w:noProof/>
        </w:rPr>
        <w:tab/>
        <w:t>3.2.2.</w:t>
      </w:r>
      <w:r w:rsidRPr="004F6DAA">
        <w:rPr>
          <w:noProof/>
        </w:rPr>
        <w:tab/>
        <w:t>Przewidywany produkt finansowany ze środków operacyjnych</w:t>
      </w:r>
    </w:p>
    <w:p w14:paraId="64FC4562" w14:textId="77777777" w:rsidR="007F4C85" w:rsidRPr="004F6DAA" w:rsidRDefault="007F4C85" w:rsidP="007F4C85">
      <w:pPr>
        <w:pStyle w:val="ManualHeading3"/>
        <w:rPr>
          <w:noProof/>
        </w:rPr>
      </w:pPr>
      <w:r w:rsidRPr="004F6DAA">
        <w:rPr>
          <w:noProof/>
        </w:rPr>
        <w:tab/>
        <w:t>3.2.3.</w:t>
      </w:r>
      <w:r w:rsidRPr="004F6DAA">
        <w:rPr>
          <w:noProof/>
        </w:rPr>
        <w:tab/>
        <w:t>Podsumowanie szacunkowego wpływu na środki administracyjne</w:t>
      </w:r>
    </w:p>
    <w:p w14:paraId="3CFEB783" w14:textId="77777777" w:rsidR="007F4C85" w:rsidRPr="004F6DAA" w:rsidRDefault="007F4C85" w:rsidP="007F4C85">
      <w:pPr>
        <w:pStyle w:val="ManualHeading3"/>
        <w:rPr>
          <w:noProof/>
        </w:rPr>
      </w:pPr>
      <w:r w:rsidRPr="004F6DAA">
        <w:rPr>
          <w:noProof/>
        </w:rPr>
        <w:tab/>
        <w:t>3.2.4.</w:t>
      </w:r>
      <w:r w:rsidRPr="004F6DAA">
        <w:rPr>
          <w:noProof/>
        </w:rPr>
        <w:tab/>
        <w:t>Zgodność</w:t>
      </w:r>
      <w:r w:rsidR="00062BFA" w:rsidRPr="004F6DAA">
        <w:rPr>
          <w:noProof/>
        </w:rPr>
        <w:t xml:space="preserve"> z</w:t>
      </w:r>
      <w:r w:rsidR="00062BFA">
        <w:rPr>
          <w:noProof/>
        </w:rPr>
        <w:t> </w:t>
      </w:r>
      <w:r w:rsidR="00062BFA" w:rsidRPr="004F6DAA">
        <w:rPr>
          <w:noProof/>
        </w:rPr>
        <w:t>obo</w:t>
      </w:r>
      <w:r w:rsidRPr="004F6DAA">
        <w:rPr>
          <w:noProof/>
        </w:rPr>
        <w:t>wiązującymi wieloletnimi ramami finansowymi</w:t>
      </w:r>
    </w:p>
    <w:p w14:paraId="12D3008C" w14:textId="77777777" w:rsidR="007F4C85" w:rsidRPr="004F6DAA" w:rsidRDefault="007F4C85" w:rsidP="007F4C85">
      <w:pPr>
        <w:pStyle w:val="ManualHeading3"/>
        <w:rPr>
          <w:noProof/>
        </w:rPr>
      </w:pPr>
      <w:r w:rsidRPr="004F6DAA">
        <w:rPr>
          <w:noProof/>
        </w:rPr>
        <w:tab/>
        <w:t>3.2.5.</w:t>
      </w:r>
      <w:r w:rsidRPr="004F6DAA">
        <w:rPr>
          <w:noProof/>
        </w:rPr>
        <w:tab/>
        <w:t>Udział osób trzecich</w:t>
      </w:r>
      <w:r w:rsidR="00062BFA" w:rsidRPr="004F6DAA">
        <w:rPr>
          <w:noProof/>
        </w:rPr>
        <w:t xml:space="preserve"> w</w:t>
      </w:r>
      <w:r w:rsidR="00062BFA">
        <w:rPr>
          <w:noProof/>
        </w:rPr>
        <w:t> </w:t>
      </w:r>
      <w:r w:rsidR="00062BFA" w:rsidRPr="004F6DAA">
        <w:rPr>
          <w:noProof/>
        </w:rPr>
        <w:t>fin</w:t>
      </w:r>
      <w:r w:rsidRPr="004F6DAA">
        <w:rPr>
          <w:noProof/>
        </w:rPr>
        <w:t>ansowaniu</w:t>
      </w:r>
    </w:p>
    <w:p w14:paraId="43C8BA2D" w14:textId="77777777" w:rsidR="007F4C85" w:rsidRPr="004F6DAA" w:rsidRDefault="007F4C85" w:rsidP="007F4C85">
      <w:pPr>
        <w:pStyle w:val="ManualHeading2"/>
        <w:rPr>
          <w:noProof/>
        </w:rPr>
      </w:pPr>
      <w:r w:rsidRPr="004F6DAA">
        <w:rPr>
          <w:noProof/>
        </w:rPr>
        <w:tab/>
        <w:t>3.3.</w:t>
      </w:r>
      <w:r w:rsidRPr="004F6DAA">
        <w:rPr>
          <w:noProof/>
        </w:rPr>
        <w:tab/>
        <w:t>Szacunkowy wpływ na dochody</w:t>
      </w:r>
    </w:p>
    <w:p w14:paraId="069B167C" w14:textId="77777777" w:rsidR="007F4C85" w:rsidRPr="004F6DAA" w:rsidRDefault="007F4C85" w:rsidP="007F4C85">
      <w:pPr>
        <w:rPr>
          <w:noProof/>
        </w:rPr>
        <w:sectPr w:rsidR="007F4C85" w:rsidRPr="004F6DAA" w:rsidSect="00007A34">
          <w:pgSz w:w="11907" w:h="16840" w:code="9"/>
          <w:pgMar w:top="1134" w:right="1418" w:bottom="1134" w:left="1418" w:header="709" w:footer="709" w:gutter="0"/>
          <w:cols w:space="708"/>
          <w:docGrid w:linePitch="360"/>
        </w:sectPr>
      </w:pPr>
    </w:p>
    <w:p w14:paraId="06BA4720" w14:textId="77777777" w:rsidR="007F4C85" w:rsidRPr="004F6DAA" w:rsidRDefault="007F4C85" w:rsidP="007F4C85">
      <w:pPr>
        <w:jc w:val="center"/>
        <w:rPr>
          <w:noProof/>
        </w:rPr>
      </w:pPr>
      <w:r w:rsidRPr="004F6DAA">
        <w:rPr>
          <w:b/>
          <w:noProof/>
          <w:u w:val="single"/>
        </w:rPr>
        <w:t>OCENA SKUTKÓW FINANSOWYCH REGULACJI</w:t>
      </w:r>
    </w:p>
    <w:p w14:paraId="33475351" w14:textId="77777777" w:rsidR="007F4C85" w:rsidRPr="004F6DAA" w:rsidRDefault="007B7EB7" w:rsidP="007B7EB7">
      <w:pPr>
        <w:pStyle w:val="ManualHeading1"/>
        <w:rPr>
          <w:noProof/>
        </w:rPr>
      </w:pPr>
      <w:r w:rsidRPr="007B7EB7">
        <w:t>1.</w:t>
      </w:r>
      <w:r w:rsidRPr="007B7EB7">
        <w:tab/>
      </w:r>
      <w:r w:rsidR="007F4C85" w:rsidRPr="004F6DAA">
        <w:rPr>
          <w:noProof/>
        </w:rPr>
        <w:t xml:space="preserve">STRUKTURA WNIOSKU/INICJATYWY </w:t>
      </w:r>
    </w:p>
    <w:p w14:paraId="52542936" w14:textId="77777777" w:rsidR="007F4C85" w:rsidRPr="004F6DAA" w:rsidRDefault="007B7EB7" w:rsidP="007B7EB7">
      <w:pPr>
        <w:pStyle w:val="ManualHeading2"/>
        <w:rPr>
          <w:noProof/>
        </w:rPr>
      </w:pPr>
      <w:r w:rsidRPr="007B7EB7">
        <w:t>1.1.</w:t>
      </w:r>
      <w:r w:rsidRPr="007B7EB7">
        <w:tab/>
      </w:r>
      <w:r w:rsidR="007F4C85" w:rsidRPr="004F6DAA">
        <w:rPr>
          <w:noProof/>
        </w:rPr>
        <w:t>Tytuł wniosku/inicjatywy</w:t>
      </w:r>
    </w:p>
    <w:p w14:paraId="01BDCDD8" w14:textId="77777777" w:rsidR="007F4C85" w:rsidRPr="004F6DAA" w:rsidRDefault="007F4C85" w:rsidP="007F4C85">
      <w:pPr>
        <w:pStyle w:val="Text1"/>
        <w:pBdr>
          <w:top w:val="single" w:sz="4" w:space="1" w:color="auto"/>
          <w:left w:val="single" w:sz="4" w:space="4" w:color="auto"/>
          <w:bottom w:val="single" w:sz="4" w:space="0" w:color="auto"/>
          <w:right w:val="single" w:sz="4" w:space="4" w:color="auto"/>
        </w:pBdr>
        <w:rPr>
          <w:noProof/>
        </w:rPr>
      </w:pPr>
      <w:r w:rsidRPr="004F6DAA">
        <w:rPr>
          <w:noProof/>
        </w:rPr>
        <w:t>Wniosek</w:t>
      </w:r>
      <w:r w:rsidR="00062BFA" w:rsidRPr="004F6DAA">
        <w:rPr>
          <w:noProof/>
        </w:rPr>
        <w:t xml:space="preserve"> w</w:t>
      </w:r>
      <w:r w:rsidR="00062BFA">
        <w:rPr>
          <w:noProof/>
        </w:rPr>
        <w:t> </w:t>
      </w:r>
      <w:r w:rsidR="00062BFA" w:rsidRPr="004F6DAA">
        <w:rPr>
          <w:noProof/>
        </w:rPr>
        <w:t>spr</w:t>
      </w:r>
      <w:r w:rsidRPr="004F6DAA">
        <w:rPr>
          <w:noProof/>
        </w:rPr>
        <w:t>awie rozporządzenia Parlamentu Europejskiego</w:t>
      </w:r>
      <w:r w:rsidR="00062BFA" w:rsidRPr="004F6DAA">
        <w:rPr>
          <w:noProof/>
        </w:rPr>
        <w:t xml:space="preserve"> i</w:t>
      </w:r>
      <w:r w:rsidR="00062BFA">
        <w:rPr>
          <w:noProof/>
        </w:rPr>
        <w:t> </w:t>
      </w:r>
      <w:r w:rsidR="00062BFA" w:rsidRPr="004F6DAA">
        <w:rPr>
          <w:noProof/>
        </w:rPr>
        <w:t>Rad</w:t>
      </w:r>
      <w:r w:rsidRPr="004F6DAA">
        <w:rPr>
          <w:noProof/>
        </w:rPr>
        <w:t>y na temat niektórych odnośnych towarów</w:t>
      </w:r>
      <w:r w:rsidR="00062BFA" w:rsidRPr="004F6DAA">
        <w:rPr>
          <w:noProof/>
        </w:rPr>
        <w:t xml:space="preserve"> i</w:t>
      </w:r>
      <w:r w:rsidR="00062BFA">
        <w:rPr>
          <w:noProof/>
        </w:rPr>
        <w:t> </w:t>
      </w:r>
      <w:r w:rsidR="00062BFA" w:rsidRPr="004F6DAA">
        <w:rPr>
          <w:noProof/>
        </w:rPr>
        <w:t>pro</w:t>
      </w:r>
      <w:r w:rsidRPr="004F6DAA">
        <w:rPr>
          <w:noProof/>
        </w:rPr>
        <w:t>duktów związanych</w:t>
      </w:r>
      <w:r w:rsidR="00062BFA" w:rsidRPr="004F6DAA">
        <w:rPr>
          <w:noProof/>
        </w:rPr>
        <w:t xml:space="preserve"> z</w:t>
      </w:r>
      <w:r w:rsidR="00062BFA">
        <w:rPr>
          <w:noProof/>
        </w:rPr>
        <w:t> </w:t>
      </w:r>
      <w:r w:rsidR="00062BFA" w:rsidRPr="004F6DAA">
        <w:rPr>
          <w:noProof/>
        </w:rPr>
        <w:t>wyl</w:t>
      </w:r>
      <w:r w:rsidRPr="004F6DAA">
        <w:rPr>
          <w:noProof/>
        </w:rPr>
        <w:t>esianiem</w:t>
      </w:r>
      <w:r w:rsidR="00062BFA" w:rsidRPr="004F6DAA">
        <w:rPr>
          <w:noProof/>
        </w:rPr>
        <w:t xml:space="preserve"> i</w:t>
      </w:r>
      <w:r w:rsidR="00062BFA">
        <w:rPr>
          <w:noProof/>
        </w:rPr>
        <w:t> </w:t>
      </w:r>
      <w:r w:rsidR="00062BFA" w:rsidRPr="004F6DAA">
        <w:rPr>
          <w:noProof/>
        </w:rPr>
        <w:t>deg</w:t>
      </w:r>
      <w:r w:rsidRPr="004F6DAA">
        <w:rPr>
          <w:noProof/>
        </w:rPr>
        <w:t>radacją lasów</w:t>
      </w:r>
    </w:p>
    <w:p w14:paraId="698E870C" w14:textId="77777777" w:rsidR="007F4C85" w:rsidRPr="004F6DAA" w:rsidRDefault="007B7EB7" w:rsidP="007B7EB7">
      <w:pPr>
        <w:pStyle w:val="ManualHeading2"/>
        <w:rPr>
          <w:i/>
          <w:noProof/>
        </w:rPr>
      </w:pPr>
      <w:r w:rsidRPr="007B7EB7">
        <w:t>1.2.</w:t>
      </w:r>
      <w:r w:rsidRPr="007B7EB7">
        <w:tab/>
      </w:r>
      <w:r w:rsidR="007F4C85" w:rsidRPr="004F6DAA">
        <w:rPr>
          <w:noProof/>
        </w:rPr>
        <w:t>Obszary polityki, których dotyczy wniosek/inicjatywa</w:t>
      </w:r>
      <w:r w:rsidR="007F4C85" w:rsidRPr="004F6DAA">
        <w:rPr>
          <w:i/>
          <w:noProof/>
        </w:rPr>
        <w:t xml:space="preserve"> </w:t>
      </w:r>
    </w:p>
    <w:p w14:paraId="1BDFBE51"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09 - Działania na rzecz środowiska</w:t>
      </w:r>
      <w:r w:rsidR="00062BFA" w:rsidRPr="004F6DAA">
        <w:rPr>
          <w:noProof/>
        </w:rPr>
        <w:t xml:space="preserve"> i</w:t>
      </w:r>
      <w:r w:rsidR="00062BFA">
        <w:rPr>
          <w:noProof/>
        </w:rPr>
        <w:t> </w:t>
      </w:r>
      <w:r w:rsidR="00062BFA" w:rsidRPr="004F6DAA">
        <w:rPr>
          <w:noProof/>
        </w:rPr>
        <w:t>kli</w:t>
      </w:r>
      <w:r w:rsidRPr="004F6DAA">
        <w:rPr>
          <w:noProof/>
        </w:rPr>
        <w:t>matu</w:t>
      </w:r>
    </w:p>
    <w:p w14:paraId="7194E391" w14:textId="77777777" w:rsidR="007F4C85" w:rsidRPr="004F6DAA" w:rsidRDefault="007B7EB7" w:rsidP="007B7EB7">
      <w:pPr>
        <w:pStyle w:val="ManualHeading2"/>
        <w:rPr>
          <w:bCs/>
          <w:noProof/>
          <w:szCs w:val="24"/>
        </w:rPr>
      </w:pPr>
      <w:r w:rsidRPr="007B7EB7">
        <w:t>1.3.</w:t>
      </w:r>
      <w:r w:rsidRPr="007B7EB7">
        <w:tab/>
      </w:r>
      <w:r w:rsidR="007F4C85" w:rsidRPr="004F6DAA">
        <w:rPr>
          <w:noProof/>
        </w:rPr>
        <w:t xml:space="preserve">Wniosek/inicjatywa dotyczy: </w:t>
      </w:r>
    </w:p>
    <w:p w14:paraId="77EB3014" w14:textId="77777777" w:rsidR="007F4C85" w:rsidRPr="004F6DAA" w:rsidRDefault="007F4C85" w:rsidP="007F4C85">
      <w:pPr>
        <w:pStyle w:val="Text1"/>
        <w:rPr>
          <w:b/>
          <w:noProof/>
          <w:sz w:val="22"/>
        </w:rPr>
      </w:pPr>
      <w:r w:rsidRPr="00062BFA">
        <w:rPr>
          <w:noProof/>
        </w:rPr>
        <w:sym w:font="Wingdings" w:char="F0FE"/>
      </w:r>
      <w:r w:rsidR="00062BFA" w:rsidRPr="00062BFA">
        <w:rPr>
          <w:b/>
          <w:i/>
          <w:noProof/>
          <w:sz w:val="22"/>
        </w:rPr>
        <w:t xml:space="preserve"> </w:t>
      </w:r>
      <w:r w:rsidRPr="00062BFA">
        <w:rPr>
          <w:b/>
          <w:noProof/>
        </w:rPr>
        <w:t>n</w:t>
      </w:r>
      <w:r w:rsidRPr="004F6DAA">
        <w:rPr>
          <w:b/>
          <w:noProof/>
        </w:rPr>
        <w:t>owego działania</w:t>
      </w:r>
      <w:r w:rsidRPr="004F6DAA">
        <w:rPr>
          <w:b/>
          <w:noProof/>
          <w:sz w:val="22"/>
        </w:rPr>
        <w:t xml:space="preserve"> </w:t>
      </w:r>
    </w:p>
    <w:p w14:paraId="14A05998" w14:textId="77777777" w:rsidR="007F4C85" w:rsidRPr="004F6DAA" w:rsidRDefault="007F4C85" w:rsidP="007F4C85">
      <w:pPr>
        <w:pStyle w:val="Text1"/>
        <w:rPr>
          <w:noProof/>
          <w:sz w:val="22"/>
        </w:rPr>
      </w:pPr>
      <w:r w:rsidRPr="004F6DAA">
        <w:rPr>
          <w:noProof/>
          <w:sz w:val="22"/>
        </w:rPr>
        <w:sym w:font="Wingdings" w:char="F0A8"/>
      </w:r>
      <w:r w:rsidRPr="004F6DAA">
        <w:rPr>
          <w:i/>
          <w:noProof/>
          <w:sz w:val="22"/>
        </w:rPr>
        <w:t xml:space="preserve"> </w:t>
      </w:r>
      <w:r w:rsidRPr="004F6DAA">
        <w:rPr>
          <w:b/>
          <w:noProof/>
        </w:rPr>
        <w:t>nowego działania, będącego następstwem projektu pilotażowego/działania przygotowawczego</w:t>
      </w:r>
      <w:r w:rsidRPr="004F6DAA">
        <w:rPr>
          <w:rStyle w:val="Odwoanieprzypisudolnego"/>
          <w:b/>
          <w:noProof/>
        </w:rPr>
        <w:footnoteReference w:id="54"/>
      </w:r>
      <w:r w:rsidRPr="004F6DAA">
        <w:rPr>
          <w:noProof/>
          <w:sz w:val="22"/>
        </w:rPr>
        <w:t xml:space="preserve"> </w:t>
      </w:r>
    </w:p>
    <w:p w14:paraId="6699C61A" w14:textId="77777777" w:rsidR="007F4C85" w:rsidRPr="004F6DAA" w:rsidRDefault="007F4C85" w:rsidP="007F4C85">
      <w:pPr>
        <w:pStyle w:val="Text1"/>
        <w:rPr>
          <w:noProof/>
          <w:sz w:val="22"/>
        </w:rPr>
      </w:pPr>
      <w:r w:rsidRPr="004F6DAA">
        <w:rPr>
          <w:noProof/>
          <w:sz w:val="22"/>
        </w:rPr>
        <w:sym w:font="Wingdings" w:char="F0A8"/>
      </w:r>
      <w:r w:rsidRPr="004F6DAA">
        <w:rPr>
          <w:i/>
          <w:noProof/>
          <w:sz w:val="22"/>
        </w:rPr>
        <w:t xml:space="preserve"> </w:t>
      </w:r>
      <w:r w:rsidRPr="004F6DAA">
        <w:rPr>
          <w:b/>
          <w:noProof/>
        </w:rPr>
        <w:t>przedłużenia bieżącego działania</w:t>
      </w:r>
      <w:r w:rsidRPr="004F6DAA">
        <w:rPr>
          <w:noProof/>
          <w:sz w:val="22"/>
        </w:rPr>
        <w:t xml:space="preserve"> </w:t>
      </w:r>
    </w:p>
    <w:p w14:paraId="3451C1E4" w14:textId="77777777" w:rsidR="007F4C85" w:rsidRPr="004F6DAA" w:rsidRDefault="007F4C85" w:rsidP="007F4C85">
      <w:pPr>
        <w:pStyle w:val="Text1"/>
        <w:rPr>
          <w:noProof/>
        </w:rPr>
      </w:pPr>
      <w:r w:rsidRPr="004F6DAA">
        <w:rPr>
          <w:noProof/>
        </w:rPr>
        <w:sym w:font="Wingdings" w:char="F0FE"/>
      </w:r>
      <w:r w:rsidRPr="004F6DAA">
        <w:rPr>
          <w:i/>
          <w:noProof/>
          <w:sz w:val="22"/>
        </w:rPr>
        <w:t xml:space="preserve"> </w:t>
      </w:r>
      <w:r w:rsidRPr="004F6DAA">
        <w:rPr>
          <w:b/>
          <w:noProof/>
        </w:rPr>
        <w:t>połączenia lub przekształcenia co najmniej jednego działania pod kątem innego/nowego działania</w:t>
      </w:r>
      <w:r w:rsidRPr="004F6DAA">
        <w:rPr>
          <w:noProof/>
        </w:rPr>
        <w:t xml:space="preserve"> </w:t>
      </w:r>
    </w:p>
    <w:p w14:paraId="3F8817A1" w14:textId="77777777" w:rsidR="007F4C85" w:rsidRPr="004F6DAA" w:rsidRDefault="007B7EB7" w:rsidP="007B7EB7">
      <w:pPr>
        <w:pStyle w:val="ManualHeading2"/>
        <w:rPr>
          <w:bCs/>
          <w:noProof/>
          <w:szCs w:val="24"/>
        </w:rPr>
      </w:pPr>
      <w:r w:rsidRPr="007B7EB7">
        <w:t>1.4.</w:t>
      </w:r>
      <w:r w:rsidRPr="007B7EB7">
        <w:tab/>
      </w:r>
      <w:r w:rsidR="007F4C85" w:rsidRPr="004F6DAA">
        <w:rPr>
          <w:noProof/>
        </w:rPr>
        <w:t>Cel(e)</w:t>
      </w:r>
    </w:p>
    <w:p w14:paraId="62FF401F" w14:textId="77777777" w:rsidR="007F4C85" w:rsidRPr="004F6DAA" w:rsidRDefault="007B7EB7" w:rsidP="007B7EB7">
      <w:pPr>
        <w:pStyle w:val="ManualHeading3"/>
        <w:rPr>
          <w:noProof/>
        </w:rPr>
      </w:pPr>
      <w:r w:rsidRPr="007B7EB7">
        <w:t>1.4.1.</w:t>
      </w:r>
      <w:r w:rsidRPr="007B7EB7">
        <w:tab/>
      </w:r>
      <w:r w:rsidR="007F4C85" w:rsidRPr="004F6DAA">
        <w:rPr>
          <w:noProof/>
        </w:rPr>
        <w:t>Cel(e) ogólny(e)</w:t>
      </w:r>
    </w:p>
    <w:p w14:paraId="754BCDC9"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Ogólnym celem jest ograniczenie wylesiania</w:t>
      </w:r>
      <w:r w:rsidR="00062BFA" w:rsidRPr="004F6DAA">
        <w:rPr>
          <w:noProof/>
        </w:rPr>
        <w:t xml:space="preserve"> i</w:t>
      </w:r>
      <w:r w:rsidR="00062BFA">
        <w:rPr>
          <w:noProof/>
        </w:rPr>
        <w:t> </w:t>
      </w:r>
      <w:r w:rsidR="00062BFA" w:rsidRPr="004F6DAA">
        <w:rPr>
          <w:noProof/>
        </w:rPr>
        <w:t>deg</w:t>
      </w:r>
      <w:r w:rsidRPr="004F6DAA">
        <w:rPr>
          <w:noProof/>
        </w:rPr>
        <w:t>radacji lasów, powodowanych przez konsumpcję</w:t>
      </w:r>
      <w:r w:rsidR="00062BFA" w:rsidRPr="004F6DAA">
        <w:rPr>
          <w:noProof/>
        </w:rPr>
        <w:t xml:space="preserve"> i</w:t>
      </w:r>
      <w:r w:rsidR="00062BFA">
        <w:rPr>
          <w:noProof/>
        </w:rPr>
        <w:t> </w:t>
      </w:r>
      <w:r w:rsidR="00062BFA" w:rsidRPr="004F6DAA">
        <w:rPr>
          <w:noProof/>
        </w:rPr>
        <w:t>pro</w:t>
      </w:r>
      <w:r w:rsidRPr="004F6DAA">
        <w:rPr>
          <w:noProof/>
        </w:rPr>
        <w:t>dukcję w UE. Ma to</w:t>
      </w:r>
      <w:r w:rsidR="00062BFA" w:rsidRPr="004F6DAA">
        <w:rPr>
          <w:noProof/>
        </w:rPr>
        <w:t xml:space="preserve"> z</w:t>
      </w:r>
      <w:r w:rsidR="00062BFA">
        <w:rPr>
          <w:noProof/>
        </w:rPr>
        <w:t> </w:t>
      </w:r>
      <w:r w:rsidR="00062BFA" w:rsidRPr="004F6DAA">
        <w:rPr>
          <w:noProof/>
        </w:rPr>
        <w:t>kol</w:t>
      </w:r>
      <w:r w:rsidRPr="004F6DAA">
        <w:rPr>
          <w:noProof/>
        </w:rPr>
        <w:t>ei zmniejszyć emisję gazów cieplarnianych</w:t>
      </w:r>
      <w:r w:rsidR="00062BFA" w:rsidRPr="004F6DAA">
        <w:rPr>
          <w:noProof/>
        </w:rPr>
        <w:t xml:space="preserve"> i</w:t>
      </w:r>
      <w:r w:rsidR="00062BFA">
        <w:rPr>
          <w:noProof/>
        </w:rPr>
        <w:t> </w:t>
      </w:r>
      <w:r w:rsidR="00062BFA" w:rsidRPr="004F6DAA">
        <w:rPr>
          <w:noProof/>
        </w:rPr>
        <w:t>utr</w:t>
      </w:r>
      <w:r w:rsidRPr="004F6DAA">
        <w:rPr>
          <w:noProof/>
        </w:rPr>
        <w:t>atę różnorodności biologicznej spowodowane przez UE.</w:t>
      </w:r>
    </w:p>
    <w:p w14:paraId="782280C4" w14:textId="77777777" w:rsidR="007F4C85" w:rsidRPr="004F6DAA" w:rsidRDefault="007B7EB7" w:rsidP="007B7EB7">
      <w:pPr>
        <w:pStyle w:val="ManualHeading3"/>
        <w:rPr>
          <w:bCs/>
          <w:noProof/>
          <w:szCs w:val="24"/>
        </w:rPr>
      </w:pPr>
      <w:r w:rsidRPr="007B7EB7">
        <w:t>1.4.2.</w:t>
      </w:r>
      <w:r w:rsidRPr="007B7EB7">
        <w:tab/>
      </w:r>
      <w:r w:rsidR="007F4C85" w:rsidRPr="004F6DAA">
        <w:rPr>
          <w:noProof/>
        </w:rPr>
        <w:t>Cel(e) szczegółowy(e)</w:t>
      </w:r>
    </w:p>
    <w:p w14:paraId="5EB2DD02"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u w:val="single"/>
        </w:rPr>
      </w:pPr>
      <w:r w:rsidRPr="004F6DAA">
        <w:rPr>
          <w:noProof/>
          <w:u w:val="single"/>
        </w:rPr>
        <w:t>Cel szczegółowy nr:</w:t>
      </w:r>
    </w:p>
    <w:p w14:paraId="0ED56EAB"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Ograniczenie wylesiania</w:t>
      </w:r>
      <w:r w:rsidR="00062BFA" w:rsidRPr="004F6DAA">
        <w:rPr>
          <w:noProof/>
        </w:rPr>
        <w:t xml:space="preserve"> i</w:t>
      </w:r>
      <w:r w:rsidR="00062BFA">
        <w:rPr>
          <w:noProof/>
        </w:rPr>
        <w:t> </w:t>
      </w:r>
      <w:r w:rsidR="00062BFA" w:rsidRPr="004F6DAA">
        <w:rPr>
          <w:noProof/>
        </w:rPr>
        <w:t>deg</w:t>
      </w:r>
      <w:r w:rsidRPr="004F6DAA">
        <w:rPr>
          <w:noProof/>
        </w:rPr>
        <w:t>radacji lasów, powodowanych przez konsumpcję</w:t>
      </w:r>
      <w:r w:rsidR="00062BFA" w:rsidRPr="004F6DAA">
        <w:rPr>
          <w:noProof/>
        </w:rPr>
        <w:t xml:space="preserve"> i</w:t>
      </w:r>
      <w:r w:rsidR="00062BFA">
        <w:rPr>
          <w:noProof/>
        </w:rPr>
        <w:t> </w:t>
      </w:r>
      <w:r w:rsidR="00062BFA" w:rsidRPr="004F6DAA">
        <w:rPr>
          <w:noProof/>
        </w:rPr>
        <w:t>pro</w:t>
      </w:r>
      <w:r w:rsidRPr="004F6DAA">
        <w:rPr>
          <w:noProof/>
        </w:rPr>
        <w:t>dukcję w UE:</w:t>
      </w:r>
    </w:p>
    <w:p w14:paraId="2D0360E7" w14:textId="77777777" w:rsidR="007F4C85" w:rsidRPr="004F6DAA" w:rsidRDefault="007F4C85" w:rsidP="007F4C85">
      <w:pPr>
        <w:pStyle w:val="Bullet1"/>
        <w:numPr>
          <w:ilvl w:val="0"/>
          <w:numId w:val="17"/>
        </w:numPr>
        <w:pBdr>
          <w:top w:val="single" w:sz="4" w:space="1" w:color="auto"/>
          <w:left w:val="single" w:sz="4" w:space="4" w:color="auto"/>
          <w:bottom w:val="single" w:sz="4" w:space="1" w:color="auto"/>
          <w:right w:val="single" w:sz="4" w:space="4" w:color="auto"/>
        </w:pBdr>
        <w:rPr>
          <w:noProof/>
        </w:rPr>
      </w:pPr>
      <w:r w:rsidRPr="004F6DAA">
        <w:rPr>
          <w:noProof/>
        </w:rPr>
        <w:t>Zminimalizowanie konsumpcji produktów pochodzących</w:t>
      </w:r>
      <w:r w:rsidR="00062BFA" w:rsidRPr="004F6DAA">
        <w:rPr>
          <w:noProof/>
        </w:rPr>
        <w:t xml:space="preserve"> z</w:t>
      </w:r>
      <w:r w:rsidR="00062BFA">
        <w:rPr>
          <w:noProof/>
        </w:rPr>
        <w:t> </w:t>
      </w:r>
      <w:r w:rsidR="00062BFA" w:rsidRPr="004F6DAA">
        <w:rPr>
          <w:noProof/>
        </w:rPr>
        <w:t>łań</w:t>
      </w:r>
      <w:r w:rsidRPr="004F6DAA">
        <w:rPr>
          <w:noProof/>
        </w:rPr>
        <w:t>cuchów dostaw związanych</w:t>
      </w:r>
      <w:r w:rsidR="00062BFA" w:rsidRPr="004F6DAA">
        <w:rPr>
          <w:noProof/>
        </w:rPr>
        <w:t xml:space="preserve"> z</w:t>
      </w:r>
      <w:r w:rsidR="00062BFA">
        <w:rPr>
          <w:noProof/>
        </w:rPr>
        <w:t> </w:t>
      </w:r>
      <w:r w:rsidR="00062BFA" w:rsidRPr="004F6DAA">
        <w:rPr>
          <w:noProof/>
        </w:rPr>
        <w:t>wyl</w:t>
      </w:r>
      <w:r w:rsidRPr="004F6DAA">
        <w:rPr>
          <w:noProof/>
        </w:rPr>
        <w:t>esianiem lub degradacją lasów.</w:t>
      </w:r>
    </w:p>
    <w:p w14:paraId="75A93C08" w14:textId="77777777" w:rsidR="007F4C85" w:rsidRPr="004F6DAA" w:rsidRDefault="007F4C85" w:rsidP="007F4C85">
      <w:pPr>
        <w:pStyle w:val="Bullet1"/>
        <w:pBdr>
          <w:top w:val="single" w:sz="4" w:space="1" w:color="auto"/>
          <w:left w:val="single" w:sz="4" w:space="4" w:color="auto"/>
          <w:bottom w:val="single" w:sz="4" w:space="1" w:color="auto"/>
          <w:right w:val="single" w:sz="4" w:space="4" w:color="auto"/>
        </w:pBdr>
        <w:rPr>
          <w:noProof/>
        </w:rPr>
      </w:pPr>
      <w:r w:rsidRPr="004F6DAA">
        <w:rPr>
          <w:noProof/>
        </w:rPr>
        <w:t>Zwiększenie popytu w UE na legalne i „niepowodujące wylesiania” towary</w:t>
      </w:r>
      <w:r w:rsidR="00062BFA" w:rsidRPr="004F6DAA">
        <w:rPr>
          <w:noProof/>
        </w:rPr>
        <w:t xml:space="preserve"> i</w:t>
      </w:r>
      <w:r w:rsidR="00062BFA">
        <w:rPr>
          <w:noProof/>
        </w:rPr>
        <w:t> </w:t>
      </w:r>
      <w:r w:rsidR="00062BFA" w:rsidRPr="004F6DAA">
        <w:rPr>
          <w:noProof/>
        </w:rPr>
        <w:t>pro</w:t>
      </w:r>
      <w:r w:rsidRPr="004F6DAA">
        <w:rPr>
          <w:noProof/>
        </w:rPr>
        <w:t>dukty oraz rozwój handlu tymi towarami</w:t>
      </w:r>
      <w:r w:rsidR="00062BFA" w:rsidRPr="004F6DAA">
        <w:rPr>
          <w:noProof/>
        </w:rPr>
        <w:t xml:space="preserve"> i</w:t>
      </w:r>
      <w:r w:rsidR="00062BFA">
        <w:rPr>
          <w:noProof/>
        </w:rPr>
        <w:t> </w:t>
      </w:r>
      <w:r w:rsidR="00062BFA" w:rsidRPr="004F6DAA">
        <w:rPr>
          <w:noProof/>
        </w:rPr>
        <w:t>pro</w:t>
      </w:r>
      <w:r w:rsidRPr="004F6DAA">
        <w:rPr>
          <w:noProof/>
        </w:rPr>
        <w:t>duktami.</w:t>
      </w:r>
    </w:p>
    <w:p w14:paraId="7870EEFF" w14:textId="77777777" w:rsidR="007F4C85" w:rsidRPr="004F6DAA" w:rsidRDefault="007B7EB7" w:rsidP="007B7EB7">
      <w:pPr>
        <w:pStyle w:val="ManualHeading3"/>
        <w:rPr>
          <w:noProof/>
        </w:rPr>
      </w:pPr>
      <w:r w:rsidRPr="007B7EB7">
        <w:t>1.4.3.</w:t>
      </w:r>
      <w:r w:rsidRPr="007B7EB7">
        <w:tab/>
      </w:r>
      <w:r w:rsidR="007F4C85" w:rsidRPr="004F6DAA">
        <w:rPr>
          <w:noProof/>
        </w:rPr>
        <w:t>Oczekiwane wyniki</w:t>
      </w:r>
      <w:r w:rsidR="00062BFA" w:rsidRPr="004F6DAA">
        <w:rPr>
          <w:noProof/>
        </w:rPr>
        <w:t xml:space="preserve"> i</w:t>
      </w:r>
      <w:r w:rsidR="00062BFA">
        <w:rPr>
          <w:noProof/>
        </w:rPr>
        <w:t> </w:t>
      </w:r>
      <w:r w:rsidR="00062BFA" w:rsidRPr="004F6DAA">
        <w:rPr>
          <w:noProof/>
        </w:rPr>
        <w:t>wpł</w:t>
      </w:r>
      <w:r w:rsidR="007F4C85" w:rsidRPr="004F6DAA">
        <w:rPr>
          <w:noProof/>
        </w:rPr>
        <w:t>yw</w:t>
      </w:r>
    </w:p>
    <w:p w14:paraId="1F8DA2A7" w14:textId="77777777" w:rsidR="007F4C85" w:rsidRPr="004F6DAA" w:rsidRDefault="007F4C85" w:rsidP="007F4C85">
      <w:pPr>
        <w:pStyle w:val="Text1"/>
        <w:rPr>
          <w:i/>
          <w:noProof/>
          <w:sz w:val="20"/>
        </w:rPr>
      </w:pPr>
      <w:r w:rsidRPr="004F6DAA">
        <w:rPr>
          <w:i/>
          <w:noProof/>
          <w:sz w:val="20"/>
        </w:rPr>
        <w:t>Należy wskazać, jakie efekty przyniesie wniosek/inicjatywa beneficjentom/grupie docelowej.</w:t>
      </w:r>
    </w:p>
    <w:p w14:paraId="17A59771"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Rozporządzenie, którego dotyczy wniosek, zapobiegnie wylesianiu powodowanemu przez konsumpcję</w:t>
      </w:r>
      <w:r w:rsidR="00062BFA" w:rsidRPr="004F6DAA">
        <w:rPr>
          <w:noProof/>
        </w:rPr>
        <w:t xml:space="preserve"> i</w:t>
      </w:r>
      <w:r w:rsidR="00062BFA">
        <w:rPr>
          <w:noProof/>
        </w:rPr>
        <w:t> </w:t>
      </w:r>
      <w:r w:rsidR="00062BFA" w:rsidRPr="004F6DAA">
        <w:rPr>
          <w:noProof/>
        </w:rPr>
        <w:t>pro</w:t>
      </w:r>
      <w:r w:rsidRPr="004F6DAA">
        <w:rPr>
          <w:noProof/>
        </w:rPr>
        <w:t>dukcję w UE sześciu towarów objętych zakresem jego stosowania, przynosząc przewidywane korzyści</w:t>
      </w:r>
      <w:r w:rsidR="00062BFA" w:rsidRPr="004F6DAA">
        <w:rPr>
          <w:noProof/>
        </w:rPr>
        <w:t xml:space="preserve"> w</w:t>
      </w:r>
      <w:r w:rsidR="00062BFA">
        <w:rPr>
          <w:noProof/>
        </w:rPr>
        <w:t> </w:t>
      </w:r>
      <w:r w:rsidR="00062BFA" w:rsidRPr="004F6DAA">
        <w:rPr>
          <w:noProof/>
        </w:rPr>
        <w:t>pos</w:t>
      </w:r>
      <w:r w:rsidRPr="004F6DAA">
        <w:rPr>
          <w:noProof/>
        </w:rPr>
        <w:t>taci zmniejszenia powierzchni lasów dotkniętych procesami wylesiania</w:t>
      </w:r>
      <w:r w:rsidR="00062BFA" w:rsidRPr="004F6DAA">
        <w:rPr>
          <w:noProof/>
        </w:rPr>
        <w:t xml:space="preserve"> i</w:t>
      </w:r>
      <w:r w:rsidR="00062BFA">
        <w:rPr>
          <w:noProof/>
        </w:rPr>
        <w:t> </w:t>
      </w:r>
      <w:r w:rsidR="00062BFA" w:rsidRPr="004F6DAA">
        <w:rPr>
          <w:noProof/>
        </w:rPr>
        <w:t>deg</w:t>
      </w:r>
      <w:r w:rsidRPr="004F6DAA">
        <w:rPr>
          <w:noProof/>
        </w:rPr>
        <w:t>radacji lasów powodowanymi przez UE</w:t>
      </w:r>
      <w:r w:rsidR="00062BFA" w:rsidRPr="004F6DAA">
        <w:rPr>
          <w:noProof/>
        </w:rPr>
        <w:t xml:space="preserve"> o</w:t>
      </w:r>
      <w:r w:rsidR="00062BFA">
        <w:rPr>
          <w:noProof/>
        </w:rPr>
        <w:t> </w:t>
      </w:r>
      <w:r w:rsidR="00062BFA" w:rsidRPr="004F6DAA">
        <w:rPr>
          <w:noProof/>
        </w:rPr>
        <w:t>zna</w:t>
      </w:r>
      <w:r w:rsidRPr="004F6DAA">
        <w:rPr>
          <w:noProof/>
        </w:rPr>
        <w:t>cznie więcej niż 71 920 hektarów rocznie (</w:t>
      </w:r>
      <w:r w:rsidRPr="00062BFA">
        <w:rPr>
          <w:noProof/>
        </w:rPr>
        <w:t>do</w:t>
      </w:r>
      <w:r w:rsidR="00062BFA" w:rsidRPr="00062BFA">
        <w:rPr>
          <w:noProof/>
        </w:rPr>
        <w:t> </w:t>
      </w:r>
      <w:r w:rsidRPr="00062BFA">
        <w:rPr>
          <w:noProof/>
        </w:rPr>
        <w:t>2</w:t>
      </w:r>
      <w:r w:rsidRPr="004F6DAA">
        <w:rPr>
          <w:noProof/>
        </w:rPr>
        <w:t>0</w:t>
      </w:r>
      <w:r w:rsidRPr="00062BFA">
        <w:rPr>
          <w:noProof/>
        </w:rPr>
        <w:t>30</w:t>
      </w:r>
      <w:r w:rsidR="00062BFA" w:rsidRPr="00062BFA">
        <w:rPr>
          <w:noProof/>
        </w:rPr>
        <w:t> </w:t>
      </w:r>
      <w:r w:rsidRPr="00062BFA">
        <w:rPr>
          <w:noProof/>
        </w:rPr>
        <w:t>r.</w:t>
      </w:r>
      <w:r w:rsidRPr="004F6DAA">
        <w:rPr>
          <w:noProof/>
        </w:rPr>
        <w:t>). Oznaczałoby to również ograniczenie o co najmniej 31,9 mln ton metrycznych emisji dwutlenku węgla do atmosfery każdego roku</w:t>
      </w:r>
      <w:r w:rsidR="00062BFA" w:rsidRPr="004F6DAA">
        <w:rPr>
          <w:noProof/>
        </w:rPr>
        <w:t xml:space="preserve">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kon</w:t>
      </w:r>
      <w:r w:rsidRPr="004F6DAA">
        <w:rPr>
          <w:noProof/>
        </w:rPr>
        <w:t>sumpcją</w:t>
      </w:r>
      <w:r w:rsidR="00062BFA" w:rsidRPr="004F6DAA">
        <w:rPr>
          <w:noProof/>
        </w:rPr>
        <w:t xml:space="preserve"> i</w:t>
      </w:r>
      <w:r w:rsidR="00062BFA">
        <w:rPr>
          <w:noProof/>
        </w:rPr>
        <w:t> </w:t>
      </w:r>
      <w:r w:rsidR="00062BFA" w:rsidRPr="004F6DAA">
        <w:rPr>
          <w:noProof/>
        </w:rPr>
        <w:t>pro</w:t>
      </w:r>
      <w:r w:rsidRPr="004F6DAA">
        <w:rPr>
          <w:noProof/>
        </w:rPr>
        <w:t>dukcją odnośnych towarów w UE, co przekłada się na potencjalne oszczędności gospodarcze</w:t>
      </w:r>
      <w:r w:rsidR="00062BFA" w:rsidRPr="004F6DAA">
        <w:rPr>
          <w:noProof/>
        </w:rPr>
        <w:t xml:space="preserve"> w</w:t>
      </w:r>
      <w:r w:rsidR="00062BFA">
        <w:rPr>
          <w:noProof/>
        </w:rPr>
        <w:t> </w:t>
      </w:r>
      <w:r w:rsidR="00062BFA" w:rsidRPr="004F6DAA">
        <w:rPr>
          <w:noProof/>
        </w:rPr>
        <w:t>wys</w:t>
      </w:r>
      <w:r w:rsidRPr="004F6DAA">
        <w:rPr>
          <w:noProof/>
        </w:rPr>
        <w:t>okości co najmniej 3,2 mld EUR rocznie. Ponadto oczekuje się, że rozporządzenie zdecydowanie przyczyni się do ochrony różnorodności biologicznej, do zapewnienia równych szans dla przedsiębiorstw działających na rynku UE, jak również do osiągnięcia celów szczegółowych rozporządzenia: zmniejszenia do minimum konsumpcji produktów pochodzących</w:t>
      </w:r>
      <w:r w:rsidR="00062BFA" w:rsidRPr="004F6DAA">
        <w:rPr>
          <w:noProof/>
        </w:rPr>
        <w:t xml:space="preserve"> z</w:t>
      </w:r>
      <w:r w:rsidR="00062BFA">
        <w:rPr>
          <w:noProof/>
        </w:rPr>
        <w:t> </w:t>
      </w:r>
      <w:r w:rsidR="00062BFA" w:rsidRPr="004F6DAA">
        <w:rPr>
          <w:noProof/>
        </w:rPr>
        <w:t>łań</w:t>
      </w:r>
      <w:r w:rsidRPr="004F6DAA">
        <w:rPr>
          <w:noProof/>
        </w:rPr>
        <w:t>cuchów dostaw związanych</w:t>
      </w:r>
      <w:r w:rsidR="00062BFA" w:rsidRPr="004F6DAA">
        <w:rPr>
          <w:noProof/>
        </w:rPr>
        <w:t xml:space="preserve"> z</w:t>
      </w:r>
      <w:r w:rsidR="00062BFA">
        <w:rPr>
          <w:noProof/>
        </w:rPr>
        <w:t> </w:t>
      </w:r>
      <w:r w:rsidR="00062BFA" w:rsidRPr="004F6DAA">
        <w:rPr>
          <w:noProof/>
        </w:rPr>
        <w:t>wyl</w:t>
      </w:r>
      <w:r w:rsidRPr="004F6DAA">
        <w:rPr>
          <w:noProof/>
        </w:rPr>
        <w:t>esianiem lub degradacją lasów oraz zwiększenie popytu w UE na legalne i „niepowodujące wylesiania” towary</w:t>
      </w:r>
      <w:r w:rsidR="00062BFA" w:rsidRPr="004F6DAA">
        <w:rPr>
          <w:noProof/>
        </w:rPr>
        <w:t xml:space="preserve"> i</w:t>
      </w:r>
      <w:r w:rsidR="00062BFA">
        <w:rPr>
          <w:noProof/>
        </w:rPr>
        <w:t> </w:t>
      </w:r>
      <w:r w:rsidR="00062BFA" w:rsidRPr="004F6DAA">
        <w:rPr>
          <w:noProof/>
        </w:rPr>
        <w:t>pro</w:t>
      </w:r>
      <w:r w:rsidRPr="004F6DAA">
        <w:rPr>
          <w:noProof/>
        </w:rPr>
        <w:t>dukty oraz zwiększenie handlu tymi produktami</w:t>
      </w:r>
      <w:r w:rsidR="00062BFA" w:rsidRPr="004F6DAA">
        <w:rPr>
          <w:noProof/>
        </w:rPr>
        <w:t xml:space="preserve"> i</w:t>
      </w:r>
      <w:r w:rsidR="00062BFA">
        <w:rPr>
          <w:noProof/>
        </w:rPr>
        <w:t> </w:t>
      </w:r>
      <w:r w:rsidR="00062BFA" w:rsidRPr="004F6DAA">
        <w:rPr>
          <w:noProof/>
        </w:rPr>
        <w:t>tow</w:t>
      </w:r>
      <w:r w:rsidRPr="004F6DAA">
        <w:rPr>
          <w:noProof/>
        </w:rPr>
        <w:t>arami.</w:t>
      </w:r>
    </w:p>
    <w:p w14:paraId="46AF9B6C" w14:textId="77777777" w:rsidR="007F4C85" w:rsidRPr="004F6DAA" w:rsidRDefault="007B7EB7" w:rsidP="007B7EB7">
      <w:pPr>
        <w:pStyle w:val="ManualHeading3"/>
        <w:rPr>
          <w:noProof/>
          <w:szCs w:val="24"/>
        </w:rPr>
      </w:pPr>
      <w:r w:rsidRPr="007B7EB7">
        <w:t>1.4.4.</w:t>
      </w:r>
      <w:r w:rsidRPr="007B7EB7">
        <w:tab/>
      </w:r>
      <w:r w:rsidR="007F4C85" w:rsidRPr="004F6DAA">
        <w:rPr>
          <w:noProof/>
        </w:rPr>
        <w:t>Wskaźniki dotyczące realizacji celów</w:t>
      </w:r>
    </w:p>
    <w:p w14:paraId="59EA621D" w14:textId="77777777" w:rsidR="007F4C85" w:rsidRPr="004F6DAA" w:rsidRDefault="007F4C85" w:rsidP="007F4C85">
      <w:pPr>
        <w:pStyle w:val="Text1"/>
        <w:rPr>
          <w:i/>
          <w:noProof/>
          <w:sz w:val="20"/>
        </w:rPr>
      </w:pPr>
      <w:r w:rsidRPr="004F6DAA">
        <w:rPr>
          <w:i/>
          <w:noProof/>
          <w:sz w:val="20"/>
        </w:rPr>
        <w:t>Należy wskazać wskaźniki stosowane do monitorowania postępów</w:t>
      </w:r>
      <w:r w:rsidR="00062BFA" w:rsidRPr="004F6DAA">
        <w:rPr>
          <w:i/>
          <w:noProof/>
          <w:sz w:val="20"/>
        </w:rPr>
        <w:t xml:space="preserve"> i</w:t>
      </w:r>
      <w:r w:rsidR="00062BFA">
        <w:rPr>
          <w:i/>
          <w:noProof/>
          <w:sz w:val="20"/>
        </w:rPr>
        <w:t> </w:t>
      </w:r>
      <w:r w:rsidR="00062BFA" w:rsidRPr="004F6DAA">
        <w:rPr>
          <w:i/>
          <w:noProof/>
          <w:sz w:val="20"/>
        </w:rPr>
        <w:t>osi</w:t>
      </w:r>
      <w:r w:rsidRPr="004F6DAA">
        <w:rPr>
          <w:i/>
          <w:noProof/>
          <w:sz w:val="20"/>
        </w:rPr>
        <w:t>ągnięć.</w:t>
      </w:r>
    </w:p>
    <w:p w14:paraId="0FC2D13F"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1. Co najmniej 71 920 hektarów lasów mniej rocznie ulegnie wylesieniu lub degradacji</w:t>
      </w:r>
      <w:r w:rsidR="00062BFA" w:rsidRPr="004F6DAA">
        <w:rPr>
          <w:noProof/>
        </w:rPr>
        <w:t xml:space="preserve"> z</w:t>
      </w:r>
      <w:r w:rsidR="00062BFA">
        <w:rPr>
          <w:noProof/>
        </w:rPr>
        <w:t> </w:t>
      </w:r>
      <w:r w:rsidR="00062BFA" w:rsidRPr="004F6DAA">
        <w:rPr>
          <w:noProof/>
        </w:rPr>
        <w:t>pow</w:t>
      </w:r>
      <w:r w:rsidRPr="004F6DAA">
        <w:rPr>
          <w:noProof/>
        </w:rPr>
        <w:t>odu konsumpcji lub produkcji w UE towarów objętych zakresem stosowania rozporządzenia.</w:t>
      </w:r>
    </w:p>
    <w:p w14:paraId="3FE22824"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2. Co najmniej 31,9 mln ton metrycznych dwutlenku węgla rocznie nie zostanie wyemitowanych do atmosfery</w:t>
      </w:r>
      <w:r w:rsidR="00062BFA" w:rsidRPr="004F6DAA">
        <w:rPr>
          <w:noProof/>
        </w:rPr>
        <w:t xml:space="preserve"> w</w:t>
      </w:r>
      <w:r w:rsidR="00062BFA">
        <w:rPr>
          <w:noProof/>
        </w:rPr>
        <w:t> </w:t>
      </w:r>
      <w:r w:rsidR="00062BFA" w:rsidRPr="004F6DAA">
        <w:rPr>
          <w:noProof/>
        </w:rPr>
        <w:t>zwi</w:t>
      </w:r>
      <w:r w:rsidRPr="004F6DAA">
        <w:rPr>
          <w:noProof/>
        </w:rPr>
        <w:t>ązku</w:t>
      </w:r>
      <w:r w:rsidR="00062BFA" w:rsidRPr="004F6DAA">
        <w:rPr>
          <w:noProof/>
        </w:rPr>
        <w:t xml:space="preserve"> z</w:t>
      </w:r>
      <w:r w:rsidR="00062BFA">
        <w:rPr>
          <w:noProof/>
        </w:rPr>
        <w:t> </w:t>
      </w:r>
      <w:r w:rsidR="00062BFA" w:rsidRPr="004F6DAA">
        <w:rPr>
          <w:noProof/>
        </w:rPr>
        <w:t>kon</w:t>
      </w:r>
      <w:r w:rsidRPr="004F6DAA">
        <w:rPr>
          <w:noProof/>
        </w:rPr>
        <w:t>sumpcją</w:t>
      </w:r>
      <w:r w:rsidR="00062BFA" w:rsidRPr="004F6DAA">
        <w:rPr>
          <w:noProof/>
        </w:rPr>
        <w:t xml:space="preserve"> i</w:t>
      </w:r>
      <w:r w:rsidR="00062BFA">
        <w:rPr>
          <w:noProof/>
        </w:rPr>
        <w:t> </w:t>
      </w:r>
      <w:r w:rsidR="00062BFA" w:rsidRPr="004F6DAA">
        <w:rPr>
          <w:noProof/>
        </w:rPr>
        <w:t>pro</w:t>
      </w:r>
      <w:r w:rsidRPr="004F6DAA">
        <w:rPr>
          <w:noProof/>
        </w:rPr>
        <w:t>dukcją w UE towarów objętych zakresem rozporządzenia.</w:t>
      </w:r>
    </w:p>
    <w:p w14:paraId="622AC724"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3. Mniej gatunków zwierząt</w:t>
      </w:r>
      <w:r w:rsidR="00062BFA" w:rsidRPr="004F6DAA">
        <w:rPr>
          <w:noProof/>
        </w:rPr>
        <w:t xml:space="preserve"> i</w:t>
      </w:r>
      <w:r w:rsidR="00062BFA">
        <w:rPr>
          <w:noProof/>
        </w:rPr>
        <w:t> </w:t>
      </w:r>
      <w:r w:rsidR="00062BFA" w:rsidRPr="004F6DAA">
        <w:rPr>
          <w:noProof/>
        </w:rPr>
        <w:t>roś</w:t>
      </w:r>
      <w:r w:rsidRPr="004F6DAA">
        <w:rPr>
          <w:noProof/>
        </w:rPr>
        <w:t>lin będzie zagrożonych wyginięciem</w:t>
      </w:r>
      <w:r w:rsidR="00062BFA" w:rsidRPr="004F6DAA">
        <w:rPr>
          <w:noProof/>
        </w:rPr>
        <w:t xml:space="preserve"> z</w:t>
      </w:r>
      <w:r w:rsidR="00062BFA">
        <w:rPr>
          <w:noProof/>
        </w:rPr>
        <w:t> </w:t>
      </w:r>
      <w:r w:rsidR="00062BFA" w:rsidRPr="004F6DAA">
        <w:rPr>
          <w:noProof/>
        </w:rPr>
        <w:t>pow</w:t>
      </w:r>
      <w:r w:rsidRPr="004F6DAA">
        <w:rPr>
          <w:noProof/>
        </w:rPr>
        <w:t>odu wylesiania</w:t>
      </w:r>
      <w:r w:rsidR="00062BFA" w:rsidRPr="004F6DAA">
        <w:rPr>
          <w:noProof/>
        </w:rPr>
        <w:t xml:space="preserve"> i</w:t>
      </w:r>
      <w:r w:rsidR="00062BFA">
        <w:rPr>
          <w:noProof/>
        </w:rPr>
        <w:t> </w:t>
      </w:r>
      <w:r w:rsidR="00062BFA" w:rsidRPr="004F6DAA">
        <w:rPr>
          <w:noProof/>
        </w:rPr>
        <w:t>deg</w:t>
      </w:r>
      <w:r w:rsidRPr="004F6DAA">
        <w:rPr>
          <w:noProof/>
        </w:rPr>
        <w:t>radacji lasów wynikających</w:t>
      </w:r>
      <w:r w:rsidR="00062BFA" w:rsidRPr="004F6DAA">
        <w:rPr>
          <w:noProof/>
        </w:rPr>
        <w:t xml:space="preserve"> z</w:t>
      </w:r>
      <w:r w:rsidR="00062BFA">
        <w:rPr>
          <w:noProof/>
        </w:rPr>
        <w:t> </w:t>
      </w:r>
      <w:r w:rsidR="00062BFA" w:rsidRPr="004F6DAA">
        <w:rPr>
          <w:noProof/>
        </w:rPr>
        <w:t>dzi</w:t>
      </w:r>
      <w:r w:rsidRPr="004F6DAA">
        <w:rPr>
          <w:noProof/>
        </w:rPr>
        <w:t>ałalności UE.</w:t>
      </w:r>
    </w:p>
    <w:p w14:paraId="1E2696A8"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4. Podmioty</w:t>
      </w:r>
      <w:r w:rsidR="00062BFA" w:rsidRPr="004F6DAA">
        <w:rPr>
          <w:noProof/>
        </w:rPr>
        <w:t xml:space="preserve"> i</w:t>
      </w:r>
      <w:r w:rsidR="00062BFA">
        <w:rPr>
          <w:noProof/>
        </w:rPr>
        <w:t> </w:t>
      </w:r>
      <w:r w:rsidR="00062BFA" w:rsidRPr="004F6DAA">
        <w:rPr>
          <w:noProof/>
        </w:rPr>
        <w:t>pod</w:t>
      </w:r>
      <w:r w:rsidRPr="004F6DAA">
        <w:rPr>
          <w:noProof/>
        </w:rPr>
        <w:t>mioty handlowe obracające odnośnymi towarami w UE będą miały jasne</w:t>
      </w:r>
      <w:r w:rsidR="00062BFA" w:rsidRPr="004F6DAA">
        <w:rPr>
          <w:noProof/>
        </w:rPr>
        <w:t xml:space="preserve"> i</w:t>
      </w:r>
      <w:r w:rsidR="00062BFA">
        <w:rPr>
          <w:noProof/>
        </w:rPr>
        <w:t> </w:t>
      </w:r>
      <w:r w:rsidR="00062BFA" w:rsidRPr="004F6DAA">
        <w:rPr>
          <w:noProof/>
        </w:rPr>
        <w:t>prz</w:t>
      </w:r>
      <w:r w:rsidRPr="004F6DAA">
        <w:rPr>
          <w:noProof/>
        </w:rPr>
        <w:t>ewidywalne unijne ramy prawne, które wyrównują szanse</w:t>
      </w:r>
      <w:r w:rsidR="00062BFA" w:rsidRPr="004F6DAA">
        <w:rPr>
          <w:noProof/>
        </w:rPr>
        <w:t xml:space="preserve"> w</w:t>
      </w:r>
      <w:r w:rsidR="00062BFA">
        <w:rPr>
          <w:noProof/>
        </w:rPr>
        <w:t> </w:t>
      </w:r>
      <w:r w:rsidR="00062BFA" w:rsidRPr="004F6DAA">
        <w:rPr>
          <w:noProof/>
        </w:rPr>
        <w:t>zak</w:t>
      </w:r>
      <w:r w:rsidRPr="004F6DAA">
        <w:rPr>
          <w:noProof/>
        </w:rPr>
        <w:t>resie zobowiązań do zapobiegania wylesianiu</w:t>
      </w:r>
      <w:r w:rsidR="00062BFA" w:rsidRPr="004F6DAA">
        <w:rPr>
          <w:noProof/>
        </w:rPr>
        <w:t xml:space="preserve"> i</w:t>
      </w:r>
      <w:r w:rsidR="00062BFA">
        <w:rPr>
          <w:noProof/>
        </w:rPr>
        <w:t> </w:t>
      </w:r>
      <w:r w:rsidR="00062BFA" w:rsidRPr="004F6DAA">
        <w:rPr>
          <w:noProof/>
        </w:rPr>
        <w:t>deg</w:t>
      </w:r>
      <w:r w:rsidRPr="004F6DAA">
        <w:rPr>
          <w:noProof/>
        </w:rPr>
        <w:t>radacji lasów.</w:t>
      </w:r>
    </w:p>
    <w:p w14:paraId="496E780F"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5. Zmniejszy się ilość sprzedawanych w UE produktów pochodzących</w:t>
      </w:r>
      <w:r w:rsidR="00062BFA" w:rsidRPr="004F6DAA">
        <w:rPr>
          <w:noProof/>
        </w:rPr>
        <w:t xml:space="preserve"> z</w:t>
      </w:r>
      <w:r w:rsidR="00062BFA">
        <w:rPr>
          <w:noProof/>
        </w:rPr>
        <w:t> </w:t>
      </w:r>
      <w:r w:rsidR="00062BFA" w:rsidRPr="004F6DAA">
        <w:rPr>
          <w:noProof/>
        </w:rPr>
        <w:t>łań</w:t>
      </w:r>
      <w:r w:rsidRPr="004F6DAA">
        <w:rPr>
          <w:noProof/>
        </w:rPr>
        <w:t>cuchów dostaw związanych</w:t>
      </w:r>
      <w:r w:rsidR="00062BFA" w:rsidRPr="004F6DAA">
        <w:rPr>
          <w:noProof/>
        </w:rPr>
        <w:t xml:space="preserve"> z</w:t>
      </w:r>
      <w:r w:rsidR="00062BFA">
        <w:rPr>
          <w:noProof/>
        </w:rPr>
        <w:t> </w:t>
      </w:r>
      <w:r w:rsidR="00062BFA" w:rsidRPr="004F6DAA">
        <w:rPr>
          <w:noProof/>
        </w:rPr>
        <w:t>wyl</w:t>
      </w:r>
      <w:r w:rsidRPr="004F6DAA">
        <w:rPr>
          <w:noProof/>
        </w:rPr>
        <w:t>esianiem lub degradacją lasów.</w:t>
      </w:r>
    </w:p>
    <w:p w14:paraId="2E00A6CD"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6. W UE wzrośnie konsumpcja</w:t>
      </w:r>
      <w:r w:rsidR="00062BFA" w:rsidRPr="004F6DAA">
        <w:rPr>
          <w:noProof/>
        </w:rPr>
        <w:t xml:space="preserve"> i</w:t>
      </w:r>
      <w:r w:rsidR="00062BFA">
        <w:rPr>
          <w:noProof/>
        </w:rPr>
        <w:t> </w:t>
      </w:r>
      <w:r w:rsidR="00062BFA" w:rsidRPr="004F6DAA">
        <w:rPr>
          <w:noProof/>
        </w:rPr>
        <w:t>pro</w:t>
      </w:r>
      <w:r w:rsidRPr="004F6DAA">
        <w:rPr>
          <w:noProof/>
        </w:rPr>
        <w:t>dukcja towarów</w:t>
      </w:r>
      <w:r w:rsidR="00062BFA" w:rsidRPr="004F6DAA">
        <w:rPr>
          <w:noProof/>
        </w:rPr>
        <w:t xml:space="preserve"> i</w:t>
      </w:r>
      <w:r w:rsidR="00062BFA">
        <w:rPr>
          <w:noProof/>
        </w:rPr>
        <w:t> </w:t>
      </w:r>
      <w:r w:rsidR="00062BFA" w:rsidRPr="004F6DAA">
        <w:rPr>
          <w:noProof/>
        </w:rPr>
        <w:t>pro</w:t>
      </w:r>
      <w:r w:rsidRPr="004F6DAA">
        <w:rPr>
          <w:noProof/>
        </w:rPr>
        <w:t>duktów „niepowodujących wylesiania”.</w:t>
      </w:r>
    </w:p>
    <w:p w14:paraId="6A0BC7A8" w14:textId="77777777" w:rsidR="007F4C85" w:rsidRPr="004F6DAA" w:rsidRDefault="007B7EB7" w:rsidP="007B7EB7">
      <w:pPr>
        <w:pStyle w:val="ManualHeading2"/>
        <w:rPr>
          <w:bCs/>
          <w:noProof/>
          <w:szCs w:val="24"/>
        </w:rPr>
      </w:pPr>
      <w:r w:rsidRPr="007B7EB7">
        <w:t>1.5.</w:t>
      </w:r>
      <w:r w:rsidRPr="007B7EB7">
        <w:tab/>
      </w:r>
      <w:r w:rsidR="007F4C85" w:rsidRPr="004F6DAA">
        <w:rPr>
          <w:noProof/>
        </w:rPr>
        <w:t xml:space="preserve">Uzasadnienie wniosku/inicjatywy </w:t>
      </w:r>
    </w:p>
    <w:p w14:paraId="60F77948" w14:textId="77777777" w:rsidR="007F4C85" w:rsidRPr="004F6DAA" w:rsidRDefault="007B7EB7" w:rsidP="007B7EB7">
      <w:pPr>
        <w:pStyle w:val="ManualHeading3"/>
        <w:rPr>
          <w:noProof/>
        </w:rPr>
      </w:pPr>
      <w:r w:rsidRPr="007B7EB7">
        <w:t>1.5.1.</w:t>
      </w:r>
      <w:r w:rsidRPr="007B7EB7">
        <w:tab/>
      </w:r>
      <w:r w:rsidR="007F4C85" w:rsidRPr="004F6DAA">
        <w:rPr>
          <w:noProof/>
        </w:rPr>
        <w:t>Potrzeby, które należy zaspokoić</w:t>
      </w:r>
      <w:r w:rsidR="00062BFA" w:rsidRPr="004F6DAA">
        <w:rPr>
          <w:noProof/>
        </w:rPr>
        <w:t xml:space="preserve"> w</w:t>
      </w:r>
      <w:r w:rsidR="00062BFA">
        <w:rPr>
          <w:noProof/>
        </w:rPr>
        <w:t> </w:t>
      </w:r>
      <w:r w:rsidR="00062BFA" w:rsidRPr="004F6DAA">
        <w:rPr>
          <w:noProof/>
        </w:rPr>
        <w:t>per</w:t>
      </w:r>
      <w:r w:rsidR="007F4C85" w:rsidRPr="004F6DAA">
        <w:rPr>
          <w:noProof/>
        </w:rPr>
        <w:t>spektywie krótko- lub długoterminowej,</w:t>
      </w:r>
      <w:r w:rsidR="00062BFA" w:rsidRPr="004F6DAA">
        <w:rPr>
          <w:noProof/>
        </w:rPr>
        <w:t xml:space="preserve"> w</w:t>
      </w:r>
      <w:r w:rsidR="00062BFA">
        <w:rPr>
          <w:noProof/>
        </w:rPr>
        <w:t> </w:t>
      </w:r>
      <w:r w:rsidR="00062BFA" w:rsidRPr="004F6DAA">
        <w:rPr>
          <w:noProof/>
        </w:rPr>
        <w:t>tym</w:t>
      </w:r>
      <w:r w:rsidR="007F4C85" w:rsidRPr="004F6DAA">
        <w:rPr>
          <w:noProof/>
        </w:rPr>
        <w:t xml:space="preserve"> szczegółowy terminarz przebiegu realizacji inicjatywy</w:t>
      </w:r>
    </w:p>
    <w:p w14:paraId="10F4A5A9"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Proponowane rozporządzenie będzie bezpośrednio stosowane od dnia jego wejścia</w:t>
      </w:r>
      <w:r w:rsidR="00062BFA" w:rsidRPr="004F6DAA">
        <w:rPr>
          <w:noProof/>
        </w:rPr>
        <w:t xml:space="preserve"> w</w:t>
      </w:r>
      <w:r w:rsidR="00062BFA">
        <w:rPr>
          <w:noProof/>
        </w:rPr>
        <w:t> </w:t>
      </w:r>
      <w:r w:rsidR="00062BFA" w:rsidRPr="004F6DAA">
        <w:rPr>
          <w:noProof/>
        </w:rPr>
        <w:t>życ</w:t>
      </w:r>
      <w:r w:rsidRPr="004F6DAA">
        <w:rPr>
          <w:noProof/>
        </w:rPr>
        <w:t>ie. Szereg aktów wykonawczych/delegowanych oraz zadań administracyjnych zostanie wdrożonych</w:t>
      </w:r>
      <w:r w:rsidR="00062BFA" w:rsidRPr="004F6DAA">
        <w:rPr>
          <w:noProof/>
        </w:rPr>
        <w:t xml:space="preserve"> w</w:t>
      </w:r>
      <w:r w:rsidR="00062BFA">
        <w:rPr>
          <w:noProof/>
        </w:rPr>
        <w:t> </w:t>
      </w:r>
      <w:r w:rsidR="00062BFA" w:rsidRPr="004F6DAA">
        <w:rPr>
          <w:noProof/>
        </w:rPr>
        <w:t>okr</w:t>
      </w:r>
      <w:r w:rsidRPr="004F6DAA">
        <w:rPr>
          <w:noProof/>
        </w:rPr>
        <w:t>esie 5 lat od daty określonej</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 xml:space="preserve">6 </w:t>
      </w:r>
      <w:r w:rsidRPr="00062BFA">
        <w:rPr>
          <w:noProof/>
        </w:rPr>
        <w:t>ust.</w:t>
      </w:r>
      <w:r w:rsidR="00062BFA" w:rsidRPr="00062BFA">
        <w:rPr>
          <w:noProof/>
        </w:rPr>
        <w:t> </w:t>
      </w:r>
      <w:r w:rsidRPr="00062BFA">
        <w:rPr>
          <w:noProof/>
        </w:rPr>
        <w:t>1</w:t>
      </w:r>
      <w:r w:rsidRPr="004F6DAA">
        <w:rPr>
          <w:noProof/>
        </w:rPr>
        <w:t>.</w:t>
      </w:r>
    </w:p>
    <w:p w14:paraId="14840A75"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Szczegółowy wykaz tych przewidzianych działań znajduje się poniżej:</w:t>
      </w:r>
    </w:p>
    <w:p w14:paraId="2891D79D"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1. Przed datą określoną</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 xml:space="preserve">6 </w:t>
      </w:r>
      <w:r w:rsidRPr="00062BFA">
        <w:rPr>
          <w:noProof/>
        </w:rPr>
        <w:t>ust.</w:t>
      </w:r>
      <w:r w:rsidR="00062BFA" w:rsidRPr="00062BFA">
        <w:rPr>
          <w:noProof/>
        </w:rPr>
        <w:t> </w:t>
      </w:r>
      <w:r w:rsidRPr="00062BFA">
        <w:rPr>
          <w:noProof/>
        </w:rPr>
        <w:t>2</w:t>
      </w:r>
      <w:r w:rsidRPr="004F6DAA">
        <w:rPr>
          <w:noProof/>
        </w:rPr>
        <w:t>:</w:t>
      </w:r>
    </w:p>
    <w:p w14:paraId="7E0962D8"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a) oferta publiczna (lub porozumienie administracyjne) dotycząca umowy</w:t>
      </w:r>
      <w:r w:rsidR="00062BFA" w:rsidRPr="004F6DAA">
        <w:rPr>
          <w:noProof/>
        </w:rPr>
        <w:t xml:space="preserve"> w</w:t>
      </w:r>
      <w:r w:rsidR="00062BFA">
        <w:rPr>
          <w:noProof/>
        </w:rPr>
        <w:t> </w:t>
      </w:r>
      <w:r w:rsidR="00062BFA" w:rsidRPr="004F6DAA">
        <w:rPr>
          <w:noProof/>
        </w:rPr>
        <w:t>spr</w:t>
      </w:r>
      <w:r w:rsidRPr="004F6DAA">
        <w:rPr>
          <w:noProof/>
        </w:rPr>
        <w:t>awie opracowania systemu wskaźników dla poszczególnych krajów zgodnie</w:t>
      </w:r>
      <w:r w:rsidR="00062BFA" w:rsidRPr="004F6DAA">
        <w:rPr>
          <w:noProof/>
        </w:rPr>
        <w:t xml:space="preserve"> z</w:t>
      </w:r>
      <w:r w:rsidR="00062BFA">
        <w:rPr>
          <w:noProof/>
        </w:rPr>
        <w:t> </w:t>
      </w:r>
      <w:r w:rsidR="00062BFA" w:rsidRPr="004F6DAA">
        <w:rPr>
          <w:noProof/>
        </w:rPr>
        <w:t>kry</w:t>
      </w:r>
      <w:r w:rsidRPr="004F6DAA">
        <w:rPr>
          <w:noProof/>
        </w:rPr>
        <w:t>teriami określonymi</w:t>
      </w:r>
      <w:r w:rsidR="00062BFA" w:rsidRPr="004F6DAA">
        <w:rPr>
          <w:noProof/>
        </w:rPr>
        <w:t xml:space="preserve"> w</w:t>
      </w:r>
      <w:r w:rsidR="00062BFA">
        <w:rPr>
          <w:noProof/>
        </w:rPr>
        <w:t> </w:t>
      </w:r>
      <w:r w:rsidR="00062BFA" w:rsidRPr="004F6DAA">
        <w:rPr>
          <w:noProof/>
        </w:rPr>
        <w:t>roz</w:t>
      </w:r>
      <w:r w:rsidRPr="004F6DAA">
        <w:rPr>
          <w:noProof/>
        </w:rPr>
        <w:t>porządzeniu;</w:t>
      </w:r>
    </w:p>
    <w:p w14:paraId="4921FD3E"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b) oferta publiczna dotycząca oceny skutków odnoszącej się do uwzględnienia dalszych towarów</w:t>
      </w:r>
      <w:r w:rsidR="00062BFA" w:rsidRPr="004F6DAA">
        <w:rPr>
          <w:noProof/>
        </w:rPr>
        <w:t xml:space="preserve"> i</w:t>
      </w:r>
      <w:r w:rsidR="00062BFA">
        <w:rPr>
          <w:noProof/>
        </w:rPr>
        <w:t> </w:t>
      </w:r>
      <w:r w:rsidR="00062BFA" w:rsidRPr="004F6DAA">
        <w:rPr>
          <w:noProof/>
        </w:rPr>
        <w:t>pro</w:t>
      </w:r>
      <w:r w:rsidRPr="004F6DAA">
        <w:rPr>
          <w:noProof/>
        </w:rPr>
        <w:t>duktów, jak również innych wrażliwych ekosystemów;</w:t>
      </w:r>
    </w:p>
    <w:p w14:paraId="37FD0845" w14:textId="77777777" w:rsidR="007F4C85" w:rsidRPr="00062BFA" w:rsidRDefault="007F4C85" w:rsidP="007F4C85">
      <w:pPr>
        <w:pStyle w:val="Text1"/>
        <w:keepNext/>
        <w:pBdr>
          <w:top w:val="single" w:sz="4" w:space="1" w:color="auto"/>
          <w:left w:val="single" w:sz="4" w:space="4" w:color="auto"/>
          <w:bottom w:val="single" w:sz="4" w:space="1" w:color="auto"/>
          <w:right w:val="single" w:sz="4" w:space="4" w:color="auto"/>
        </w:pBdr>
        <w:ind w:left="851"/>
        <w:rPr>
          <w:noProof/>
        </w:rPr>
      </w:pPr>
      <w:r w:rsidRPr="004F6DAA">
        <w:rPr>
          <w:noProof/>
        </w:rPr>
        <w:t>c) oferta publiczna dotycząca umowy</w:t>
      </w:r>
      <w:r w:rsidR="00062BFA" w:rsidRPr="004F6DAA">
        <w:rPr>
          <w:noProof/>
        </w:rPr>
        <w:t xml:space="preserve"> w</w:t>
      </w:r>
      <w:r w:rsidR="00062BFA">
        <w:rPr>
          <w:noProof/>
        </w:rPr>
        <w:t> </w:t>
      </w:r>
      <w:r w:rsidR="00062BFA" w:rsidRPr="004F6DAA">
        <w:rPr>
          <w:noProof/>
        </w:rPr>
        <w:t>spr</w:t>
      </w:r>
      <w:r w:rsidRPr="004F6DAA">
        <w:rPr>
          <w:noProof/>
        </w:rPr>
        <w:t>awie wsparcia dla Komisji</w:t>
      </w:r>
      <w:r w:rsidR="00062BFA" w:rsidRPr="004F6DAA">
        <w:rPr>
          <w:noProof/>
        </w:rPr>
        <w:t xml:space="preserve"> w</w:t>
      </w:r>
      <w:r w:rsidR="00062BFA">
        <w:rPr>
          <w:noProof/>
        </w:rPr>
        <w:t> </w:t>
      </w:r>
      <w:r w:rsidR="00062BFA" w:rsidRPr="004F6DAA">
        <w:rPr>
          <w:noProof/>
        </w:rPr>
        <w:t>wyk</w:t>
      </w:r>
      <w:r w:rsidRPr="004F6DAA">
        <w:rPr>
          <w:noProof/>
        </w:rPr>
        <w:t>onywaniu zadań przewidzianych</w:t>
      </w:r>
      <w:r w:rsidR="00062BFA" w:rsidRPr="004F6DAA">
        <w:rPr>
          <w:noProof/>
        </w:rPr>
        <w:t xml:space="preserve"> w</w:t>
      </w:r>
      <w:r w:rsidR="00062BFA">
        <w:rPr>
          <w:noProof/>
        </w:rPr>
        <w:t> </w:t>
      </w:r>
      <w:r w:rsidR="00062BFA" w:rsidRPr="004F6DAA">
        <w:rPr>
          <w:noProof/>
        </w:rPr>
        <w:t>roz</w:t>
      </w:r>
      <w:r w:rsidRPr="004F6DAA">
        <w:rPr>
          <w:noProof/>
        </w:rPr>
        <w:t>porządzeniu;</w:t>
      </w:r>
    </w:p>
    <w:p w14:paraId="01330341" w14:textId="77777777" w:rsidR="007F4C85" w:rsidRPr="004F6DAA" w:rsidRDefault="007F4C85" w:rsidP="007F4C85">
      <w:pPr>
        <w:pStyle w:val="Text1"/>
        <w:keepNext/>
        <w:pBdr>
          <w:top w:val="single" w:sz="4" w:space="1" w:color="auto"/>
          <w:left w:val="single" w:sz="4" w:space="4" w:color="auto"/>
          <w:bottom w:val="single" w:sz="4" w:space="1" w:color="auto"/>
          <w:right w:val="single" w:sz="4" w:space="4" w:color="auto"/>
        </w:pBdr>
        <w:ind w:left="851"/>
        <w:rPr>
          <w:noProof/>
        </w:rPr>
      </w:pPr>
      <w:r w:rsidRPr="00062BFA">
        <w:rPr>
          <w:noProof/>
        </w:rPr>
        <w:t>d</w:t>
      </w:r>
      <w:r w:rsidRPr="004F6DAA">
        <w:rPr>
          <w:noProof/>
        </w:rPr>
        <w:t>) umowa lub porozumienie administracyjne dotyczące opracowania systemu informacyjnego służącego do przechowywania</w:t>
      </w:r>
      <w:r w:rsidR="00062BFA" w:rsidRPr="004F6DAA">
        <w:rPr>
          <w:noProof/>
        </w:rPr>
        <w:t xml:space="preserve"> i</w:t>
      </w:r>
      <w:r w:rsidR="00062BFA">
        <w:rPr>
          <w:noProof/>
        </w:rPr>
        <w:t> </w:t>
      </w:r>
      <w:r w:rsidR="00062BFA" w:rsidRPr="004F6DAA">
        <w:rPr>
          <w:noProof/>
        </w:rPr>
        <w:t>wym</w:t>
      </w:r>
      <w:r w:rsidRPr="004F6DAA">
        <w:rPr>
          <w:noProof/>
        </w:rPr>
        <w:t>iany danych na temat podmiotów</w:t>
      </w:r>
      <w:r w:rsidR="00062BFA" w:rsidRPr="004F6DAA">
        <w:rPr>
          <w:noProof/>
        </w:rPr>
        <w:t xml:space="preserve"> i</w:t>
      </w:r>
      <w:r w:rsidR="00062BFA">
        <w:rPr>
          <w:noProof/>
        </w:rPr>
        <w:t> </w:t>
      </w:r>
      <w:r w:rsidR="00062BFA" w:rsidRPr="004F6DAA">
        <w:rPr>
          <w:noProof/>
        </w:rPr>
        <w:t>ośw</w:t>
      </w:r>
      <w:r w:rsidRPr="004F6DAA">
        <w:rPr>
          <w:noProof/>
        </w:rPr>
        <w:t>iadczeń własnych.</w:t>
      </w:r>
    </w:p>
    <w:p w14:paraId="1D109355"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p>
    <w:p w14:paraId="1FF0D8A2" w14:textId="77777777" w:rsidR="007F4C85" w:rsidRPr="004F6DAA" w:rsidRDefault="007F4C85" w:rsidP="007F4C85">
      <w:pPr>
        <w:pStyle w:val="Text1"/>
        <w:keepNext/>
        <w:pBdr>
          <w:top w:val="single" w:sz="4" w:space="1" w:color="auto"/>
          <w:left w:val="single" w:sz="4" w:space="4" w:color="auto"/>
          <w:bottom w:val="single" w:sz="4" w:space="1" w:color="auto"/>
          <w:right w:val="single" w:sz="4" w:space="4" w:color="auto"/>
        </w:pBdr>
        <w:ind w:left="851"/>
        <w:rPr>
          <w:noProof/>
        </w:rPr>
      </w:pPr>
      <w:r w:rsidRPr="004F6DAA">
        <w:rPr>
          <w:noProof/>
        </w:rPr>
        <w:t>2</w:t>
      </w:r>
      <w:r w:rsidR="00062BFA" w:rsidRPr="004F6DAA">
        <w:rPr>
          <w:noProof/>
        </w:rPr>
        <w:t>. W</w:t>
      </w:r>
      <w:r w:rsidR="00062BFA">
        <w:rPr>
          <w:noProof/>
        </w:rPr>
        <w:t> </w:t>
      </w:r>
      <w:r w:rsidR="00062BFA" w:rsidRPr="004F6DAA">
        <w:rPr>
          <w:noProof/>
        </w:rPr>
        <w:t>okr</w:t>
      </w:r>
      <w:r w:rsidRPr="004F6DAA">
        <w:rPr>
          <w:noProof/>
        </w:rPr>
        <w:t>esie pierwszych pięciu lat od daty określonej</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3</w:t>
      </w:r>
      <w:r w:rsidRPr="004F6DAA">
        <w:rPr>
          <w:noProof/>
        </w:rPr>
        <w:t xml:space="preserve">6 </w:t>
      </w:r>
      <w:r w:rsidRPr="00062BFA">
        <w:rPr>
          <w:noProof/>
        </w:rPr>
        <w:t>ust.</w:t>
      </w:r>
      <w:r w:rsidR="00062BFA" w:rsidRPr="00062BFA">
        <w:rPr>
          <w:noProof/>
        </w:rPr>
        <w:t> </w:t>
      </w:r>
      <w:r w:rsidRPr="00062BFA">
        <w:rPr>
          <w:noProof/>
        </w:rPr>
        <w:t>1</w:t>
      </w:r>
      <w:r w:rsidRPr="004F6DAA">
        <w:rPr>
          <w:noProof/>
        </w:rPr>
        <w:t>:</w:t>
      </w:r>
    </w:p>
    <w:p w14:paraId="75B37908" w14:textId="77777777" w:rsidR="007F4C85" w:rsidRPr="004F6DAA" w:rsidRDefault="007F4C85" w:rsidP="007F4C85">
      <w:pPr>
        <w:pStyle w:val="Text1"/>
        <w:keepNext/>
        <w:pBdr>
          <w:top w:val="single" w:sz="4" w:space="1" w:color="auto"/>
          <w:left w:val="single" w:sz="4" w:space="4" w:color="auto"/>
          <w:bottom w:val="single" w:sz="4" w:space="1" w:color="auto"/>
          <w:right w:val="single" w:sz="4" w:space="4" w:color="auto"/>
        </w:pBdr>
        <w:ind w:left="851"/>
        <w:rPr>
          <w:noProof/>
        </w:rPr>
      </w:pPr>
      <w:r w:rsidRPr="004F6DAA">
        <w:rPr>
          <w:noProof/>
        </w:rPr>
        <w:t>a) Komisja przyjmuje wykazy obarczonych niskim</w:t>
      </w:r>
      <w:r w:rsidR="00062BFA" w:rsidRPr="004F6DAA">
        <w:rPr>
          <w:noProof/>
        </w:rPr>
        <w:t xml:space="preserve"> i</w:t>
      </w:r>
      <w:r w:rsidR="00062BFA">
        <w:rPr>
          <w:noProof/>
        </w:rPr>
        <w:t> </w:t>
      </w:r>
      <w:r w:rsidR="00062BFA" w:rsidRPr="004F6DAA">
        <w:rPr>
          <w:noProof/>
        </w:rPr>
        <w:t>wys</w:t>
      </w:r>
      <w:r w:rsidRPr="004F6DAA">
        <w:rPr>
          <w:noProof/>
        </w:rPr>
        <w:t>okim ryzykiem krajów oraz ich części</w:t>
      </w:r>
      <w:r w:rsidR="00062BFA" w:rsidRPr="004F6DAA">
        <w:rPr>
          <w:noProof/>
        </w:rPr>
        <w:t xml:space="preserve"> w</w:t>
      </w:r>
      <w:r w:rsidR="00062BFA">
        <w:rPr>
          <w:noProof/>
        </w:rPr>
        <w:t> </w:t>
      </w:r>
      <w:r w:rsidR="00062BFA" w:rsidRPr="004F6DAA">
        <w:rPr>
          <w:noProof/>
        </w:rPr>
        <w:t>dro</w:t>
      </w:r>
      <w:r w:rsidRPr="004F6DAA">
        <w:rPr>
          <w:noProof/>
        </w:rPr>
        <w:t xml:space="preserve">dze aktu delegowanego/wykonawczego; </w:t>
      </w:r>
    </w:p>
    <w:p w14:paraId="0137169E" w14:textId="77777777" w:rsidR="007F4C85" w:rsidRPr="004F6DAA" w:rsidRDefault="007F4C85" w:rsidP="007F4C85">
      <w:pPr>
        <w:pStyle w:val="Text1"/>
        <w:keepNext/>
        <w:pBdr>
          <w:top w:val="single" w:sz="4" w:space="1" w:color="auto"/>
          <w:left w:val="single" w:sz="4" w:space="4" w:color="auto"/>
          <w:bottom w:val="single" w:sz="4" w:space="1" w:color="auto"/>
          <w:right w:val="single" w:sz="4" w:space="4" w:color="auto"/>
        </w:pBdr>
        <w:ind w:left="851"/>
        <w:rPr>
          <w:noProof/>
        </w:rPr>
      </w:pPr>
      <w:r w:rsidRPr="004F6DAA">
        <w:rPr>
          <w:noProof/>
        </w:rPr>
        <w:t>b) Komisja przyjmuje dostosowany zakres produktów</w:t>
      </w:r>
      <w:r w:rsidR="00062BFA" w:rsidRPr="004F6DAA">
        <w:rPr>
          <w:noProof/>
        </w:rPr>
        <w:t xml:space="preserve"> w</w:t>
      </w:r>
      <w:r w:rsidR="00062BFA">
        <w:rPr>
          <w:noProof/>
        </w:rPr>
        <w:t> </w:t>
      </w:r>
      <w:r w:rsidR="00062BFA" w:rsidRPr="004F6DAA">
        <w:rPr>
          <w:noProof/>
        </w:rPr>
        <w:t>dro</w:t>
      </w:r>
      <w:r w:rsidRPr="004F6DAA">
        <w:rPr>
          <w:noProof/>
        </w:rPr>
        <w:t>dze aktu delegowanego/wykonawczego;</w:t>
      </w:r>
    </w:p>
    <w:p w14:paraId="396B5A14" w14:textId="77777777" w:rsidR="007F4C85" w:rsidRPr="004F6DAA" w:rsidRDefault="007F4C85" w:rsidP="007F4C85">
      <w:pPr>
        <w:pStyle w:val="Text1"/>
        <w:keepNext/>
        <w:pBdr>
          <w:top w:val="single" w:sz="4" w:space="1" w:color="auto"/>
          <w:left w:val="single" w:sz="4" w:space="4" w:color="auto"/>
          <w:bottom w:val="single" w:sz="4" w:space="1" w:color="auto"/>
          <w:right w:val="single" w:sz="4" w:space="4" w:color="auto"/>
        </w:pBdr>
        <w:ind w:left="851"/>
        <w:rPr>
          <w:noProof/>
        </w:rPr>
      </w:pPr>
      <w:r w:rsidRPr="004F6DAA">
        <w:rPr>
          <w:noProof/>
        </w:rPr>
        <w:t>d) oferta publiczna dotycząca umowy</w:t>
      </w:r>
      <w:r w:rsidR="00062BFA" w:rsidRPr="004F6DAA">
        <w:rPr>
          <w:noProof/>
        </w:rPr>
        <w:t xml:space="preserve"> w</w:t>
      </w:r>
      <w:r w:rsidR="00062BFA">
        <w:rPr>
          <w:noProof/>
        </w:rPr>
        <w:t> </w:t>
      </w:r>
      <w:r w:rsidR="00062BFA" w:rsidRPr="004F6DAA">
        <w:rPr>
          <w:noProof/>
        </w:rPr>
        <w:t>spr</w:t>
      </w:r>
      <w:r w:rsidRPr="004F6DAA">
        <w:rPr>
          <w:noProof/>
        </w:rPr>
        <w:t>awie wsparcia pierwszej oceny rozporządzenia;</w:t>
      </w:r>
    </w:p>
    <w:p w14:paraId="666B9153" w14:textId="77777777" w:rsidR="007F4C85" w:rsidRPr="004F6DAA" w:rsidRDefault="007F4C85" w:rsidP="007F4C85">
      <w:pPr>
        <w:pStyle w:val="Text1"/>
        <w:keepNext/>
        <w:pBdr>
          <w:top w:val="single" w:sz="4" w:space="1" w:color="auto"/>
          <w:left w:val="single" w:sz="4" w:space="4" w:color="auto"/>
          <w:bottom w:val="single" w:sz="4" w:space="1" w:color="auto"/>
          <w:right w:val="single" w:sz="4" w:space="4" w:color="auto"/>
        </w:pBdr>
        <w:ind w:left="851"/>
        <w:rPr>
          <w:noProof/>
        </w:rPr>
      </w:pPr>
      <w:r w:rsidRPr="004F6DAA">
        <w:rPr>
          <w:noProof/>
        </w:rPr>
        <w:t>e) Komisja przeprowadza</w:t>
      </w:r>
      <w:r w:rsidR="00062BFA" w:rsidRPr="004F6DAA">
        <w:rPr>
          <w:noProof/>
        </w:rPr>
        <w:t xml:space="preserve"> i</w:t>
      </w:r>
      <w:r w:rsidR="00062BFA">
        <w:rPr>
          <w:noProof/>
        </w:rPr>
        <w:t> </w:t>
      </w:r>
      <w:r w:rsidR="00062BFA" w:rsidRPr="004F6DAA">
        <w:rPr>
          <w:noProof/>
        </w:rPr>
        <w:t>zat</w:t>
      </w:r>
      <w:r w:rsidRPr="004F6DAA">
        <w:rPr>
          <w:noProof/>
        </w:rPr>
        <w:t>wierdza pierwszą ocenę rozporządzenia,</w:t>
      </w:r>
      <w:r w:rsidR="00062BFA" w:rsidRPr="004F6DAA">
        <w:rPr>
          <w:noProof/>
        </w:rPr>
        <w:t xml:space="preserve"> w</w:t>
      </w:r>
      <w:r w:rsidR="00062BFA">
        <w:rPr>
          <w:noProof/>
        </w:rPr>
        <w:t> </w:t>
      </w:r>
      <w:r w:rsidR="00062BFA" w:rsidRPr="004F6DAA">
        <w:rPr>
          <w:noProof/>
        </w:rPr>
        <w:t>sto</w:t>
      </w:r>
      <w:r w:rsidRPr="004F6DAA">
        <w:rPr>
          <w:noProof/>
        </w:rPr>
        <w:t>sownych przypadkach wraz</w:t>
      </w:r>
      <w:r w:rsidR="00062BFA" w:rsidRPr="004F6DAA">
        <w:rPr>
          <w:noProof/>
        </w:rPr>
        <w:t xml:space="preserve"> z</w:t>
      </w:r>
      <w:r w:rsidR="00062BFA">
        <w:rPr>
          <w:noProof/>
        </w:rPr>
        <w:t> </w:t>
      </w:r>
      <w:r w:rsidR="00062BFA" w:rsidRPr="004F6DAA">
        <w:rPr>
          <w:noProof/>
        </w:rPr>
        <w:t>wni</w:t>
      </w:r>
      <w:r w:rsidRPr="004F6DAA">
        <w:rPr>
          <w:noProof/>
        </w:rPr>
        <w:t>oskiem ustawodawczym zawierającym propozycje ewentualnych zmian.</w:t>
      </w:r>
    </w:p>
    <w:p w14:paraId="47B2FD36" w14:textId="77777777" w:rsidR="007F4C85" w:rsidRPr="004F6DAA" w:rsidRDefault="007B7EB7" w:rsidP="007B7EB7">
      <w:pPr>
        <w:pStyle w:val="ManualHeading3"/>
        <w:rPr>
          <w:bCs/>
          <w:noProof/>
          <w:szCs w:val="24"/>
        </w:rPr>
      </w:pPr>
      <w:r w:rsidRPr="007B7EB7">
        <w:t>1.5.2.</w:t>
      </w:r>
      <w:r w:rsidRPr="007B7EB7">
        <w:tab/>
      </w:r>
      <w:r w:rsidR="007F4C85" w:rsidRPr="004F6DAA">
        <w:rPr>
          <w:noProof/>
        </w:rPr>
        <w:t>Wartość dodana</w:t>
      </w:r>
      <w:r w:rsidR="00062BFA" w:rsidRPr="004F6DAA">
        <w:rPr>
          <w:noProof/>
        </w:rPr>
        <w:t xml:space="preserve"> z</w:t>
      </w:r>
      <w:r w:rsidR="00062BFA">
        <w:rPr>
          <w:noProof/>
        </w:rPr>
        <w:t> </w:t>
      </w:r>
      <w:r w:rsidR="00062BFA" w:rsidRPr="004F6DAA">
        <w:rPr>
          <w:noProof/>
        </w:rPr>
        <w:t>tyt</w:t>
      </w:r>
      <w:r w:rsidR="007F4C85" w:rsidRPr="004F6DAA">
        <w:rPr>
          <w:noProof/>
        </w:rPr>
        <w:t>ułu zaangażowania Unii Europejskiej (może wynikać</w:t>
      </w:r>
      <w:r w:rsidR="00062BFA" w:rsidRPr="004F6DAA">
        <w:rPr>
          <w:noProof/>
        </w:rPr>
        <w:t xml:space="preserve"> z</w:t>
      </w:r>
      <w:r w:rsidR="00062BFA">
        <w:rPr>
          <w:noProof/>
        </w:rPr>
        <w:t> </w:t>
      </w:r>
      <w:r w:rsidR="00062BFA" w:rsidRPr="004F6DAA">
        <w:rPr>
          <w:noProof/>
        </w:rPr>
        <w:t>róż</w:t>
      </w:r>
      <w:r w:rsidR="007F4C85" w:rsidRPr="004F6DAA">
        <w:rPr>
          <w:noProof/>
        </w:rPr>
        <w:t>nych czynników, na przykład korzyści koordynacyjnych, pewności prawa, większej efektywności lub komplementarności). Na potrzeby tego punktu „wartość dodaną</w:t>
      </w:r>
      <w:r w:rsidR="00062BFA" w:rsidRPr="004F6DAA">
        <w:rPr>
          <w:noProof/>
        </w:rPr>
        <w:t xml:space="preserve"> z</w:t>
      </w:r>
      <w:r w:rsidR="00062BFA">
        <w:rPr>
          <w:noProof/>
        </w:rPr>
        <w:t> </w:t>
      </w:r>
      <w:r w:rsidR="00062BFA" w:rsidRPr="004F6DAA">
        <w:rPr>
          <w:noProof/>
        </w:rPr>
        <w:t>tyt</w:t>
      </w:r>
      <w:r w:rsidR="007F4C85" w:rsidRPr="004F6DAA">
        <w:rPr>
          <w:noProof/>
        </w:rPr>
        <w:t>ułu zaangażowania Unii” należy rozumieć jako wartość wynikającą</w:t>
      </w:r>
      <w:r w:rsidR="00062BFA" w:rsidRPr="004F6DAA">
        <w:rPr>
          <w:noProof/>
        </w:rPr>
        <w:t xml:space="preserve"> z</w:t>
      </w:r>
      <w:r w:rsidR="00062BFA">
        <w:rPr>
          <w:noProof/>
        </w:rPr>
        <w:t> </w:t>
      </w:r>
      <w:r w:rsidR="00062BFA" w:rsidRPr="004F6DAA">
        <w:rPr>
          <w:noProof/>
        </w:rPr>
        <w:t>uni</w:t>
      </w:r>
      <w:r w:rsidR="007F4C85" w:rsidRPr="004F6DAA">
        <w:rPr>
          <w:noProof/>
        </w:rPr>
        <w:t>jnej interwencji, wykraczającą poza wartość, która zostałaby wytworzona przez same państwa członkowskie.</w:t>
      </w:r>
    </w:p>
    <w:p w14:paraId="38A8D536"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 xml:space="preserve">Przyczyny działania na poziomie europejskim (ex ante) </w:t>
      </w:r>
    </w:p>
    <w:p w14:paraId="4008553B"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Czynniki powodujące wylesianie</w:t>
      </w:r>
      <w:r w:rsidR="00062BFA" w:rsidRPr="004F6DAA">
        <w:rPr>
          <w:noProof/>
        </w:rPr>
        <w:t xml:space="preserve"> i</w:t>
      </w:r>
      <w:r w:rsidR="00062BFA">
        <w:rPr>
          <w:noProof/>
        </w:rPr>
        <w:t> </w:t>
      </w:r>
      <w:r w:rsidR="00062BFA" w:rsidRPr="004F6DAA">
        <w:rPr>
          <w:noProof/>
        </w:rPr>
        <w:t>deg</w:t>
      </w:r>
      <w:r w:rsidRPr="004F6DAA">
        <w:rPr>
          <w:noProof/>
        </w:rPr>
        <w:t>radację lasów są powiązane</w:t>
      </w:r>
      <w:r w:rsidR="00062BFA" w:rsidRPr="004F6DAA">
        <w:rPr>
          <w:noProof/>
        </w:rPr>
        <w:t xml:space="preserve"> z</w:t>
      </w:r>
      <w:r w:rsidR="00062BFA">
        <w:rPr>
          <w:noProof/>
        </w:rPr>
        <w:t> </w:t>
      </w:r>
      <w:r w:rsidR="00062BFA" w:rsidRPr="004F6DAA">
        <w:rPr>
          <w:noProof/>
        </w:rPr>
        <w:t>han</w:t>
      </w:r>
      <w:r w:rsidRPr="004F6DAA">
        <w:rPr>
          <w:noProof/>
        </w:rPr>
        <w:t>dlem unijnym</w:t>
      </w:r>
      <w:r w:rsidR="00062BFA" w:rsidRPr="004F6DAA">
        <w:rPr>
          <w:noProof/>
        </w:rPr>
        <w:t xml:space="preserve"> i</w:t>
      </w:r>
      <w:r w:rsidR="00062BFA">
        <w:rPr>
          <w:noProof/>
        </w:rPr>
        <w:t> </w:t>
      </w:r>
      <w:r w:rsidR="00062BFA" w:rsidRPr="004F6DAA">
        <w:rPr>
          <w:noProof/>
        </w:rPr>
        <w:t>mię</w:t>
      </w:r>
      <w:r w:rsidRPr="004F6DAA">
        <w:rPr>
          <w:noProof/>
        </w:rPr>
        <w:t>dzynarodowym. Działania na szczeblu UE są niezbędne, aby umożliwić zajęcie się kwestiami handlu międzynarodowego</w:t>
      </w:r>
      <w:r w:rsidR="00062BFA" w:rsidRPr="004F6DAA">
        <w:rPr>
          <w:noProof/>
        </w:rPr>
        <w:t xml:space="preserve"> w</w:t>
      </w:r>
      <w:r w:rsidR="00062BFA">
        <w:rPr>
          <w:noProof/>
        </w:rPr>
        <w:t> </w:t>
      </w:r>
      <w:r w:rsidR="00062BFA" w:rsidRPr="004F6DAA">
        <w:rPr>
          <w:noProof/>
        </w:rPr>
        <w:t>spo</w:t>
      </w:r>
      <w:r w:rsidRPr="004F6DAA">
        <w:rPr>
          <w:noProof/>
        </w:rPr>
        <w:t>sób skoordynowany</w:t>
      </w:r>
      <w:r w:rsidR="00062BFA" w:rsidRPr="004F6DAA">
        <w:rPr>
          <w:noProof/>
        </w:rPr>
        <w:t xml:space="preserve"> i</w:t>
      </w:r>
      <w:r w:rsidR="00062BFA">
        <w:rPr>
          <w:noProof/>
        </w:rPr>
        <w:t> </w:t>
      </w:r>
      <w:r w:rsidR="00062BFA" w:rsidRPr="004F6DAA">
        <w:rPr>
          <w:noProof/>
        </w:rPr>
        <w:t>zha</w:t>
      </w:r>
      <w:r w:rsidRPr="004F6DAA">
        <w:rPr>
          <w:noProof/>
        </w:rPr>
        <w:t>rmonizowany oraz aby zapewnić przedsiębiorstwom równe szanse pod względem wymogów, które należy spełnić przed wprowadzeniem produktów do obrotu na rynku unijnym lub ich udostępnieniem na tym rynku bądź wywozem</w:t>
      </w:r>
      <w:r w:rsidR="00062BFA" w:rsidRPr="004F6DAA">
        <w:rPr>
          <w:noProof/>
        </w:rPr>
        <w:t xml:space="preserve"> z</w:t>
      </w:r>
      <w:r w:rsidR="00062BFA">
        <w:rPr>
          <w:noProof/>
        </w:rPr>
        <w:t> </w:t>
      </w:r>
      <w:r w:rsidR="00062BFA" w:rsidRPr="004F6DAA">
        <w:rPr>
          <w:noProof/>
        </w:rPr>
        <w:t>nie</w:t>
      </w:r>
      <w:r w:rsidRPr="004F6DAA">
        <w:rPr>
          <w:noProof/>
        </w:rPr>
        <w:t>go</w:t>
      </w:r>
      <w:r w:rsidR="00062BFA" w:rsidRPr="004F6DAA">
        <w:rPr>
          <w:noProof/>
        </w:rPr>
        <w:t>. W</w:t>
      </w:r>
      <w:r w:rsidR="00062BFA">
        <w:rPr>
          <w:noProof/>
        </w:rPr>
        <w:t> </w:t>
      </w:r>
      <w:r w:rsidR="00062BFA" w:rsidRPr="004F6DAA">
        <w:rPr>
          <w:noProof/>
        </w:rPr>
        <w:t>dzi</w:t>
      </w:r>
      <w:r w:rsidRPr="004F6DAA">
        <w:rPr>
          <w:noProof/>
        </w:rPr>
        <w:t>ałaniach na szczeblu UE możliwe byłyby również skorzystanie</w:t>
      </w:r>
      <w:r w:rsidR="00062BFA" w:rsidRPr="004F6DAA">
        <w:rPr>
          <w:noProof/>
        </w:rPr>
        <w:t xml:space="preserve"> z</w:t>
      </w:r>
      <w:r w:rsidR="00062BFA">
        <w:rPr>
          <w:noProof/>
        </w:rPr>
        <w:t> </w:t>
      </w:r>
      <w:r w:rsidR="00062BFA" w:rsidRPr="004F6DAA">
        <w:rPr>
          <w:noProof/>
        </w:rPr>
        <w:t>wcz</w:t>
      </w:r>
      <w:r w:rsidRPr="004F6DAA">
        <w:rPr>
          <w:noProof/>
        </w:rPr>
        <w:t>eśniejszych doświadczeń UE</w:t>
      </w:r>
      <w:r w:rsidR="00062BFA" w:rsidRPr="004F6DAA">
        <w:rPr>
          <w:noProof/>
        </w:rPr>
        <w:t xml:space="preserve"> w</w:t>
      </w:r>
      <w:r w:rsidR="00062BFA">
        <w:rPr>
          <w:noProof/>
        </w:rPr>
        <w:t> </w:t>
      </w:r>
      <w:r w:rsidR="00062BFA" w:rsidRPr="004F6DAA">
        <w:rPr>
          <w:noProof/>
        </w:rPr>
        <w:t>zaj</w:t>
      </w:r>
      <w:r w:rsidRPr="004F6DAA">
        <w:rPr>
          <w:noProof/>
        </w:rPr>
        <w:t>mowaniu się złożonymi łańcuchami dostaw (np. wynikających</w:t>
      </w:r>
      <w:r w:rsidR="00062BFA" w:rsidRPr="004F6DAA">
        <w:rPr>
          <w:noProof/>
        </w:rPr>
        <w:t xml:space="preserve"> z</w:t>
      </w:r>
      <w:r w:rsidR="00062BFA">
        <w:rPr>
          <w:noProof/>
        </w:rPr>
        <w:t> </w:t>
      </w:r>
      <w:r w:rsidR="00062BFA" w:rsidRPr="004F6DAA">
        <w:rPr>
          <w:noProof/>
        </w:rPr>
        <w:t>pra</w:t>
      </w:r>
      <w:r w:rsidRPr="004F6DAA">
        <w:rPr>
          <w:noProof/>
        </w:rPr>
        <w:t xml:space="preserve">wodawstwa dotyczącego nielegalnego pozyskiwania drewna). </w:t>
      </w:r>
    </w:p>
    <w:p w14:paraId="1ABA7F65"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Jedynie działania na poziomie UE gwarantowałyby skuteczną realizację celów interwencji, tj. ograniczenie wylesiania powodowanego przez UE,</w:t>
      </w:r>
      <w:r w:rsidR="00062BFA" w:rsidRPr="004F6DAA">
        <w:rPr>
          <w:noProof/>
        </w:rPr>
        <w:t xml:space="preserve"> a</w:t>
      </w:r>
      <w:r w:rsidR="00062BFA">
        <w:rPr>
          <w:noProof/>
        </w:rPr>
        <w:t> </w:t>
      </w:r>
      <w:r w:rsidR="00062BFA" w:rsidRPr="004F6DAA">
        <w:rPr>
          <w:noProof/>
        </w:rPr>
        <w:t>tym</w:t>
      </w:r>
      <w:r w:rsidRPr="004F6DAA">
        <w:rPr>
          <w:noProof/>
        </w:rPr>
        <w:t xml:space="preserve"> samym zmniejszenie emisji gazów cieplarnianych</w:t>
      </w:r>
      <w:r w:rsidR="00062BFA" w:rsidRPr="004F6DAA">
        <w:rPr>
          <w:noProof/>
        </w:rPr>
        <w:t xml:space="preserve"> i</w:t>
      </w:r>
      <w:r w:rsidR="00062BFA">
        <w:rPr>
          <w:noProof/>
        </w:rPr>
        <w:t> </w:t>
      </w:r>
      <w:r w:rsidR="00062BFA" w:rsidRPr="004F6DAA">
        <w:rPr>
          <w:noProof/>
        </w:rPr>
        <w:t>utr</w:t>
      </w:r>
      <w:r w:rsidRPr="004F6DAA">
        <w:rPr>
          <w:noProof/>
        </w:rPr>
        <w:t>aty różnorodności biologicznej spowodowanych konsumpcją</w:t>
      </w:r>
      <w:r w:rsidR="00062BFA" w:rsidRPr="004F6DAA">
        <w:rPr>
          <w:noProof/>
        </w:rPr>
        <w:t xml:space="preserve"> i</w:t>
      </w:r>
      <w:r w:rsidR="00062BFA">
        <w:rPr>
          <w:noProof/>
        </w:rPr>
        <w:t> </w:t>
      </w:r>
      <w:r w:rsidR="00062BFA" w:rsidRPr="004F6DAA">
        <w:rPr>
          <w:noProof/>
        </w:rPr>
        <w:t>pro</w:t>
      </w:r>
      <w:r w:rsidRPr="004F6DAA">
        <w:rPr>
          <w:noProof/>
        </w:rPr>
        <w:t>dukcją w UE, jak również ograniczenie do minimum konsumpcji towarów</w:t>
      </w:r>
      <w:r w:rsidR="00062BFA" w:rsidRPr="004F6DAA">
        <w:rPr>
          <w:noProof/>
        </w:rPr>
        <w:t xml:space="preserve"> i</w:t>
      </w:r>
      <w:r w:rsidR="00062BFA">
        <w:rPr>
          <w:noProof/>
        </w:rPr>
        <w:t> </w:t>
      </w:r>
      <w:r w:rsidR="00062BFA" w:rsidRPr="004F6DAA">
        <w:rPr>
          <w:noProof/>
        </w:rPr>
        <w:t>pro</w:t>
      </w:r>
      <w:r w:rsidRPr="004F6DAA">
        <w:rPr>
          <w:noProof/>
        </w:rPr>
        <w:t>duktów związanych</w:t>
      </w:r>
      <w:r w:rsidR="00062BFA" w:rsidRPr="004F6DAA">
        <w:rPr>
          <w:noProof/>
        </w:rPr>
        <w:t xml:space="preserve"> z</w:t>
      </w:r>
      <w:r w:rsidR="00062BFA">
        <w:rPr>
          <w:noProof/>
        </w:rPr>
        <w:t> </w:t>
      </w:r>
      <w:r w:rsidR="00062BFA" w:rsidRPr="004F6DAA">
        <w:rPr>
          <w:noProof/>
        </w:rPr>
        <w:t>wyl</w:t>
      </w:r>
      <w:r w:rsidRPr="004F6DAA">
        <w:rPr>
          <w:noProof/>
        </w:rPr>
        <w:t>esianiem.</w:t>
      </w:r>
    </w:p>
    <w:p w14:paraId="7FB5F9B0"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 xml:space="preserve">Oczekiwana wygenerowana unijna wartość dodana (ex post) </w:t>
      </w:r>
    </w:p>
    <w:p w14:paraId="0338D764"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Interwencja UE zapewni zharmonizowane wymogi dla produktów</w:t>
      </w:r>
      <w:r w:rsidR="00062BFA" w:rsidRPr="004F6DAA">
        <w:rPr>
          <w:noProof/>
        </w:rPr>
        <w:t xml:space="preserve"> i</w:t>
      </w:r>
      <w:r w:rsidR="00062BFA">
        <w:rPr>
          <w:noProof/>
        </w:rPr>
        <w:t> </w:t>
      </w:r>
      <w:r w:rsidR="00062BFA" w:rsidRPr="004F6DAA">
        <w:rPr>
          <w:noProof/>
        </w:rPr>
        <w:t>tow</w:t>
      </w:r>
      <w:r w:rsidRPr="004F6DAA">
        <w:rPr>
          <w:noProof/>
        </w:rPr>
        <w:t>arów objętych rozporządzeniem, które są wprowadzane do obrotu na rynku UE, niezależnie od tego, czy zostały wyprodukowane w UE, czy poza nią. Zagwarantuje to sprawiedliwe warunki konkurencji dla przedsiębiorstw działających w UE, które będą podlegać tym samym obowiązkom, niezależnie od państwa UE,</w:t>
      </w:r>
      <w:r w:rsidR="00062BFA" w:rsidRPr="004F6DAA">
        <w:rPr>
          <w:noProof/>
        </w:rPr>
        <w:t xml:space="preserve"> w</w:t>
      </w:r>
      <w:r w:rsidR="00062BFA">
        <w:rPr>
          <w:noProof/>
        </w:rPr>
        <w:t> </w:t>
      </w:r>
      <w:r w:rsidR="00062BFA" w:rsidRPr="004F6DAA">
        <w:rPr>
          <w:noProof/>
        </w:rPr>
        <w:t>któ</w:t>
      </w:r>
      <w:r w:rsidRPr="004F6DAA">
        <w:rPr>
          <w:noProof/>
        </w:rPr>
        <w:t>rym mają siedzibę. Interwencja znacznie zmniejszy wylesianie powodowane przez UE (zob. oczekiwane wyniki powyżej), emisje gazów cieplarnianych</w:t>
      </w:r>
      <w:r w:rsidR="00062BFA" w:rsidRPr="004F6DAA">
        <w:rPr>
          <w:noProof/>
        </w:rPr>
        <w:t xml:space="preserve"> i</w:t>
      </w:r>
      <w:r w:rsidR="00062BFA">
        <w:rPr>
          <w:noProof/>
        </w:rPr>
        <w:t> </w:t>
      </w:r>
      <w:r w:rsidR="00062BFA" w:rsidRPr="004F6DAA">
        <w:rPr>
          <w:noProof/>
        </w:rPr>
        <w:t>utr</w:t>
      </w:r>
      <w:r w:rsidRPr="004F6DAA">
        <w:rPr>
          <w:noProof/>
        </w:rPr>
        <w:t>atę różnorodności biologicznej.</w:t>
      </w:r>
    </w:p>
    <w:p w14:paraId="36ABD3F2"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Wniosek powinien również przyczynić się do zminimalizowania konsumpcji produktów pochodzących</w:t>
      </w:r>
      <w:r w:rsidR="00062BFA" w:rsidRPr="004F6DAA">
        <w:rPr>
          <w:noProof/>
        </w:rPr>
        <w:t xml:space="preserve"> z</w:t>
      </w:r>
      <w:r w:rsidR="00062BFA">
        <w:rPr>
          <w:noProof/>
        </w:rPr>
        <w:t> </w:t>
      </w:r>
      <w:r w:rsidR="00062BFA" w:rsidRPr="004F6DAA">
        <w:rPr>
          <w:noProof/>
        </w:rPr>
        <w:t>łań</w:t>
      </w:r>
      <w:r w:rsidRPr="004F6DAA">
        <w:rPr>
          <w:noProof/>
        </w:rPr>
        <w:t>cuchów dostaw związanych</w:t>
      </w:r>
      <w:r w:rsidR="00062BFA" w:rsidRPr="004F6DAA">
        <w:rPr>
          <w:noProof/>
        </w:rPr>
        <w:t xml:space="preserve"> z</w:t>
      </w:r>
      <w:r w:rsidR="00062BFA">
        <w:rPr>
          <w:noProof/>
        </w:rPr>
        <w:t> </w:t>
      </w:r>
      <w:r w:rsidR="00062BFA" w:rsidRPr="004F6DAA">
        <w:rPr>
          <w:noProof/>
        </w:rPr>
        <w:t>wyl</w:t>
      </w:r>
      <w:r w:rsidRPr="004F6DAA">
        <w:rPr>
          <w:noProof/>
        </w:rPr>
        <w:t>esianiem lub degradacją lasów oraz do zwiększenia popytu w UE na legalne i „niepowodujące wylesiania” towary</w:t>
      </w:r>
      <w:r w:rsidR="00062BFA" w:rsidRPr="004F6DAA">
        <w:rPr>
          <w:noProof/>
        </w:rPr>
        <w:t xml:space="preserve"> i</w:t>
      </w:r>
      <w:r w:rsidR="00062BFA">
        <w:rPr>
          <w:noProof/>
        </w:rPr>
        <w:t> </w:t>
      </w:r>
      <w:r w:rsidR="00062BFA" w:rsidRPr="004F6DAA">
        <w:rPr>
          <w:noProof/>
        </w:rPr>
        <w:t>pro</w:t>
      </w:r>
      <w:r w:rsidRPr="004F6DAA">
        <w:rPr>
          <w:noProof/>
        </w:rPr>
        <w:t>dukty,</w:t>
      </w:r>
      <w:r w:rsidR="00062BFA" w:rsidRPr="004F6DAA">
        <w:rPr>
          <w:noProof/>
        </w:rPr>
        <w:t xml:space="preserve"> a</w:t>
      </w:r>
      <w:r w:rsidR="00062BFA">
        <w:rPr>
          <w:noProof/>
        </w:rPr>
        <w:t> </w:t>
      </w:r>
      <w:r w:rsidR="00062BFA" w:rsidRPr="004F6DAA">
        <w:rPr>
          <w:noProof/>
        </w:rPr>
        <w:t>tak</w:t>
      </w:r>
      <w:r w:rsidRPr="004F6DAA">
        <w:rPr>
          <w:noProof/>
        </w:rPr>
        <w:t>że do rozwoju handlu nimi.</w:t>
      </w:r>
    </w:p>
    <w:p w14:paraId="78EEC2BB" w14:textId="77777777" w:rsidR="007F4C85" w:rsidRPr="004F6DAA" w:rsidRDefault="007B7EB7" w:rsidP="007B7EB7">
      <w:pPr>
        <w:pStyle w:val="ManualHeading3"/>
        <w:rPr>
          <w:noProof/>
        </w:rPr>
      </w:pPr>
      <w:r w:rsidRPr="007B7EB7">
        <w:t>1.5.3.</w:t>
      </w:r>
      <w:r w:rsidRPr="007B7EB7">
        <w:tab/>
      </w:r>
      <w:r w:rsidR="007F4C85" w:rsidRPr="004F6DAA">
        <w:rPr>
          <w:noProof/>
        </w:rPr>
        <w:t>Główne wnioski wyciągnięte</w:t>
      </w:r>
      <w:r w:rsidR="00062BFA" w:rsidRPr="004F6DAA">
        <w:rPr>
          <w:noProof/>
        </w:rPr>
        <w:t xml:space="preserve"> z</w:t>
      </w:r>
      <w:r w:rsidR="00062BFA">
        <w:rPr>
          <w:noProof/>
        </w:rPr>
        <w:t> </w:t>
      </w:r>
      <w:r w:rsidR="00062BFA" w:rsidRPr="004F6DAA">
        <w:rPr>
          <w:noProof/>
        </w:rPr>
        <w:t>pod</w:t>
      </w:r>
      <w:r w:rsidR="007F4C85" w:rsidRPr="004F6DAA">
        <w:rPr>
          <w:noProof/>
        </w:rPr>
        <w:t>obnych działań</w:t>
      </w:r>
    </w:p>
    <w:p w14:paraId="7AB16C47"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Ocena rozporządzenia</w:t>
      </w:r>
      <w:r w:rsidR="00062BFA" w:rsidRPr="004F6DAA">
        <w:rPr>
          <w:noProof/>
        </w:rPr>
        <w:t xml:space="preserve"> w</w:t>
      </w:r>
      <w:r w:rsidR="00062BFA">
        <w:rPr>
          <w:noProof/>
        </w:rPr>
        <w:t> </w:t>
      </w:r>
      <w:r w:rsidR="00062BFA" w:rsidRPr="004F6DAA">
        <w:rPr>
          <w:noProof/>
        </w:rPr>
        <w:t>spr</w:t>
      </w:r>
      <w:r w:rsidRPr="004F6DAA">
        <w:rPr>
          <w:noProof/>
        </w:rPr>
        <w:t>awie drewna</w:t>
      </w:r>
      <w:r w:rsidR="00062BFA" w:rsidRPr="004F6DAA">
        <w:rPr>
          <w:noProof/>
        </w:rPr>
        <w:t xml:space="preserve"> i</w:t>
      </w:r>
      <w:r w:rsidR="00062BFA">
        <w:rPr>
          <w:noProof/>
        </w:rPr>
        <w:t> </w:t>
      </w:r>
      <w:r w:rsidR="00062BFA" w:rsidRPr="004F6DAA">
        <w:rPr>
          <w:noProof/>
        </w:rPr>
        <w:t>roz</w:t>
      </w:r>
      <w:r w:rsidRPr="004F6DAA">
        <w:rPr>
          <w:noProof/>
        </w:rPr>
        <w:t>porządzenia FLEGT, skupiająca się na legalności drewna wprowadzanego do obrotu na rynku UE, wskazuje na potrzebę modernizacji ram legislacyjnych. Obecnie nie istnieją żadne przepisy unijne mające na celu zmniejszenie wpływu konsumpcji w UE na wylesianie</w:t>
      </w:r>
      <w:r w:rsidR="00062BFA" w:rsidRPr="004F6DAA">
        <w:rPr>
          <w:noProof/>
        </w:rPr>
        <w:t xml:space="preserve"> i</w:t>
      </w:r>
      <w:r w:rsidR="00062BFA">
        <w:rPr>
          <w:noProof/>
        </w:rPr>
        <w:t> </w:t>
      </w:r>
      <w:r w:rsidR="00062BFA" w:rsidRPr="004F6DAA">
        <w:rPr>
          <w:noProof/>
        </w:rPr>
        <w:t>deg</w:t>
      </w:r>
      <w:r w:rsidRPr="004F6DAA">
        <w:rPr>
          <w:noProof/>
        </w:rPr>
        <w:t>radację lasów. Wniosek opiera się na doświadczeniach</w:t>
      </w:r>
      <w:r w:rsidR="00062BFA" w:rsidRPr="004F6DAA">
        <w:rPr>
          <w:noProof/>
        </w:rPr>
        <w:t xml:space="preserve"> i</w:t>
      </w:r>
      <w:r w:rsidR="00062BFA">
        <w:rPr>
          <w:noProof/>
        </w:rPr>
        <w:t> </w:t>
      </w:r>
      <w:r w:rsidR="00062BFA" w:rsidRPr="004F6DAA">
        <w:rPr>
          <w:noProof/>
        </w:rPr>
        <w:t>wni</w:t>
      </w:r>
      <w:r w:rsidRPr="004F6DAA">
        <w:rPr>
          <w:noProof/>
        </w:rPr>
        <w:t>oskach</w:t>
      </w:r>
      <w:r w:rsidR="00062BFA" w:rsidRPr="004F6DAA">
        <w:rPr>
          <w:noProof/>
        </w:rPr>
        <w:t xml:space="preserve"> z</w:t>
      </w:r>
      <w:r w:rsidR="00062BFA">
        <w:rPr>
          <w:noProof/>
        </w:rPr>
        <w:t> </w:t>
      </w:r>
      <w:r w:rsidR="00062BFA" w:rsidRPr="004F6DAA">
        <w:rPr>
          <w:noProof/>
        </w:rPr>
        <w:t>oce</w:t>
      </w:r>
      <w:r w:rsidRPr="004F6DAA">
        <w:rPr>
          <w:noProof/>
        </w:rPr>
        <w:t>ny adekwatności</w:t>
      </w:r>
      <w:r w:rsidR="00062BFA" w:rsidRPr="004F6DAA">
        <w:rPr>
          <w:noProof/>
        </w:rPr>
        <w:t xml:space="preserve"> w</w:t>
      </w:r>
      <w:r w:rsidR="00062BFA">
        <w:rPr>
          <w:noProof/>
        </w:rPr>
        <w:t> </w:t>
      </w:r>
      <w:r w:rsidR="00062BFA" w:rsidRPr="004F6DAA">
        <w:rPr>
          <w:noProof/>
        </w:rPr>
        <w:t>kwe</w:t>
      </w:r>
      <w:r w:rsidRPr="004F6DAA">
        <w:rPr>
          <w:noProof/>
        </w:rPr>
        <w:t>stii ulepszenia proponowanego systemu zasad należytej staranności (w porównaniu</w:t>
      </w:r>
      <w:r w:rsidR="00062BFA" w:rsidRPr="004F6DAA">
        <w:rPr>
          <w:noProof/>
        </w:rPr>
        <w:t xml:space="preserve"> z</w:t>
      </w:r>
      <w:r w:rsidR="00062BFA">
        <w:rPr>
          <w:noProof/>
        </w:rPr>
        <w:t> </w:t>
      </w:r>
      <w:r w:rsidR="00062BFA" w:rsidRPr="004F6DAA">
        <w:rPr>
          <w:noProof/>
        </w:rPr>
        <w:t>sys</w:t>
      </w:r>
      <w:r w:rsidRPr="004F6DAA">
        <w:rPr>
          <w:noProof/>
        </w:rPr>
        <w:t>temem przewidzianym w EUTR) oraz braku skuteczności konkretnych dwustronnych umów handlowych (umów</w:t>
      </w:r>
      <w:r w:rsidR="00062BFA" w:rsidRPr="004F6DAA">
        <w:rPr>
          <w:noProof/>
        </w:rPr>
        <w:t xml:space="preserve"> o</w:t>
      </w:r>
      <w:r w:rsidR="00062BFA">
        <w:rPr>
          <w:noProof/>
        </w:rPr>
        <w:t> </w:t>
      </w:r>
      <w:r w:rsidR="00062BFA" w:rsidRPr="004F6DAA">
        <w:rPr>
          <w:noProof/>
        </w:rPr>
        <w:t>dob</w:t>
      </w:r>
      <w:r w:rsidRPr="004F6DAA">
        <w:rPr>
          <w:noProof/>
        </w:rPr>
        <w:t>rowolnym partnerstwie dotyczących egzekwowania prawa, zarządzania</w:t>
      </w:r>
      <w:r w:rsidR="00062BFA" w:rsidRPr="004F6DAA">
        <w:rPr>
          <w:noProof/>
        </w:rPr>
        <w:t xml:space="preserve"> i</w:t>
      </w:r>
      <w:r w:rsidR="00062BFA">
        <w:rPr>
          <w:noProof/>
        </w:rPr>
        <w:t> </w:t>
      </w:r>
      <w:r w:rsidR="00062BFA" w:rsidRPr="004F6DAA">
        <w:rPr>
          <w:noProof/>
        </w:rPr>
        <w:t>han</w:t>
      </w:r>
      <w:r w:rsidRPr="004F6DAA">
        <w:rPr>
          <w:noProof/>
        </w:rPr>
        <w:t>dlu</w:t>
      </w:r>
      <w:r w:rsidR="00062BFA" w:rsidRPr="004F6DAA">
        <w:rPr>
          <w:noProof/>
        </w:rPr>
        <w:t xml:space="preserve"> w</w:t>
      </w:r>
      <w:r w:rsidR="00062BFA">
        <w:rPr>
          <w:noProof/>
        </w:rPr>
        <w:t> </w:t>
      </w:r>
      <w:r w:rsidR="00062BFA" w:rsidRPr="004F6DAA">
        <w:rPr>
          <w:noProof/>
        </w:rPr>
        <w:t>dzi</w:t>
      </w:r>
      <w:r w:rsidRPr="004F6DAA">
        <w:rPr>
          <w:noProof/>
        </w:rPr>
        <w:t>edzinie leśnictwa)</w:t>
      </w:r>
      <w:r w:rsidR="00062BFA" w:rsidRPr="004F6DAA">
        <w:rPr>
          <w:noProof/>
        </w:rPr>
        <w:t xml:space="preserve"> w</w:t>
      </w:r>
      <w:r w:rsidR="00062BFA">
        <w:rPr>
          <w:noProof/>
        </w:rPr>
        <w:t> </w:t>
      </w:r>
      <w:r w:rsidR="00062BFA" w:rsidRPr="004F6DAA">
        <w:rPr>
          <w:noProof/>
        </w:rPr>
        <w:t>roz</w:t>
      </w:r>
      <w:r w:rsidRPr="004F6DAA">
        <w:rPr>
          <w:noProof/>
        </w:rPr>
        <w:t>wiązywaniu problemu wylesiania powodowanego przez UE.</w:t>
      </w:r>
    </w:p>
    <w:p w14:paraId="0393D2D0" w14:textId="77777777" w:rsidR="007F4C85" w:rsidRPr="004F6DAA" w:rsidRDefault="007B7EB7" w:rsidP="007B7EB7">
      <w:pPr>
        <w:pStyle w:val="ManualHeading3"/>
        <w:rPr>
          <w:noProof/>
        </w:rPr>
      </w:pPr>
      <w:r w:rsidRPr="007B7EB7">
        <w:t>1.5.4.</w:t>
      </w:r>
      <w:r w:rsidRPr="007B7EB7">
        <w:tab/>
      </w:r>
      <w:r w:rsidR="007F4C85" w:rsidRPr="004F6DAA">
        <w:rPr>
          <w:noProof/>
        </w:rPr>
        <w:t>Spójność</w:t>
      </w:r>
      <w:r w:rsidR="00062BFA" w:rsidRPr="004F6DAA">
        <w:rPr>
          <w:noProof/>
        </w:rPr>
        <w:t xml:space="preserve"> z</w:t>
      </w:r>
      <w:r w:rsidR="00062BFA">
        <w:rPr>
          <w:noProof/>
        </w:rPr>
        <w:t> </w:t>
      </w:r>
      <w:r w:rsidR="00062BFA" w:rsidRPr="004F6DAA">
        <w:rPr>
          <w:noProof/>
        </w:rPr>
        <w:t>wie</w:t>
      </w:r>
      <w:r w:rsidR="007F4C85" w:rsidRPr="004F6DAA">
        <w:rPr>
          <w:noProof/>
        </w:rPr>
        <w:t>loletnimi ramami finansowymi oraz możliwa synergia</w:t>
      </w:r>
      <w:r w:rsidR="00062BFA" w:rsidRPr="004F6DAA">
        <w:rPr>
          <w:noProof/>
        </w:rPr>
        <w:t xml:space="preserve"> z</w:t>
      </w:r>
      <w:r w:rsidR="00062BFA">
        <w:rPr>
          <w:noProof/>
        </w:rPr>
        <w:t> </w:t>
      </w:r>
      <w:r w:rsidR="00062BFA" w:rsidRPr="004F6DAA">
        <w:rPr>
          <w:noProof/>
        </w:rPr>
        <w:t>inn</w:t>
      </w:r>
      <w:r w:rsidR="007F4C85" w:rsidRPr="004F6DAA">
        <w:rPr>
          <w:noProof/>
        </w:rPr>
        <w:t>ymi właściwymi instrumentami</w:t>
      </w:r>
    </w:p>
    <w:p w14:paraId="590B2225"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Unia Europejska zatwierdziła szeroko zakrojony plan odbudowy oparty na wzmocnionym budżecie długoterminowym na kolejny okres wieloletnich ram finansowych oraz nowe narzędzie służące odbudowie gospodarki – Next Generation EU.</w:t>
      </w:r>
    </w:p>
    <w:p w14:paraId="1B29C235"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Inicjatywa ta wchodzi</w:t>
      </w:r>
      <w:r w:rsidR="00062BFA" w:rsidRPr="004F6DAA">
        <w:rPr>
          <w:noProof/>
        </w:rPr>
        <w:t xml:space="preserve"> w</w:t>
      </w:r>
      <w:r w:rsidR="00062BFA">
        <w:rPr>
          <w:noProof/>
        </w:rPr>
        <w:t> </w:t>
      </w:r>
      <w:r w:rsidR="00062BFA" w:rsidRPr="004F6DAA">
        <w:rPr>
          <w:noProof/>
        </w:rPr>
        <w:t>zak</w:t>
      </w:r>
      <w:r w:rsidRPr="004F6DAA">
        <w:rPr>
          <w:noProof/>
        </w:rPr>
        <w:t xml:space="preserve">res Europejskiego Zielonego Ładu, wokół którego koncentruje się unijna strategia odbudowy. Jej celem jest doprowadzenie do neutralności klimatycznej UE </w:t>
      </w:r>
      <w:r w:rsidRPr="00062BFA">
        <w:rPr>
          <w:noProof/>
        </w:rPr>
        <w:t>do</w:t>
      </w:r>
      <w:r w:rsidR="00062BFA" w:rsidRPr="00062BFA">
        <w:rPr>
          <w:noProof/>
        </w:rPr>
        <w:t> </w:t>
      </w:r>
      <w:r w:rsidRPr="00062BFA">
        <w:rPr>
          <w:noProof/>
        </w:rPr>
        <w:t>2</w:t>
      </w:r>
      <w:r w:rsidRPr="004F6DAA">
        <w:rPr>
          <w:noProof/>
        </w:rPr>
        <w:t>0</w:t>
      </w:r>
      <w:r w:rsidRPr="00062BFA">
        <w:rPr>
          <w:noProof/>
        </w:rPr>
        <w:t>50</w:t>
      </w:r>
      <w:r w:rsidR="00062BFA" w:rsidRPr="00062BFA">
        <w:rPr>
          <w:noProof/>
        </w:rPr>
        <w:t> </w:t>
      </w:r>
      <w:r w:rsidRPr="00062BFA">
        <w:rPr>
          <w:noProof/>
        </w:rPr>
        <w:t>r.</w:t>
      </w:r>
      <w:r w:rsidRPr="004F6DAA">
        <w:rPr>
          <w:noProof/>
        </w:rPr>
        <w:t xml:space="preserve"> oraz ograniczenie utraty różnorodności biologicznej. Obejmuje to promowanie produktów</w:t>
      </w:r>
      <w:r w:rsidR="00062BFA" w:rsidRPr="004F6DAA">
        <w:rPr>
          <w:noProof/>
        </w:rPr>
        <w:t xml:space="preserve"> i</w:t>
      </w:r>
      <w:r w:rsidR="00062BFA">
        <w:rPr>
          <w:noProof/>
        </w:rPr>
        <w:t> </w:t>
      </w:r>
      <w:r w:rsidR="00062BFA" w:rsidRPr="004F6DAA">
        <w:rPr>
          <w:noProof/>
        </w:rPr>
        <w:t>łań</w:t>
      </w:r>
      <w:r w:rsidRPr="004F6DAA">
        <w:rPr>
          <w:noProof/>
        </w:rPr>
        <w:t>cuchów wartości, które nie powodują wylesiania</w:t>
      </w:r>
      <w:r w:rsidR="00062BFA" w:rsidRPr="004F6DAA">
        <w:rPr>
          <w:noProof/>
        </w:rPr>
        <w:t xml:space="preserve"> i</w:t>
      </w:r>
      <w:r w:rsidR="00062BFA">
        <w:rPr>
          <w:noProof/>
        </w:rPr>
        <w:t> </w:t>
      </w:r>
      <w:r w:rsidR="00062BFA" w:rsidRPr="004F6DAA">
        <w:rPr>
          <w:noProof/>
        </w:rPr>
        <w:t>deg</w:t>
      </w:r>
      <w:r w:rsidRPr="004F6DAA">
        <w:rPr>
          <w:noProof/>
        </w:rPr>
        <w:t>radacji lasów</w:t>
      </w:r>
      <w:r w:rsidR="00062BFA" w:rsidRPr="004F6DAA">
        <w:rPr>
          <w:noProof/>
        </w:rPr>
        <w:t>. W</w:t>
      </w:r>
      <w:r w:rsidR="00062BFA">
        <w:rPr>
          <w:noProof/>
        </w:rPr>
        <w:t> </w:t>
      </w:r>
      <w:r w:rsidR="00062BFA" w:rsidRPr="004F6DAA">
        <w:rPr>
          <w:noProof/>
        </w:rPr>
        <w:t>ini</w:t>
      </w:r>
      <w:r w:rsidRPr="004F6DAA">
        <w:rPr>
          <w:noProof/>
        </w:rPr>
        <w:t>cjatywie opowiedziano się również za bardziej zrównoważonymi łańcuchami dostaw żywności oraz za tym, aby UE ustanowiła nowe normy</w:t>
      </w:r>
      <w:r w:rsidR="00062BFA" w:rsidRPr="004F6DAA">
        <w:rPr>
          <w:noProof/>
        </w:rPr>
        <w:t xml:space="preserve"> w</w:t>
      </w:r>
      <w:r w:rsidR="00062BFA">
        <w:rPr>
          <w:noProof/>
        </w:rPr>
        <w:t> </w:t>
      </w:r>
      <w:r w:rsidR="00062BFA" w:rsidRPr="004F6DAA">
        <w:rPr>
          <w:noProof/>
        </w:rPr>
        <w:t>zak</w:t>
      </w:r>
      <w:r w:rsidRPr="004F6DAA">
        <w:rPr>
          <w:noProof/>
        </w:rPr>
        <w:t>resie zrównoważonego wzrostu gospodarczego</w:t>
      </w:r>
      <w:r w:rsidR="00062BFA" w:rsidRPr="004F6DAA">
        <w:rPr>
          <w:noProof/>
        </w:rPr>
        <w:t xml:space="preserve"> i</w:t>
      </w:r>
      <w:r w:rsidR="00062BFA">
        <w:rPr>
          <w:noProof/>
        </w:rPr>
        <w:t> </w:t>
      </w:r>
      <w:r w:rsidR="00062BFA" w:rsidRPr="004F6DAA">
        <w:rPr>
          <w:noProof/>
        </w:rPr>
        <w:t>wyk</w:t>
      </w:r>
      <w:r w:rsidRPr="004F6DAA">
        <w:rPr>
          <w:noProof/>
        </w:rPr>
        <w:t>orzystała swoją pozycję gospodarczą do kształtowania międzynarodowych norm zgodnych</w:t>
      </w:r>
      <w:r w:rsidR="00062BFA" w:rsidRPr="004F6DAA">
        <w:rPr>
          <w:noProof/>
        </w:rPr>
        <w:t xml:space="preserve"> z</w:t>
      </w:r>
      <w:r w:rsidR="00062BFA">
        <w:rPr>
          <w:noProof/>
        </w:rPr>
        <w:t> </w:t>
      </w:r>
      <w:r w:rsidR="00062BFA" w:rsidRPr="004F6DAA">
        <w:rPr>
          <w:noProof/>
        </w:rPr>
        <w:t>amb</w:t>
      </w:r>
      <w:r w:rsidRPr="004F6DAA">
        <w:rPr>
          <w:noProof/>
        </w:rPr>
        <w:t>itnymi celami środowiskowymi</w:t>
      </w:r>
      <w:r w:rsidR="00062BFA" w:rsidRPr="004F6DAA">
        <w:rPr>
          <w:noProof/>
        </w:rPr>
        <w:t xml:space="preserve"> i</w:t>
      </w:r>
      <w:r w:rsidR="00062BFA">
        <w:rPr>
          <w:noProof/>
        </w:rPr>
        <w:t> </w:t>
      </w:r>
      <w:r w:rsidR="00062BFA" w:rsidRPr="004F6DAA">
        <w:rPr>
          <w:noProof/>
        </w:rPr>
        <w:t>kli</w:t>
      </w:r>
      <w:r w:rsidRPr="004F6DAA">
        <w:rPr>
          <w:noProof/>
        </w:rPr>
        <w:t>matycznymi. Inicjatywa wpisuje się również</w:t>
      </w:r>
      <w:r w:rsidR="00062BFA" w:rsidRPr="004F6DAA">
        <w:rPr>
          <w:noProof/>
        </w:rPr>
        <w:t xml:space="preserve"> w</w:t>
      </w:r>
      <w:r w:rsidR="00062BFA">
        <w:rPr>
          <w:noProof/>
        </w:rPr>
        <w:t> </w:t>
      </w:r>
      <w:r w:rsidR="00062BFA" w:rsidRPr="004F6DAA">
        <w:rPr>
          <w:noProof/>
        </w:rPr>
        <w:t>pri</w:t>
      </w:r>
      <w:r w:rsidRPr="004F6DAA">
        <w:rPr>
          <w:noProof/>
        </w:rPr>
        <w:t>orytety określone</w:t>
      </w:r>
      <w:r w:rsidR="00062BFA" w:rsidRPr="004F6DAA">
        <w:rPr>
          <w:noProof/>
        </w:rPr>
        <w:t xml:space="preserve"> w</w:t>
      </w:r>
      <w:r w:rsidR="00062BFA">
        <w:rPr>
          <w:noProof/>
        </w:rPr>
        <w:t> </w:t>
      </w:r>
      <w:r w:rsidR="00062BFA" w:rsidRPr="004F6DAA">
        <w:rPr>
          <w:noProof/>
        </w:rPr>
        <w:t>uni</w:t>
      </w:r>
      <w:r w:rsidRPr="004F6DAA">
        <w:rPr>
          <w:noProof/>
        </w:rPr>
        <w:t>jnej strategii na rzecz bioróżnorodności 2030 oraz</w:t>
      </w:r>
      <w:r w:rsidR="00062BFA" w:rsidRPr="004F6DAA">
        <w:rPr>
          <w:noProof/>
        </w:rPr>
        <w:t xml:space="preserve"> w</w:t>
      </w:r>
      <w:r w:rsidR="00062BFA">
        <w:rPr>
          <w:noProof/>
        </w:rPr>
        <w:t> </w:t>
      </w:r>
      <w:r w:rsidR="00062BFA" w:rsidRPr="004F6DAA">
        <w:rPr>
          <w:noProof/>
        </w:rPr>
        <w:t>str</w:t>
      </w:r>
      <w:r w:rsidRPr="004F6DAA">
        <w:rPr>
          <w:noProof/>
        </w:rPr>
        <w:t>ategii „Od pola do stołu”.</w:t>
      </w:r>
    </w:p>
    <w:p w14:paraId="2C0C19C9"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Inicjatywa wchodzi</w:t>
      </w:r>
      <w:r w:rsidR="00062BFA" w:rsidRPr="004F6DAA">
        <w:rPr>
          <w:noProof/>
        </w:rPr>
        <w:t xml:space="preserve"> w</w:t>
      </w:r>
      <w:r w:rsidR="00062BFA">
        <w:rPr>
          <w:noProof/>
        </w:rPr>
        <w:t> </w:t>
      </w:r>
      <w:r w:rsidR="00062BFA" w:rsidRPr="004F6DAA">
        <w:rPr>
          <w:noProof/>
        </w:rPr>
        <w:t>zak</w:t>
      </w:r>
      <w:r w:rsidRPr="004F6DAA">
        <w:rPr>
          <w:noProof/>
        </w:rPr>
        <w:t>res działu 3 (Zasoby naturalne</w:t>
      </w:r>
      <w:r w:rsidR="00062BFA" w:rsidRPr="004F6DAA">
        <w:rPr>
          <w:noProof/>
        </w:rPr>
        <w:t xml:space="preserve"> i</w:t>
      </w:r>
      <w:r w:rsidR="00062BFA">
        <w:rPr>
          <w:noProof/>
        </w:rPr>
        <w:t> </w:t>
      </w:r>
      <w:r w:rsidR="00062BFA" w:rsidRPr="004F6DAA">
        <w:rPr>
          <w:noProof/>
        </w:rPr>
        <w:t>śro</w:t>
      </w:r>
      <w:r w:rsidRPr="004F6DAA">
        <w:rPr>
          <w:noProof/>
        </w:rPr>
        <w:t>dowisko), tytułu 9 (Działania na rzecz środowiska</w:t>
      </w:r>
      <w:r w:rsidR="00062BFA" w:rsidRPr="004F6DAA">
        <w:rPr>
          <w:noProof/>
        </w:rPr>
        <w:t xml:space="preserve"> i</w:t>
      </w:r>
      <w:r w:rsidR="00062BFA">
        <w:rPr>
          <w:noProof/>
        </w:rPr>
        <w:t> </w:t>
      </w:r>
      <w:r w:rsidR="00062BFA" w:rsidRPr="004F6DAA">
        <w:rPr>
          <w:noProof/>
        </w:rPr>
        <w:t>kli</w:t>
      </w:r>
      <w:r w:rsidRPr="004F6DAA">
        <w:rPr>
          <w:noProof/>
        </w:rPr>
        <w:t>matu) wieloletnich ram finansowych. Jak wyszczególniono poniżej, wprowadzenie tego aktu prawnego będzie wymagało dodatkowych zasobów ludzkich,</w:t>
      </w:r>
      <w:r w:rsidR="00062BFA" w:rsidRPr="004F6DAA">
        <w:rPr>
          <w:noProof/>
        </w:rPr>
        <w:t xml:space="preserve"> a</w:t>
      </w:r>
      <w:r w:rsidR="00062BFA">
        <w:rPr>
          <w:noProof/>
        </w:rPr>
        <w:t> </w:t>
      </w:r>
      <w:r w:rsidR="00062BFA" w:rsidRPr="004F6DAA">
        <w:rPr>
          <w:noProof/>
        </w:rPr>
        <w:t>tak</w:t>
      </w:r>
      <w:r w:rsidRPr="004F6DAA">
        <w:rPr>
          <w:noProof/>
        </w:rPr>
        <w:t>że pewnych wydatków na wsparcie. Wydatki na wsparcie zostaną pokryte</w:t>
      </w:r>
      <w:r w:rsidR="00062BFA" w:rsidRPr="004F6DAA">
        <w:rPr>
          <w:noProof/>
        </w:rPr>
        <w:t xml:space="preserve"> z</w:t>
      </w:r>
      <w:r w:rsidR="00062BFA">
        <w:rPr>
          <w:noProof/>
        </w:rPr>
        <w:t> </w:t>
      </w:r>
      <w:r w:rsidR="00062BFA" w:rsidRPr="004F6DAA">
        <w:rPr>
          <w:noProof/>
        </w:rPr>
        <w:t>uni</w:t>
      </w:r>
      <w:r w:rsidRPr="004F6DAA">
        <w:rPr>
          <w:noProof/>
        </w:rPr>
        <w:t>jnego Programu działań na rzecz środowiska</w:t>
      </w:r>
      <w:r w:rsidR="00062BFA" w:rsidRPr="004F6DAA">
        <w:rPr>
          <w:noProof/>
        </w:rPr>
        <w:t xml:space="preserve"> i</w:t>
      </w:r>
      <w:r w:rsidR="00062BFA">
        <w:rPr>
          <w:noProof/>
        </w:rPr>
        <w:t> </w:t>
      </w:r>
      <w:r w:rsidR="00062BFA" w:rsidRPr="004F6DAA">
        <w:rPr>
          <w:noProof/>
        </w:rPr>
        <w:t>kli</w:t>
      </w:r>
      <w:r w:rsidRPr="004F6DAA">
        <w:rPr>
          <w:noProof/>
        </w:rPr>
        <w:t>matu (LIFE) na lata 2021–2027.</w:t>
      </w:r>
    </w:p>
    <w:p w14:paraId="67460624" w14:textId="77777777" w:rsidR="007F4C85" w:rsidRPr="004F6DAA" w:rsidRDefault="007B7EB7" w:rsidP="007B7EB7">
      <w:pPr>
        <w:pStyle w:val="ManualHeading3"/>
        <w:rPr>
          <w:noProof/>
        </w:rPr>
      </w:pPr>
      <w:r w:rsidRPr="007B7EB7">
        <w:t>1.5.5.</w:t>
      </w:r>
      <w:r w:rsidRPr="007B7EB7">
        <w:tab/>
      </w:r>
      <w:r w:rsidR="007F4C85" w:rsidRPr="004F6DAA">
        <w:rPr>
          <w:noProof/>
        </w:rPr>
        <w:t>Ocena różnych dostępnych możliwości finansowania,</w:t>
      </w:r>
      <w:r w:rsidR="00062BFA" w:rsidRPr="004F6DAA">
        <w:rPr>
          <w:noProof/>
        </w:rPr>
        <w:t xml:space="preserve"> w</w:t>
      </w:r>
      <w:r w:rsidR="00062BFA">
        <w:rPr>
          <w:noProof/>
        </w:rPr>
        <w:t> </w:t>
      </w:r>
      <w:r w:rsidR="00062BFA" w:rsidRPr="004F6DAA">
        <w:rPr>
          <w:noProof/>
        </w:rPr>
        <w:t>tym</w:t>
      </w:r>
      <w:r w:rsidR="007F4C85" w:rsidRPr="004F6DAA">
        <w:rPr>
          <w:noProof/>
        </w:rPr>
        <w:t xml:space="preserve"> zakresu przegrupowania środków</w:t>
      </w:r>
    </w:p>
    <w:p w14:paraId="04666FEB"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W wyniku wdrożenia rozporządzenia zakresem jego stosowania zostanie objęta duża</w:t>
      </w:r>
      <w:r w:rsidR="00062BFA" w:rsidRPr="004F6DAA">
        <w:rPr>
          <w:noProof/>
        </w:rPr>
        <w:t xml:space="preserve"> i</w:t>
      </w:r>
      <w:r w:rsidR="00062BFA">
        <w:rPr>
          <w:noProof/>
        </w:rPr>
        <w:t> </w:t>
      </w:r>
      <w:r w:rsidR="00062BFA" w:rsidRPr="004F6DAA">
        <w:rPr>
          <w:noProof/>
        </w:rPr>
        <w:t>zró</w:t>
      </w:r>
      <w:r w:rsidRPr="004F6DAA">
        <w:rPr>
          <w:noProof/>
        </w:rPr>
        <w:t>żnicowana liczba sektorów gospodarki, co będzie wymagało dodatkowych zasobów ludzkich, środków na zamówienia dla wykonawców zewnętrznych oraz porozumień administracyjnych między służbami Komisji.</w:t>
      </w:r>
    </w:p>
    <w:p w14:paraId="68E03FDE"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Do wdrożenia rozporządzenia potrzebnych będzie pięć dodatkowych ekwiwalentów pełnego czasu pracy w DG ds. Środowiska,</w:t>
      </w:r>
      <w:r w:rsidR="00062BFA" w:rsidRPr="004F6DAA">
        <w:rPr>
          <w:noProof/>
        </w:rPr>
        <w:t xml:space="preserve"> w</w:t>
      </w:r>
      <w:r w:rsidR="00062BFA">
        <w:rPr>
          <w:noProof/>
        </w:rPr>
        <w:t> </w:t>
      </w:r>
      <w:r w:rsidR="00062BFA" w:rsidRPr="004F6DAA">
        <w:rPr>
          <w:noProof/>
        </w:rPr>
        <w:t>tym</w:t>
      </w:r>
      <w:r w:rsidRPr="004F6DAA">
        <w:rPr>
          <w:noProof/>
        </w:rPr>
        <w:t xml:space="preserve"> do celów współpracy międzynarodowej. Do wdrożenia rozporządzenia,</w:t>
      </w:r>
      <w:r w:rsidR="00062BFA" w:rsidRPr="004F6DAA">
        <w:rPr>
          <w:noProof/>
        </w:rPr>
        <w:t xml:space="preserve"> w</w:t>
      </w:r>
      <w:r w:rsidR="00062BFA">
        <w:rPr>
          <w:noProof/>
        </w:rPr>
        <w:t> </w:t>
      </w:r>
      <w:r w:rsidR="00062BFA" w:rsidRPr="004F6DAA">
        <w:rPr>
          <w:noProof/>
        </w:rPr>
        <w:t>szc</w:t>
      </w:r>
      <w:r w:rsidRPr="004F6DAA">
        <w:rPr>
          <w:noProof/>
        </w:rPr>
        <w:t>zególności</w:t>
      </w:r>
      <w:r w:rsidR="00062BFA" w:rsidRPr="004F6DAA">
        <w:rPr>
          <w:noProof/>
        </w:rPr>
        <w:t xml:space="preserve"> w</w:t>
      </w:r>
      <w:r w:rsidR="00062BFA">
        <w:rPr>
          <w:noProof/>
        </w:rPr>
        <w:t> </w:t>
      </w:r>
      <w:r w:rsidR="00062BFA" w:rsidRPr="004F6DAA">
        <w:rPr>
          <w:noProof/>
        </w:rPr>
        <w:t>zak</w:t>
      </w:r>
      <w:r w:rsidRPr="004F6DAA">
        <w:rPr>
          <w:noProof/>
        </w:rPr>
        <w:t>resie obowiązków związanych</w:t>
      </w:r>
      <w:r w:rsidR="00062BFA" w:rsidRPr="004F6DAA">
        <w:rPr>
          <w:noProof/>
        </w:rPr>
        <w:t xml:space="preserve"> z</w:t>
      </w:r>
      <w:r w:rsidR="00062BFA">
        <w:rPr>
          <w:noProof/>
        </w:rPr>
        <w:t> </w:t>
      </w:r>
      <w:r w:rsidR="00062BFA" w:rsidRPr="004F6DAA">
        <w:rPr>
          <w:noProof/>
        </w:rPr>
        <w:t>cła</w:t>
      </w:r>
      <w:r w:rsidRPr="004F6DAA">
        <w:rPr>
          <w:noProof/>
        </w:rPr>
        <w:t>mi, niezbędne są dwa dodatkowe ekwiwalenty pełnego czasu pracy w DG ds. Partnerstw Międzynarodowych na potrzeby współpracy</w:t>
      </w:r>
      <w:r w:rsidR="00062BFA" w:rsidRPr="004F6DAA">
        <w:rPr>
          <w:noProof/>
        </w:rPr>
        <w:t xml:space="preserve"> i</w:t>
      </w:r>
      <w:r w:rsidR="00062BFA">
        <w:rPr>
          <w:noProof/>
        </w:rPr>
        <w:t> </w:t>
      </w:r>
      <w:r w:rsidR="00062BFA" w:rsidRPr="004F6DAA">
        <w:rPr>
          <w:noProof/>
        </w:rPr>
        <w:t>roz</w:t>
      </w:r>
      <w:r w:rsidRPr="004F6DAA">
        <w:rPr>
          <w:noProof/>
        </w:rPr>
        <w:t>woju oraz jeden dodatkowy ekwiwalent pełnego czasu pracy w DG ds. Podatków</w:t>
      </w:r>
      <w:r w:rsidR="00062BFA" w:rsidRPr="004F6DAA">
        <w:rPr>
          <w:noProof/>
        </w:rPr>
        <w:t xml:space="preserve"> i</w:t>
      </w:r>
      <w:r w:rsidR="00062BFA">
        <w:rPr>
          <w:noProof/>
        </w:rPr>
        <w:t> </w:t>
      </w:r>
      <w:r w:rsidR="00062BFA" w:rsidRPr="004F6DAA">
        <w:rPr>
          <w:noProof/>
        </w:rPr>
        <w:t>Uni</w:t>
      </w:r>
      <w:r w:rsidRPr="004F6DAA">
        <w:rPr>
          <w:noProof/>
        </w:rPr>
        <w:t>i Celnej.</w:t>
      </w:r>
    </w:p>
    <w:p w14:paraId="7DFF1C02"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Potrzeby te wynikają</w:t>
      </w:r>
      <w:r w:rsidR="00062BFA" w:rsidRPr="004F6DAA">
        <w:rPr>
          <w:noProof/>
        </w:rPr>
        <w:t xml:space="preserve"> z</w:t>
      </w:r>
      <w:r w:rsidR="00062BFA">
        <w:rPr>
          <w:noProof/>
        </w:rPr>
        <w:t> </w:t>
      </w:r>
      <w:r w:rsidR="00062BFA" w:rsidRPr="004F6DAA">
        <w:rPr>
          <w:noProof/>
        </w:rPr>
        <w:t>obl</w:t>
      </w:r>
      <w:r w:rsidRPr="004F6DAA">
        <w:rPr>
          <w:noProof/>
        </w:rPr>
        <w:t>iczeń dotyczących zasobów przeznaczonych na narzędzia legislacyjne mające na celu zwalczanie nielegalnego pozyskiwania drewna (rozporządzenie</w:t>
      </w:r>
      <w:r w:rsidR="00062BFA" w:rsidRPr="004F6DAA">
        <w:rPr>
          <w:noProof/>
        </w:rPr>
        <w:t xml:space="preserve"> w</w:t>
      </w:r>
      <w:r w:rsidR="00062BFA">
        <w:rPr>
          <w:noProof/>
        </w:rPr>
        <w:t> </w:t>
      </w:r>
      <w:r w:rsidR="00062BFA" w:rsidRPr="004F6DAA">
        <w:rPr>
          <w:noProof/>
        </w:rPr>
        <w:t>spr</w:t>
      </w:r>
      <w:r w:rsidRPr="004F6DAA">
        <w:rPr>
          <w:noProof/>
        </w:rPr>
        <w:t>awie drewna</w:t>
      </w:r>
      <w:r w:rsidR="00062BFA" w:rsidRPr="004F6DAA">
        <w:rPr>
          <w:noProof/>
        </w:rPr>
        <w:t xml:space="preserve"> i</w:t>
      </w:r>
      <w:r w:rsidR="00062BFA">
        <w:rPr>
          <w:noProof/>
        </w:rPr>
        <w:t> </w:t>
      </w:r>
      <w:r w:rsidR="00062BFA" w:rsidRPr="004F6DAA">
        <w:rPr>
          <w:noProof/>
        </w:rPr>
        <w:t>roz</w:t>
      </w:r>
      <w:r w:rsidRPr="004F6DAA">
        <w:rPr>
          <w:noProof/>
        </w:rPr>
        <w:t>porządzenie FLEGT),</w:t>
      </w:r>
      <w:r w:rsidR="00062BFA" w:rsidRPr="004F6DAA">
        <w:rPr>
          <w:noProof/>
        </w:rPr>
        <w:t xml:space="preserve"> z</w:t>
      </w:r>
      <w:r w:rsidR="00062BFA">
        <w:rPr>
          <w:noProof/>
        </w:rPr>
        <w:t> </w:t>
      </w:r>
      <w:r w:rsidR="00062BFA" w:rsidRPr="004F6DAA">
        <w:rPr>
          <w:noProof/>
        </w:rPr>
        <w:t>któ</w:t>
      </w:r>
      <w:r w:rsidRPr="004F6DAA">
        <w:rPr>
          <w:noProof/>
        </w:rPr>
        <w:t>rych pierwsze zostanie zastąpione przez proponowaną inicjatywę. Obecnie DG ds. Środowiska dysponuje następującym personelem: 3,25 EPC AD + 1 EPC AST + 1 zewnętrzny EPC SND + 0,5 ekwiwalentów pełnego czasu pracy pracownika kontraktowego. Obejmuje to: a) wdrażanie, monitorowanie</w:t>
      </w:r>
      <w:r w:rsidR="00062BFA" w:rsidRPr="004F6DAA">
        <w:rPr>
          <w:noProof/>
        </w:rPr>
        <w:t xml:space="preserve"> i</w:t>
      </w:r>
      <w:r w:rsidR="00062BFA">
        <w:rPr>
          <w:noProof/>
        </w:rPr>
        <w:t> </w:t>
      </w:r>
      <w:r w:rsidR="00062BFA" w:rsidRPr="004F6DAA">
        <w:rPr>
          <w:noProof/>
        </w:rPr>
        <w:t>prz</w:t>
      </w:r>
      <w:r w:rsidRPr="004F6DAA">
        <w:rPr>
          <w:noProof/>
        </w:rPr>
        <w:t>egląd dwóch rozporządzeń UE (rozporządzenie UE</w:t>
      </w:r>
      <w:r w:rsidR="00062BFA" w:rsidRPr="004F6DAA">
        <w:rPr>
          <w:noProof/>
        </w:rPr>
        <w:t xml:space="preserve"> w</w:t>
      </w:r>
      <w:r w:rsidR="00062BFA">
        <w:rPr>
          <w:noProof/>
        </w:rPr>
        <w:t> </w:t>
      </w:r>
      <w:r w:rsidR="00062BFA" w:rsidRPr="004F6DAA">
        <w:rPr>
          <w:noProof/>
        </w:rPr>
        <w:t>spr</w:t>
      </w:r>
      <w:r w:rsidRPr="004F6DAA">
        <w:rPr>
          <w:noProof/>
        </w:rPr>
        <w:t>awie drewna</w:t>
      </w:r>
      <w:r w:rsidR="00062BFA" w:rsidRPr="004F6DAA">
        <w:rPr>
          <w:noProof/>
        </w:rPr>
        <w:t xml:space="preserve"> i</w:t>
      </w:r>
      <w:r w:rsidR="00062BFA">
        <w:rPr>
          <w:noProof/>
        </w:rPr>
        <w:t> </w:t>
      </w:r>
      <w:r w:rsidR="00062BFA" w:rsidRPr="004F6DAA">
        <w:rPr>
          <w:noProof/>
        </w:rPr>
        <w:t>roz</w:t>
      </w:r>
      <w:r w:rsidRPr="004F6DAA">
        <w:rPr>
          <w:noProof/>
        </w:rPr>
        <w:t>porządzenie FLEGT); b) negocjowanie</w:t>
      </w:r>
      <w:r w:rsidR="00062BFA" w:rsidRPr="004F6DAA">
        <w:rPr>
          <w:noProof/>
        </w:rPr>
        <w:t xml:space="preserve"> i</w:t>
      </w:r>
      <w:r w:rsidR="00062BFA">
        <w:rPr>
          <w:noProof/>
        </w:rPr>
        <w:t> </w:t>
      </w:r>
      <w:r w:rsidR="00062BFA" w:rsidRPr="004F6DAA">
        <w:rPr>
          <w:noProof/>
        </w:rPr>
        <w:t>wdr</w:t>
      </w:r>
      <w:r w:rsidRPr="004F6DAA">
        <w:rPr>
          <w:noProof/>
        </w:rPr>
        <w:t>ażanie umów</w:t>
      </w:r>
      <w:r w:rsidR="00062BFA" w:rsidRPr="004F6DAA">
        <w:rPr>
          <w:noProof/>
        </w:rPr>
        <w:t xml:space="preserve"> o</w:t>
      </w:r>
      <w:r w:rsidR="00062BFA">
        <w:rPr>
          <w:noProof/>
        </w:rPr>
        <w:t> </w:t>
      </w:r>
      <w:r w:rsidR="00062BFA" w:rsidRPr="004F6DAA">
        <w:rPr>
          <w:noProof/>
        </w:rPr>
        <w:t>dob</w:t>
      </w:r>
      <w:r w:rsidRPr="004F6DAA">
        <w:rPr>
          <w:noProof/>
        </w:rPr>
        <w:t>rowolnym partnerstwie</w:t>
      </w:r>
      <w:r w:rsidR="00062BFA" w:rsidRPr="004F6DAA">
        <w:rPr>
          <w:noProof/>
        </w:rPr>
        <w:t xml:space="preserve"> z</w:t>
      </w:r>
      <w:r w:rsidR="00062BFA">
        <w:rPr>
          <w:noProof/>
        </w:rPr>
        <w:t> </w:t>
      </w:r>
      <w:r w:rsidR="00062BFA" w:rsidRPr="004F6DAA">
        <w:rPr>
          <w:noProof/>
        </w:rPr>
        <w:t>pię</w:t>
      </w:r>
      <w:r w:rsidRPr="004F6DAA">
        <w:rPr>
          <w:noProof/>
        </w:rPr>
        <w:t>cioma krajami (Indonezją, Wietnamem, Laosem, Tajlandią</w:t>
      </w:r>
      <w:r w:rsidR="00062BFA" w:rsidRPr="004F6DAA">
        <w:rPr>
          <w:noProof/>
        </w:rPr>
        <w:t xml:space="preserve"> i</w:t>
      </w:r>
      <w:r w:rsidR="00062BFA">
        <w:rPr>
          <w:noProof/>
        </w:rPr>
        <w:t> </w:t>
      </w:r>
      <w:r w:rsidR="00062BFA" w:rsidRPr="004F6DAA">
        <w:rPr>
          <w:noProof/>
        </w:rPr>
        <w:t>Mal</w:t>
      </w:r>
      <w:r w:rsidRPr="004F6DAA">
        <w:rPr>
          <w:noProof/>
        </w:rPr>
        <w:t>ezją) oraz współpracę</w:t>
      </w:r>
      <w:r w:rsidR="00062BFA" w:rsidRPr="004F6DAA">
        <w:rPr>
          <w:noProof/>
        </w:rPr>
        <w:t xml:space="preserve"> z</w:t>
      </w:r>
      <w:r w:rsidR="00062BFA">
        <w:rPr>
          <w:noProof/>
        </w:rPr>
        <w:t> </w:t>
      </w:r>
      <w:r w:rsidR="00062BFA" w:rsidRPr="004F6DAA">
        <w:rPr>
          <w:noProof/>
        </w:rPr>
        <w:t>inn</w:t>
      </w:r>
      <w:r w:rsidRPr="004F6DAA">
        <w:rPr>
          <w:noProof/>
        </w:rPr>
        <w:t>ymi krajami będącymi producentami</w:t>
      </w:r>
      <w:r w:rsidR="00062BFA" w:rsidRPr="004F6DAA">
        <w:rPr>
          <w:noProof/>
        </w:rPr>
        <w:t xml:space="preserve"> i</w:t>
      </w:r>
      <w:r w:rsidR="00062BFA">
        <w:rPr>
          <w:noProof/>
        </w:rPr>
        <w:t> </w:t>
      </w:r>
      <w:r w:rsidR="00062BFA" w:rsidRPr="004F6DAA">
        <w:rPr>
          <w:noProof/>
        </w:rPr>
        <w:t>kon</w:t>
      </w:r>
      <w:r w:rsidRPr="004F6DAA">
        <w:rPr>
          <w:noProof/>
        </w:rPr>
        <w:t>sumentami,</w:t>
      </w:r>
      <w:r w:rsidR="00062BFA" w:rsidRPr="004F6DAA">
        <w:rPr>
          <w:noProof/>
        </w:rPr>
        <w:t xml:space="preserve"> w</w:t>
      </w:r>
      <w:r w:rsidR="00062BFA">
        <w:rPr>
          <w:noProof/>
        </w:rPr>
        <w:t> </w:t>
      </w:r>
      <w:r w:rsidR="00062BFA" w:rsidRPr="004F6DAA">
        <w:rPr>
          <w:noProof/>
        </w:rPr>
        <w:t>tym</w:t>
      </w:r>
      <w:r w:rsidRPr="004F6DAA">
        <w:rPr>
          <w:noProof/>
        </w:rPr>
        <w:t xml:space="preserve"> stałą strukturę współpracy</w:t>
      </w:r>
      <w:r w:rsidR="00062BFA" w:rsidRPr="004F6DAA">
        <w:rPr>
          <w:noProof/>
        </w:rPr>
        <w:t xml:space="preserve"> z</w:t>
      </w:r>
      <w:r w:rsidR="00062BFA">
        <w:rPr>
          <w:noProof/>
        </w:rPr>
        <w:t> </w:t>
      </w:r>
      <w:r w:rsidR="00062BFA" w:rsidRPr="004F6DAA">
        <w:rPr>
          <w:noProof/>
        </w:rPr>
        <w:t>Chi</w:t>
      </w:r>
      <w:r w:rsidRPr="004F6DAA">
        <w:rPr>
          <w:noProof/>
        </w:rPr>
        <w:t>nami; c) reprezentowanie UE na forach wielostronnych: FAO, Forum Narodów Zjednoczonych ds. Lasów (UNFF) oraz Międzynarodowej Organizacji Drewna Tropikalnego (ITTO); d) wdrażanie dodatkowych działań przewidzianych</w:t>
      </w:r>
      <w:r w:rsidR="00062BFA" w:rsidRPr="004F6DAA">
        <w:rPr>
          <w:noProof/>
        </w:rPr>
        <w:t xml:space="preserve"> w</w:t>
      </w:r>
      <w:r w:rsidR="00062BFA">
        <w:rPr>
          <w:noProof/>
        </w:rPr>
        <w:t> </w:t>
      </w:r>
      <w:r w:rsidR="00062BFA" w:rsidRPr="004F6DAA">
        <w:rPr>
          <w:noProof/>
        </w:rPr>
        <w:t>kom</w:t>
      </w:r>
      <w:r w:rsidRPr="004F6DAA">
        <w:rPr>
          <w:noProof/>
        </w:rPr>
        <w:t>unikacie Komisji „Zintensyfikowanie działań UE na rzecz ochrony</w:t>
      </w:r>
      <w:r w:rsidR="00062BFA" w:rsidRPr="004F6DAA">
        <w:rPr>
          <w:noProof/>
        </w:rPr>
        <w:t xml:space="preserve"> i</w:t>
      </w:r>
      <w:r w:rsidR="00062BFA">
        <w:rPr>
          <w:noProof/>
        </w:rPr>
        <w:t> </w:t>
      </w:r>
      <w:r w:rsidR="00062BFA" w:rsidRPr="004F6DAA">
        <w:rPr>
          <w:noProof/>
        </w:rPr>
        <w:t>odt</w:t>
      </w:r>
      <w:r w:rsidRPr="004F6DAA">
        <w:rPr>
          <w:noProof/>
        </w:rPr>
        <w:t>warzania światowych lasów</w:t>
      </w:r>
      <w:r w:rsidRPr="004F6DAA">
        <w:rPr>
          <w:rStyle w:val="Odwoanieprzypisudolnego"/>
          <w:noProof/>
        </w:rPr>
        <w:footnoteReference w:id="55"/>
      </w:r>
      <w:r w:rsidRPr="004F6DAA">
        <w:rPr>
          <w:noProof/>
        </w:rPr>
        <w:t>.”</w:t>
      </w:r>
    </w:p>
    <w:p w14:paraId="3EE27C4D"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Nowy wniosek nie tylko zintegruje istniejące przepisy UE, ale także znacznie rozszerzy zakres działań</w:t>
      </w:r>
      <w:r w:rsidR="00062BFA" w:rsidRPr="004F6DAA">
        <w:rPr>
          <w:noProof/>
        </w:rPr>
        <w:t xml:space="preserve"> i</w:t>
      </w:r>
      <w:r w:rsidR="00062BFA">
        <w:rPr>
          <w:noProof/>
        </w:rPr>
        <w:t> </w:t>
      </w:r>
      <w:r w:rsidR="00062BFA" w:rsidRPr="004F6DAA">
        <w:rPr>
          <w:noProof/>
        </w:rPr>
        <w:t>zwi</w:t>
      </w:r>
      <w:r w:rsidRPr="004F6DAA">
        <w:rPr>
          <w:noProof/>
        </w:rPr>
        <w:t>ększy stopień złożoności wdrażania, co pociąga za sobą potrzebę nowych zasobów. Nowy wniosek będzie wiązał się</w:t>
      </w:r>
      <w:r w:rsidR="00062BFA" w:rsidRPr="004F6DAA">
        <w:rPr>
          <w:noProof/>
        </w:rPr>
        <w:t xml:space="preserve"> z</w:t>
      </w:r>
      <w:r w:rsidR="00062BFA">
        <w:rPr>
          <w:noProof/>
        </w:rPr>
        <w:t> </w:t>
      </w:r>
      <w:r w:rsidR="00062BFA" w:rsidRPr="004F6DAA">
        <w:rPr>
          <w:noProof/>
        </w:rPr>
        <w:t>roz</w:t>
      </w:r>
      <w:r w:rsidRPr="004F6DAA">
        <w:rPr>
          <w:noProof/>
        </w:rPr>
        <w:t>szerzeniem zakresu</w:t>
      </w:r>
      <w:r w:rsidR="00062BFA" w:rsidRPr="004F6DAA">
        <w:rPr>
          <w:noProof/>
        </w:rPr>
        <w:t xml:space="preserve"> z</w:t>
      </w:r>
      <w:r w:rsidR="00062BFA">
        <w:rPr>
          <w:noProof/>
        </w:rPr>
        <w:t> </w:t>
      </w:r>
      <w:r w:rsidR="00062BFA" w:rsidRPr="004F6DAA">
        <w:rPr>
          <w:noProof/>
        </w:rPr>
        <w:t>jed</w:t>
      </w:r>
      <w:r w:rsidRPr="004F6DAA">
        <w:rPr>
          <w:noProof/>
        </w:rPr>
        <w:t>nego towaru (drewna) do sześciu (za sprawą dodania wołowiny, oleju palmowego, soi, kakao</w:t>
      </w:r>
      <w:r w:rsidR="00062BFA" w:rsidRPr="004F6DAA">
        <w:rPr>
          <w:noProof/>
        </w:rPr>
        <w:t xml:space="preserve"> i</w:t>
      </w:r>
      <w:r w:rsidR="00062BFA">
        <w:rPr>
          <w:noProof/>
        </w:rPr>
        <w:t> </w:t>
      </w:r>
      <w:r w:rsidR="00062BFA" w:rsidRPr="004F6DAA">
        <w:rPr>
          <w:noProof/>
        </w:rPr>
        <w:t>kaw</w:t>
      </w:r>
      <w:r w:rsidRPr="004F6DAA">
        <w:rPr>
          <w:noProof/>
        </w:rPr>
        <w:t>y) oraz ich produktów pochodnych,</w:t>
      </w:r>
      <w:r w:rsidR="00062BFA" w:rsidRPr="004F6DAA">
        <w:rPr>
          <w:noProof/>
        </w:rPr>
        <w:t xml:space="preserve"> a</w:t>
      </w:r>
      <w:r w:rsidR="00062BFA">
        <w:rPr>
          <w:noProof/>
        </w:rPr>
        <w:t> </w:t>
      </w:r>
      <w:r w:rsidR="00062BFA" w:rsidRPr="004F6DAA">
        <w:rPr>
          <w:noProof/>
        </w:rPr>
        <w:t>tak</w:t>
      </w:r>
      <w:r w:rsidRPr="004F6DAA">
        <w:rPr>
          <w:noProof/>
        </w:rPr>
        <w:t>że</w:t>
      </w:r>
      <w:r w:rsidR="00062BFA" w:rsidRPr="004F6DAA">
        <w:rPr>
          <w:noProof/>
        </w:rPr>
        <w:t xml:space="preserve"> z</w:t>
      </w:r>
      <w:r w:rsidR="00062BFA">
        <w:rPr>
          <w:noProof/>
        </w:rPr>
        <w:t> </w:t>
      </w:r>
      <w:r w:rsidR="00062BFA" w:rsidRPr="004F6DAA">
        <w:rPr>
          <w:noProof/>
        </w:rPr>
        <w:t>tak</w:t>
      </w:r>
      <w:r w:rsidRPr="004F6DAA">
        <w:rPr>
          <w:noProof/>
        </w:rPr>
        <w:t>im rozszerzeniem jego zakresu, aby wykraczał poza legalność</w:t>
      </w:r>
      <w:r w:rsidR="00062BFA" w:rsidRPr="004F6DAA">
        <w:rPr>
          <w:noProof/>
        </w:rPr>
        <w:t xml:space="preserve"> i</w:t>
      </w:r>
      <w:r w:rsidR="00062BFA">
        <w:rPr>
          <w:noProof/>
        </w:rPr>
        <w:t> </w:t>
      </w:r>
      <w:r w:rsidR="00062BFA" w:rsidRPr="004F6DAA">
        <w:rPr>
          <w:noProof/>
        </w:rPr>
        <w:t>obe</w:t>
      </w:r>
      <w:r w:rsidRPr="004F6DAA">
        <w:rPr>
          <w:noProof/>
        </w:rPr>
        <w:t>jmował zrównoważoność. To</w:t>
      </w:r>
      <w:r w:rsidR="00062BFA" w:rsidRPr="004F6DAA">
        <w:rPr>
          <w:noProof/>
        </w:rPr>
        <w:t xml:space="preserve"> z</w:t>
      </w:r>
      <w:r w:rsidR="00062BFA">
        <w:rPr>
          <w:noProof/>
        </w:rPr>
        <w:t> </w:t>
      </w:r>
      <w:r w:rsidR="00062BFA" w:rsidRPr="004F6DAA">
        <w:rPr>
          <w:noProof/>
        </w:rPr>
        <w:t>kol</w:t>
      </w:r>
      <w:r w:rsidRPr="004F6DAA">
        <w:rPr>
          <w:noProof/>
        </w:rPr>
        <w:t>ei powinno zwiększyć wartość sektorów gospodarki, jak również liczbę zainteresowanych stron</w:t>
      </w:r>
      <w:r w:rsidR="00062BFA" w:rsidRPr="004F6DAA">
        <w:rPr>
          <w:noProof/>
        </w:rPr>
        <w:t xml:space="preserve"> i</w:t>
      </w:r>
      <w:r w:rsidR="00062BFA">
        <w:rPr>
          <w:noProof/>
        </w:rPr>
        <w:t> </w:t>
      </w:r>
      <w:r w:rsidR="00062BFA" w:rsidRPr="004F6DAA">
        <w:rPr>
          <w:noProof/>
        </w:rPr>
        <w:t>pań</w:t>
      </w:r>
      <w:r w:rsidRPr="004F6DAA">
        <w:rPr>
          <w:noProof/>
        </w:rPr>
        <w:t>stw trzecich, na które rozporządzenie będzie miało bezpośredni</w:t>
      </w:r>
      <w:r w:rsidR="00062BFA" w:rsidRPr="004F6DAA">
        <w:rPr>
          <w:noProof/>
        </w:rPr>
        <w:t xml:space="preserve"> i</w:t>
      </w:r>
      <w:r w:rsidR="00062BFA">
        <w:rPr>
          <w:noProof/>
        </w:rPr>
        <w:t> </w:t>
      </w:r>
      <w:r w:rsidR="00062BFA" w:rsidRPr="004F6DAA">
        <w:rPr>
          <w:noProof/>
        </w:rPr>
        <w:t>sil</w:t>
      </w:r>
      <w:r w:rsidRPr="004F6DAA">
        <w:rPr>
          <w:noProof/>
        </w:rPr>
        <w:t>ny wpływ. Odbędzie się więcej posiedzeń grupy ekspertów (od pięciu do sześciu) oraz zwiększy się liczba członków grupy (o zainteresowane strony</w:t>
      </w:r>
      <w:r w:rsidR="00062BFA" w:rsidRPr="004F6DAA">
        <w:rPr>
          <w:noProof/>
        </w:rPr>
        <w:t xml:space="preserve"> i</w:t>
      </w:r>
      <w:r w:rsidR="00062BFA">
        <w:rPr>
          <w:noProof/>
        </w:rPr>
        <w:t> </w:t>
      </w:r>
      <w:r w:rsidR="00062BFA" w:rsidRPr="004F6DAA">
        <w:rPr>
          <w:noProof/>
        </w:rPr>
        <w:t>pań</w:t>
      </w:r>
      <w:r w:rsidRPr="004F6DAA">
        <w:rPr>
          <w:noProof/>
        </w:rPr>
        <w:t>stwa trzecie, oprócz państw członkowskich). Oprócz systemu poświęconego rozporządzeniu FLEGT będzie istniał nowy system informacyjny (zob. poniżej). Oczekuje się, że system wskaźników dla poszczególnych krajów (zob. poniżej) będzie się wiązał</w:t>
      </w:r>
      <w:r w:rsidR="00062BFA" w:rsidRPr="004F6DAA">
        <w:rPr>
          <w:noProof/>
        </w:rPr>
        <w:t xml:space="preserve"> z</w:t>
      </w:r>
      <w:r w:rsidR="00062BFA">
        <w:rPr>
          <w:noProof/>
        </w:rPr>
        <w:t> </w:t>
      </w:r>
      <w:r w:rsidR="00062BFA" w:rsidRPr="004F6DAA">
        <w:rPr>
          <w:noProof/>
        </w:rPr>
        <w:t>bli</w:t>
      </w:r>
      <w:r w:rsidRPr="004F6DAA">
        <w:rPr>
          <w:noProof/>
        </w:rPr>
        <w:t>ższą współpracą</w:t>
      </w:r>
      <w:r w:rsidR="00062BFA" w:rsidRPr="004F6DAA">
        <w:rPr>
          <w:noProof/>
        </w:rPr>
        <w:t xml:space="preserve"> z</w:t>
      </w:r>
      <w:r w:rsidR="00062BFA">
        <w:rPr>
          <w:noProof/>
        </w:rPr>
        <w:t> </w:t>
      </w:r>
      <w:r w:rsidR="00062BFA" w:rsidRPr="004F6DAA">
        <w:rPr>
          <w:noProof/>
        </w:rPr>
        <w:t>dzi</w:t>
      </w:r>
      <w:r w:rsidRPr="004F6DAA">
        <w:rPr>
          <w:noProof/>
        </w:rPr>
        <w:t>esiątkami krajów. Polityczna widoczność</w:t>
      </w:r>
      <w:r w:rsidR="00062BFA" w:rsidRPr="004F6DAA">
        <w:rPr>
          <w:noProof/>
        </w:rPr>
        <w:t xml:space="preserve"> i</w:t>
      </w:r>
      <w:r w:rsidR="00062BFA">
        <w:rPr>
          <w:noProof/>
        </w:rPr>
        <w:t> </w:t>
      </w:r>
      <w:r w:rsidR="00062BFA" w:rsidRPr="004F6DAA">
        <w:rPr>
          <w:noProof/>
        </w:rPr>
        <w:t>wra</w:t>
      </w:r>
      <w:r w:rsidRPr="004F6DAA">
        <w:rPr>
          <w:noProof/>
        </w:rPr>
        <w:t>żliwość rozporządzenia wzrośnie</w:t>
      </w:r>
      <w:r w:rsidR="00062BFA" w:rsidRPr="004F6DAA">
        <w:rPr>
          <w:noProof/>
        </w:rPr>
        <w:t xml:space="preserve"> w</w:t>
      </w:r>
      <w:r w:rsidR="00062BFA">
        <w:rPr>
          <w:noProof/>
        </w:rPr>
        <w:t> </w:t>
      </w:r>
      <w:r w:rsidR="00062BFA" w:rsidRPr="004F6DAA">
        <w:rPr>
          <w:noProof/>
        </w:rPr>
        <w:t>por</w:t>
      </w:r>
      <w:r w:rsidRPr="004F6DAA">
        <w:rPr>
          <w:noProof/>
        </w:rPr>
        <w:t>ównaniu</w:t>
      </w:r>
      <w:r w:rsidR="00062BFA" w:rsidRPr="004F6DAA">
        <w:rPr>
          <w:noProof/>
        </w:rPr>
        <w:t xml:space="preserve"> z</w:t>
      </w:r>
      <w:r w:rsidR="00062BFA">
        <w:rPr>
          <w:noProof/>
        </w:rPr>
        <w:t> </w:t>
      </w:r>
      <w:r w:rsidR="00062BFA" w:rsidRPr="004F6DAA">
        <w:rPr>
          <w:noProof/>
        </w:rPr>
        <w:t>pop</w:t>
      </w:r>
      <w:r w:rsidRPr="004F6DAA">
        <w:rPr>
          <w:noProof/>
        </w:rPr>
        <w:t>rzednią sytuacją obejmującą jedynie drewno, ponieważ będzie ono dotyczyło sektorów</w:t>
      </w:r>
      <w:r w:rsidR="00062BFA" w:rsidRPr="004F6DAA">
        <w:rPr>
          <w:noProof/>
        </w:rPr>
        <w:t xml:space="preserve"> o</w:t>
      </w:r>
      <w:r w:rsidR="00062BFA">
        <w:rPr>
          <w:noProof/>
        </w:rPr>
        <w:t> </w:t>
      </w:r>
      <w:r w:rsidR="00062BFA" w:rsidRPr="004F6DAA">
        <w:rPr>
          <w:noProof/>
        </w:rPr>
        <w:t>zas</w:t>
      </w:r>
      <w:r w:rsidRPr="004F6DAA">
        <w:rPr>
          <w:noProof/>
        </w:rPr>
        <w:t>adniczym znaczeniu dla gospodarek poszczególnych krajów (np. kakao na Wybrzeżu Kości Słoniowej</w:t>
      </w:r>
      <w:r w:rsidR="00062BFA" w:rsidRPr="004F6DAA">
        <w:rPr>
          <w:noProof/>
        </w:rPr>
        <w:t xml:space="preserve"> i</w:t>
      </w:r>
      <w:r w:rsidR="00062BFA">
        <w:rPr>
          <w:noProof/>
        </w:rPr>
        <w:t> </w:t>
      </w:r>
      <w:r w:rsidR="00062BFA" w:rsidRPr="004F6DAA">
        <w:rPr>
          <w:noProof/>
        </w:rPr>
        <w:t>w</w:t>
      </w:r>
      <w:r w:rsidR="00062BFA">
        <w:rPr>
          <w:noProof/>
        </w:rPr>
        <w:t> </w:t>
      </w:r>
      <w:r w:rsidR="00062BFA" w:rsidRPr="004F6DAA">
        <w:rPr>
          <w:noProof/>
        </w:rPr>
        <w:t>Gha</w:t>
      </w:r>
      <w:r w:rsidRPr="004F6DAA">
        <w:rPr>
          <w:noProof/>
        </w:rPr>
        <w:t>nie; oleju palmowego</w:t>
      </w:r>
      <w:r w:rsidR="00062BFA" w:rsidRPr="004F6DAA">
        <w:rPr>
          <w:noProof/>
        </w:rPr>
        <w:t xml:space="preserve"> w</w:t>
      </w:r>
      <w:r w:rsidR="00062BFA">
        <w:rPr>
          <w:noProof/>
        </w:rPr>
        <w:t> </w:t>
      </w:r>
      <w:r w:rsidR="00062BFA" w:rsidRPr="004F6DAA">
        <w:rPr>
          <w:noProof/>
        </w:rPr>
        <w:t>Ind</w:t>
      </w:r>
      <w:r w:rsidRPr="004F6DAA">
        <w:rPr>
          <w:noProof/>
        </w:rPr>
        <w:t>onezji</w:t>
      </w:r>
      <w:r w:rsidR="00062BFA" w:rsidRPr="004F6DAA">
        <w:rPr>
          <w:noProof/>
        </w:rPr>
        <w:t xml:space="preserve"> i</w:t>
      </w:r>
      <w:r w:rsidR="00062BFA">
        <w:rPr>
          <w:noProof/>
        </w:rPr>
        <w:t> </w:t>
      </w:r>
      <w:r w:rsidR="00062BFA" w:rsidRPr="004F6DAA">
        <w:rPr>
          <w:noProof/>
        </w:rPr>
        <w:t>Mal</w:t>
      </w:r>
      <w:r w:rsidRPr="004F6DAA">
        <w:rPr>
          <w:noProof/>
        </w:rPr>
        <w:t>ezji; soi</w:t>
      </w:r>
      <w:r w:rsidR="00062BFA" w:rsidRPr="004F6DAA">
        <w:rPr>
          <w:noProof/>
        </w:rPr>
        <w:t xml:space="preserve"> i</w:t>
      </w:r>
      <w:r w:rsidR="00062BFA">
        <w:rPr>
          <w:noProof/>
        </w:rPr>
        <w:t> </w:t>
      </w:r>
      <w:r w:rsidR="00062BFA" w:rsidRPr="004F6DAA">
        <w:rPr>
          <w:noProof/>
        </w:rPr>
        <w:t>byd</w:t>
      </w:r>
      <w:r w:rsidRPr="004F6DAA">
        <w:rPr>
          <w:noProof/>
        </w:rPr>
        <w:t>ła</w:t>
      </w:r>
      <w:r w:rsidR="00062BFA" w:rsidRPr="004F6DAA">
        <w:rPr>
          <w:noProof/>
        </w:rPr>
        <w:t xml:space="preserve"> w</w:t>
      </w:r>
      <w:r w:rsidR="00062BFA">
        <w:rPr>
          <w:noProof/>
        </w:rPr>
        <w:t> </w:t>
      </w:r>
      <w:r w:rsidR="00062BFA" w:rsidRPr="004F6DAA">
        <w:rPr>
          <w:noProof/>
        </w:rPr>
        <w:t>Bra</w:t>
      </w:r>
      <w:r w:rsidRPr="004F6DAA">
        <w:rPr>
          <w:noProof/>
        </w:rPr>
        <w:t>zylii</w:t>
      </w:r>
      <w:r w:rsidR="00062BFA" w:rsidRPr="004F6DAA">
        <w:rPr>
          <w:noProof/>
        </w:rPr>
        <w:t xml:space="preserve"> i</w:t>
      </w:r>
      <w:r w:rsidR="00062BFA">
        <w:rPr>
          <w:noProof/>
        </w:rPr>
        <w:t> </w:t>
      </w:r>
      <w:r w:rsidR="00062BFA" w:rsidRPr="004F6DAA">
        <w:rPr>
          <w:noProof/>
        </w:rPr>
        <w:t>Arg</w:t>
      </w:r>
      <w:r w:rsidRPr="004F6DAA">
        <w:rPr>
          <w:noProof/>
        </w:rPr>
        <w:t>entynie), co wymaga wzmożonego zaangażowania dwustronnego,</w:t>
      </w:r>
      <w:r w:rsidR="00062BFA" w:rsidRPr="004F6DAA">
        <w:rPr>
          <w:noProof/>
        </w:rPr>
        <w:t xml:space="preserve"> w</w:t>
      </w:r>
      <w:r w:rsidR="00062BFA">
        <w:rPr>
          <w:noProof/>
        </w:rPr>
        <w:t> </w:t>
      </w:r>
      <w:r w:rsidR="00062BFA" w:rsidRPr="004F6DAA">
        <w:rPr>
          <w:noProof/>
        </w:rPr>
        <w:t>tym</w:t>
      </w:r>
      <w:r w:rsidRPr="004F6DAA">
        <w:rPr>
          <w:noProof/>
        </w:rPr>
        <w:t xml:space="preserve"> na poziomie ekspertów. Zwiększy się również zakres obowiązków reprezentacyjnych DG ds. Środowiska na forach międzynarodowych. Obowiązki sprawozdawcze państw członkowskich wzrosną wraz</w:t>
      </w:r>
      <w:r w:rsidR="00062BFA" w:rsidRPr="004F6DAA">
        <w:rPr>
          <w:noProof/>
        </w:rPr>
        <w:t xml:space="preserve"> z</w:t>
      </w:r>
      <w:r w:rsidR="00062BFA">
        <w:rPr>
          <w:noProof/>
        </w:rPr>
        <w:t> </w:t>
      </w:r>
      <w:r w:rsidR="00062BFA" w:rsidRPr="004F6DAA">
        <w:rPr>
          <w:noProof/>
        </w:rPr>
        <w:t>wię</w:t>
      </w:r>
      <w:r w:rsidRPr="004F6DAA">
        <w:rPr>
          <w:noProof/>
        </w:rPr>
        <w:t>kszym zakresem towarów</w:t>
      </w:r>
      <w:r w:rsidR="00062BFA" w:rsidRPr="004F6DAA">
        <w:rPr>
          <w:noProof/>
        </w:rPr>
        <w:t xml:space="preserve"> i</w:t>
      </w:r>
      <w:r w:rsidR="00062BFA">
        <w:rPr>
          <w:noProof/>
        </w:rPr>
        <w:t> </w:t>
      </w:r>
      <w:r w:rsidR="00062BFA" w:rsidRPr="004F6DAA">
        <w:rPr>
          <w:noProof/>
        </w:rPr>
        <w:t>war</w:t>
      </w:r>
      <w:r w:rsidRPr="004F6DAA">
        <w:rPr>
          <w:noProof/>
        </w:rPr>
        <w:t>tością uwzględnionych sektorów gospodarki. Przejście do nowego rozporządzenia, uchylenie rozporządzenia</w:t>
      </w:r>
      <w:r w:rsidR="00062BFA" w:rsidRPr="004F6DAA">
        <w:rPr>
          <w:noProof/>
        </w:rPr>
        <w:t xml:space="preserve"> w</w:t>
      </w:r>
      <w:r w:rsidR="00062BFA">
        <w:rPr>
          <w:noProof/>
        </w:rPr>
        <w:t> </w:t>
      </w:r>
      <w:r w:rsidR="00062BFA" w:rsidRPr="004F6DAA">
        <w:rPr>
          <w:noProof/>
        </w:rPr>
        <w:t>spr</w:t>
      </w:r>
      <w:r w:rsidRPr="004F6DAA">
        <w:rPr>
          <w:noProof/>
        </w:rPr>
        <w:t>awie drewna</w:t>
      </w:r>
      <w:r w:rsidR="00062BFA" w:rsidRPr="004F6DAA">
        <w:rPr>
          <w:noProof/>
        </w:rPr>
        <w:t xml:space="preserve"> i</w:t>
      </w:r>
      <w:r w:rsidR="00062BFA">
        <w:rPr>
          <w:noProof/>
        </w:rPr>
        <w:t> </w:t>
      </w:r>
      <w:r w:rsidR="00062BFA" w:rsidRPr="004F6DAA">
        <w:rPr>
          <w:noProof/>
        </w:rPr>
        <w:t>dos</w:t>
      </w:r>
      <w:r w:rsidRPr="004F6DAA">
        <w:rPr>
          <w:noProof/>
        </w:rPr>
        <w:t>tosowanie rozporządzenia FLEGT będzie wiązało się</w:t>
      </w:r>
      <w:r w:rsidR="00062BFA" w:rsidRPr="004F6DAA">
        <w:rPr>
          <w:noProof/>
        </w:rPr>
        <w:t xml:space="preserve"> z</w:t>
      </w:r>
      <w:r w:rsidR="00062BFA">
        <w:rPr>
          <w:noProof/>
        </w:rPr>
        <w:t> </w:t>
      </w:r>
      <w:r w:rsidR="00062BFA" w:rsidRPr="004F6DAA">
        <w:rPr>
          <w:noProof/>
        </w:rPr>
        <w:t>dod</w:t>
      </w:r>
      <w:r w:rsidRPr="004F6DAA">
        <w:rPr>
          <w:noProof/>
        </w:rPr>
        <w:t>atkowymi zadaniami</w:t>
      </w:r>
      <w:r w:rsidR="00062BFA" w:rsidRPr="004F6DAA">
        <w:rPr>
          <w:noProof/>
        </w:rPr>
        <w:t xml:space="preserve"> w</w:t>
      </w:r>
      <w:r w:rsidR="00062BFA">
        <w:rPr>
          <w:noProof/>
        </w:rPr>
        <w:t> </w:t>
      </w:r>
      <w:r w:rsidR="00062BFA" w:rsidRPr="004F6DAA">
        <w:rPr>
          <w:noProof/>
        </w:rPr>
        <w:t>okr</w:t>
      </w:r>
      <w:r w:rsidRPr="004F6DAA">
        <w:rPr>
          <w:noProof/>
        </w:rPr>
        <w:t>esie pierwszych pięciu lat funkcjonowania nowego rozporządzenia.</w:t>
      </w:r>
    </w:p>
    <w:p w14:paraId="11C76E51"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Wszystkie te nowe działania</w:t>
      </w:r>
      <w:r w:rsidR="00062BFA" w:rsidRPr="004F6DAA">
        <w:rPr>
          <w:noProof/>
        </w:rPr>
        <w:t xml:space="preserve"> i</w:t>
      </w:r>
      <w:r w:rsidR="00062BFA">
        <w:rPr>
          <w:noProof/>
        </w:rPr>
        <w:t> </w:t>
      </w:r>
      <w:r w:rsidR="00062BFA" w:rsidRPr="004F6DAA">
        <w:rPr>
          <w:noProof/>
        </w:rPr>
        <w:t>zad</w:t>
      </w:r>
      <w:r w:rsidRPr="004F6DAA">
        <w:rPr>
          <w:noProof/>
        </w:rPr>
        <w:t>ania znacznie zwiększą nakład pracy DG ds. Środowiska. Większe znaczenie polityczne</w:t>
      </w:r>
      <w:r w:rsidR="00062BFA" w:rsidRPr="004F6DAA">
        <w:rPr>
          <w:noProof/>
        </w:rPr>
        <w:t xml:space="preserve"> i</w:t>
      </w:r>
      <w:r w:rsidR="00062BFA">
        <w:rPr>
          <w:noProof/>
        </w:rPr>
        <w:t> </w:t>
      </w:r>
      <w:r w:rsidR="00062BFA" w:rsidRPr="004F6DAA">
        <w:rPr>
          <w:noProof/>
        </w:rPr>
        <w:t>gos</w:t>
      </w:r>
      <w:r w:rsidRPr="004F6DAA">
        <w:rPr>
          <w:noProof/>
        </w:rPr>
        <w:t>podarcze nowego rozporządzenia będzie wymagało więcej przygotowań</w:t>
      </w:r>
      <w:r w:rsidR="00062BFA" w:rsidRPr="004F6DAA">
        <w:rPr>
          <w:noProof/>
        </w:rPr>
        <w:t xml:space="preserve"> i</w:t>
      </w:r>
      <w:r w:rsidR="00062BFA">
        <w:rPr>
          <w:noProof/>
        </w:rPr>
        <w:t> </w:t>
      </w:r>
      <w:r w:rsidR="00062BFA" w:rsidRPr="004F6DAA">
        <w:rPr>
          <w:noProof/>
        </w:rPr>
        <w:t>pra</w:t>
      </w:r>
      <w:r w:rsidRPr="004F6DAA">
        <w:rPr>
          <w:noProof/>
        </w:rPr>
        <w:t>cy analitycznej</w:t>
      </w:r>
      <w:r w:rsidR="00062BFA" w:rsidRPr="004F6DAA">
        <w:rPr>
          <w:noProof/>
        </w:rPr>
        <w:t xml:space="preserve"> w</w:t>
      </w:r>
      <w:r w:rsidR="00062BFA">
        <w:rPr>
          <w:noProof/>
        </w:rPr>
        <w:t> </w:t>
      </w:r>
      <w:r w:rsidR="00062BFA" w:rsidRPr="004F6DAA">
        <w:rPr>
          <w:noProof/>
        </w:rPr>
        <w:t>cel</w:t>
      </w:r>
      <w:r w:rsidRPr="004F6DAA">
        <w:rPr>
          <w:noProof/>
        </w:rPr>
        <w:t>u zarządzania większą liczbą interakcji – zarówno na poziomie politycznym, jak</w:t>
      </w:r>
      <w:r w:rsidR="00062BFA" w:rsidRPr="004F6DAA">
        <w:rPr>
          <w:noProof/>
        </w:rPr>
        <w:t xml:space="preserve"> i</w:t>
      </w:r>
      <w:r w:rsidR="00062BFA">
        <w:rPr>
          <w:noProof/>
        </w:rPr>
        <w:t> </w:t>
      </w:r>
      <w:r w:rsidR="00062BFA" w:rsidRPr="004F6DAA">
        <w:rPr>
          <w:noProof/>
        </w:rPr>
        <w:t>rob</w:t>
      </w:r>
      <w:r w:rsidRPr="004F6DAA">
        <w:rPr>
          <w:noProof/>
        </w:rPr>
        <w:t>oczym –</w:t>
      </w:r>
      <w:r w:rsidR="00062BFA" w:rsidRPr="004F6DAA">
        <w:rPr>
          <w:noProof/>
        </w:rPr>
        <w:t xml:space="preserve"> z</w:t>
      </w:r>
      <w:r w:rsidR="00062BFA">
        <w:rPr>
          <w:noProof/>
        </w:rPr>
        <w:t> </w:t>
      </w:r>
      <w:r w:rsidR="00062BFA" w:rsidRPr="004F6DAA">
        <w:rPr>
          <w:noProof/>
        </w:rPr>
        <w:t>inn</w:t>
      </w:r>
      <w:r w:rsidRPr="004F6DAA">
        <w:rPr>
          <w:noProof/>
        </w:rPr>
        <w:t>ymi służbami Komisji, Radą</w:t>
      </w:r>
      <w:r w:rsidR="00062BFA" w:rsidRPr="004F6DAA">
        <w:rPr>
          <w:noProof/>
        </w:rPr>
        <w:t xml:space="preserve"> i</w:t>
      </w:r>
      <w:r w:rsidR="00062BFA">
        <w:rPr>
          <w:noProof/>
        </w:rPr>
        <w:t> </w:t>
      </w:r>
      <w:r w:rsidR="00062BFA" w:rsidRPr="004F6DAA">
        <w:rPr>
          <w:noProof/>
        </w:rPr>
        <w:t>Par</w:t>
      </w:r>
      <w:r w:rsidRPr="004F6DAA">
        <w:rPr>
          <w:noProof/>
        </w:rPr>
        <w:t>lamentem Europejskim, zainteresowanymi stronami, krajami trzecimi</w:t>
      </w:r>
      <w:r w:rsidR="00062BFA" w:rsidRPr="004F6DAA">
        <w:rPr>
          <w:noProof/>
        </w:rPr>
        <w:t xml:space="preserve"> i</w:t>
      </w:r>
      <w:r w:rsidR="00062BFA">
        <w:rPr>
          <w:noProof/>
        </w:rPr>
        <w:t> </w:t>
      </w:r>
      <w:r w:rsidR="00062BFA" w:rsidRPr="004F6DAA">
        <w:rPr>
          <w:noProof/>
        </w:rPr>
        <w:t>z</w:t>
      </w:r>
      <w:r w:rsidR="00062BFA">
        <w:rPr>
          <w:noProof/>
        </w:rPr>
        <w:t> </w:t>
      </w:r>
      <w:r w:rsidR="00062BFA" w:rsidRPr="004F6DAA">
        <w:rPr>
          <w:noProof/>
        </w:rPr>
        <w:t>org</w:t>
      </w:r>
      <w:r w:rsidRPr="004F6DAA">
        <w:rPr>
          <w:noProof/>
        </w:rPr>
        <w:t>anizacjami międzynarodowymi. Dodatkowe zadania sprawozdawcze realizowane przez DG ds. Środowiska oraz dodatkowe narzędzia (system informacyjny</w:t>
      </w:r>
      <w:r w:rsidR="00062BFA" w:rsidRPr="004F6DAA">
        <w:rPr>
          <w:noProof/>
        </w:rPr>
        <w:t xml:space="preserve"> i</w:t>
      </w:r>
      <w:r w:rsidR="00062BFA">
        <w:rPr>
          <w:noProof/>
        </w:rPr>
        <w:t> </w:t>
      </w:r>
      <w:r w:rsidR="00062BFA" w:rsidRPr="004F6DAA">
        <w:rPr>
          <w:noProof/>
        </w:rPr>
        <w:t>sys</w:t>
      </w:r>
      <w:r w:rsidRPr="004F6DAA">
        <w:rPr>
          <w:noProof/>
        </w:rPr>
        <w:t>tem wskaźników) zarządzane przez DG ds. Środowiska będą wymagały dodatkowego nadzoru</w:t>
      </w:r>
      <w:r w:rsidR="00062BFA" w:rsidRPr="004F6DAA">
        <w:rPr>
          <w:noProof/>
        </w:rPr>
        <w:t xml:space="preserve"> z</w:t>
      </w:r>
      <w:r w:rsidR="00062BFA">
        <w:rPr>
          <w:noProof/>
        </w:rPr>
        <w:t> </w:t>
      </w:r>
      <w:r w:rsidR="00062BFA" w:rsidRPr="004F6DAA">
        <w:rPr>
          <w:noProof/>
        </w:rPr>
        <w:t>jej</w:t>
      </w:r>
      <w:r w:rsidRPr="004F6DAA">
        <w:rPr>
          <w:noProof/>
        </w:rPr>
        <w:t xml:space="preserve"> strony. Usprawnienie</w:t>
      </w:r>
      <w:r w:rsidR="00062BFA" w:rsidRPr="004F6DAA">
        <w:rPr>
          <w:noProof/>
        </w:rPr>
        <w:t xml:space="preserve"> i</w:t>
      </w:r>
      <w:r w:rsidR="00062BFA">
        <w:rPr>
          <w:noProof/>
        </w:rPr>
        <w:t> </w:t>
      </w:r>
      <w:r w:rsidR="00062BFA" w:rsidRPr="004F6DAA">
        <w:rPr>
          <w:noProof/>
        </w:rPr>
        <w:t>pop</w:t>
      </w:r>
      <w:r w:rsidRPr="004F6DAA">
        <w:rPr>
          <w:noProof/>
        </w:rPr>
        <w:t>rawa wdrażania</w:t>
      </w:r>
      <w:r w:rsidR="00062BFA" w:rsidRPr="004F6DAA">
        <w:rPr>
          <w:noProof/>
        </w:rPr>
        <w:t xml:space="preserve"> w</w:t>
      </w:r>
      <w:r w:rsidR="00062BFA">
        <w:rPr>
          <w:noProof/>
        </w:rPr>
        <w:t> </w:t>
      </w:r>
      <w:r w:rsidR="00062BFA" w:rsidRPr="004F6DAA">
        <w:rPr>
          <w:noProof/>
        </w:rPr>
        <w:t>por</w:t>
      </w:r>
      <w:r w:rsidRPr="004F6DAA">
        <w:rPr>
          <w:noProof/>
        </w:rPr>
        <w:t>ównaniu</w:t>
      </w:r>
      <w:r w:rsidR="00062BFA" w:rsidRPr="004F6DAA">
        <w:rPr>
          <w:noProof/>
        </w:rPr>
        <w:t xml:space="preserve"> z</w:t>
      </w:r>
      <w:r w:rsidR="00062BFA">
        <w:rPr>
          <w:noProof/>
        </w:rPr>
        <w:t> </w:t>
      </w:r>
      <w:r w:rsidR="00062BFA" w:rsidRPr="004F6DAA">
        <w:rPr>
          <w:noProof/>
        </w:rPr>
        <w:t>roz</w:t>
      </w:r>
      <w:r w:rsidRPr="004F6DAA">
        <w:rPr>
          <w:noProof/>
        </w:rPr>
        <w:t>porządzeniem</w:t>
      </w:r>
      <w:r w:rsidR="00062BFA" w:rsidRPr="004F6DAA">
        <w:rPr>
          <w:noProof/>
        </w:rPr>
        <w:t xml:space="preserve"> w</w:t>
      </w:r>
      <w:r w:rsidR="00062BFA">
        <w:rPr>
          <w:noProof/>
        </w:rPr>
        <w:t> </w:t>
      </w:r>
      <w:r w:rsidR="00062BFA" w:rsidRPr="004F6DAA">
        <w:rPr>
          <w:noProof/>
        </w:rPr>
        <w:t>spr</w:t>
      </w:r>
      <w:r w:rsidRPr="004F6DAA">
        <w:rPr>
          <w:noProof/>
        </w:rPr>
        <w:t>awie drewna</w:t>
      </w:r>
      <w:r w:rsidR="00062BFA" w:rsidRPr="004F6DAA">
        <w:rPr>
          <w:noProof/>
        </w:rPr>
        <w:t xml:space="preserve"> i</w:t>
      </w:r>
      <w:r w:rsidR="00062BFA">
        <w:rPr>
          <w:noProof/>
        </w:rPr>
        <w:t> </w:t>
      </w:r>
      <w:r w:rsidR="00062BFA" w:rsidRPr="004F6DAA">
        <w:rPr>
          <w:noProof/>
        </w:rPr>
        <w:t>roz</w:t>
      </w:r>
      <w:r w:rsidRPr="004F6DAA">
        <w:rPr>
          <w:noProof/>
        </w:rPr>
        <w:t>porządzeniem FLEGT –</w:t>
      </w:r>
      <w:r w:rsidR="00062BFA" w:rsidRPr="004F6DAA">
        <w:rPr>
          <w:noProof/>
        </w:rPr>
        <w:t xml:space="preserve"> w</w:t>
      </w:r>
      <w:r w:rsidR="00062BFA">
        <w:rPr>
          <w:noProof/>
        </w:rPr>
        <w:t> </w:t>
      </w:r>
      <w:r w:rsidR="00062BFA" w:rsidRPr="004F6DAA">
        <w:rPr>
          <w:noProof/>
        </w:rPr>
        <w:t>któ</w:t>
      </w:r>
      <w:r w:rsidRPr="004F6DAA">
        <w:rPr>
          <w:noProof/>
        </w:rPr>
        <w:t>rych, jak wykazano</w:t>
      </w:r>
      <w:r w:rsidR="00062BFA" w:rsidRPr="004F6DAA">
        <w:rPr>
          <w:noProof/>
        </w:rPr>
        <w:t xml:space="preserve"> w</w:t>
      </w:r>
      <w:r w:rsidR="00062BFA">
        <w:rPr>
          <w:noProof/>
        </w:rPr>
        <w:t> </w:t>
      </w:r>
      <w:r w:rsidR="00062BFA" w:rsidRPr="004F6DAA">
        <w:rPr>
          <w:noProof/>
        </w:rPr>
        <w:t>oce</w:t>
      </w:r>
      <w:r w:rsidRPr="004F6DAA">
        <w:rPr>
          <w:noProof/>
        </w:rPr>
        <w:t>nie adekwatności, występowało wiele niedociągnięć – biorąc również pod uwagę większy zakres, będzie wymagało od DG ds. Środowiska większych zasobów przeznaczonych na monitorowanie wdrażania</w:t>
      </w:r>
      <w:r w:rsidR="00062BFA" w:rsidRPr="004F6DAA">
        <w:rPr>
          <w:noProof/>
        </w:rPr>
        <w:t xml:space="preserve"> w</w:t>
      </w:r>
      <w:r w:rsidR="00062BFA">
        <w:rPr>
          <w:noProof/>
        </w:rPr>
        <w:t> </w:t>
      </w:r>
      <w:r w:rsidR="00062BFA" w:rsidRPr="004F6DAA">
        <w:rPr>
          <w:noProof/>
        </w:rPr>
        <w:t>pań</w:t>
      </w:r>
      <w:r w:rsidRPr="004F6DAA">
        <w:rPr>
          <w:noProof/>
        </w:rPr>
        <w:t>stwach członkowskich.</w:t>
      </w:r>
    </w:p>
    <w:p w14:paraId="2ADFD2D3"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Wszystkie te zadania wymagają znacznej zdolności</w:t>
      </w:r>
      <w:r w:rsidR="00062BFA" w:rsidRPr="004F6DAA">
        <w:rPr>
          <w:noProof/>
        </w:rPr>
        <w:t xml:space="preserve"> w</w:t>
      </w:r>
      <w:r w:rsidR="00062BFA">
        <w:rPr>
          <w:noProof/>
        </w:rPr>
        <w:t> </w:t>
      </w:r>
      <w:r w:rsidR="00062BFA" w:rsidRPr="004F6DAA">
        <w:rPr>
          <w:noProof/>
        </w:rPr>
        <w:t>zak</w:t>
      </w:r>
      <w:r w:rsidRPr="004F6DAA">
        <w:rPr>
          <w:noProof/>
        </w:rPr>
        <w:t>resie oceny sytuacji politycznej, wiedzy politycznej, umiejętności analitycznych, niezależności oraz odporności, które mogą być zapewnione jedynie przez urzędników należących do grupy funkcyjnej AD. Ze względu na złożone łańcuchy dostaw odnośnych towarów oraz różnice geograficzne na całym świecie, wskazane byłoby dążenie do pewnego stopnia specjalizacji</w:t>
      </w:r>
      <w:r w:rsidR="00062BFA" w:rsidRPr="004F6DAA">
        <w:rPr>
          <w:noProof/>
        </w:rPr>
        <w:t xml:space="preserve"> w</w:t>
      </w:r>
      <w:r w:rsidR="00062BFA">
        <w:rPr>
          <w:noProof/>
        </w:rPr>
        <w:t> </w:t>
      </w:r>
      <w:r w:rsidR="00062BFA" w:rsidRPr="004F6DAA">
        <w:rPr>
          <w:noProof/>
        </w:rPr>
        <w:t>zes</w:t>
      </w:r>
      <w:r w:rsidRPr="004F6DAA">
        <w:rPr>
          <w:noProof/>
        </w:rPr>
        <w:t>pole DG ds. Środowiska odpowiedzialnym za wdrożenie. Można to zrobić</w:t>
      </w:r>
      <w:r w:rsidR="00062BFA" w:rsidRPr="004F6DAA">
        <w:rPr>
          <w:noProof/>
        </w:rPr>
        <w:t xml:space="preserve"> w</w:t>
      </w:r>
      <w:r w:rsidR="00062BFA">
        <w:rPr>
          <w:noProof/>
        </w:rPr>
        <w:t> </w:t>
      </w:r>
      <w:r w:rsidR="00062BFA" w:rsidRPr="004F6DAA">
        <w:rPr>
          <w:noProof/>
        </w:rPr>
        <w:t>pod</w:t>
      </w:r>
      <w:r w:rsidRPr="004F6DAA">
        <w:rPr>
          <w:noProof/>
        </w:rPr>
        <w:t>ziale na towary, regiony lub zadania, ale będzie to wymagało dodatkowych zasobów kadrowych, jak określono powyżej</w:t>
      </w:r>
      <w:r w:rsidR="00062BFA" w:rsidRPr="004F6DAA">
        <w:rPr>
          <w:noProof/>
        </w:rPr>
        <w:t>. W</w:t>
      </w:r>
      <w:r w:rsidR="00062BFA">
        <w:rPr>
          <w:noProof/>
        </w:rPr>
        <w:t> </w:t>
      </w:r>
      <w:r w:rsidR="00062BFA" w:rsidRPr="004F6DAA">
        <w:rPr>
          <w:noProof/>
        </w:rPr>
        <w:t>mia</w:t>
      </w:r>
      <w:r w:rsidRPr="004F6DAA">
        <w:rPr>
          <w:noProof/>
        </w:rPr>
        <w:t>rę możliwości stosowany będzie outsourcing (zob. poniżej), ale to również wymaga nadzoru. Ponadto istnieją zadania podstawowe, które wiążą się</w:t>
      </w:r>
      <w:r w:rsidR="00062BFA" w:rsidRPr="004F6DAA">
        <w:rPr>
          <w:noProof/>
        </w:rPr>
        <w:t xml:space="preserve"> z</w:t>
      </w:r>
      <w:r w:rsidR="00062BFA">
        <w:rPr>
          <w:noProof/>
        </w:rPr>
        <w:t> </w:t>
      </w:r>
      <w:r w:rsidR="00062BFA" w:rsidRPr="004F6DAA">
        <w:rPr>
          <w:noProof/>
        </w:rPr>
        <w:t>wys</w:t>
      </w:r>
      <w:r w:rsidRPr="004F6DAA">
        <w:rPr>
          <w:noProof/>
        </w:rPr>
        <w:t>okim poziomem wrażliwości politycznej</w:t>
      </w:r>
      <w:r w:rsidR="00062BFA" w:rsidRPr="004F6DAA">
        <w:rPr>
          <w:noProof/>
        </w:rPr>
        <w:t xml:space="preserve"> i</w:t>
      </w:r>
      <w:r w:rsidR="00062BFA">
        <w:rPr>
          <w:noProof/>
        </w:rPr>
        <w:t> </w:t>
      </w:r>
      <w:r w:rsidR="00062BFA" w:rsidRPr="004F6DAA">
        <w:rPr>
          <w:noProof/>
        </w:rPr>
        <w:t>mus</w:t>
      </w:r>
      <w:r w:rsidRPr="004F6DAA">
        <w:rPr>
          <w:noProof/>
        </w:rPr>
        <w:t>zą być realizowane przez Komisję.</w:t>
      </w:r>
    </w:p>
    <w:p w14:paraId="67A7A15F"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Zwiększy się zapotrzebowanie na zasoby w DG ds. Środowiska, DG ds. Partnerstw Międzynarodowych i DG ds. Podatków</w:t>
      </w:r>
      <w:r w:rsidR="00062BFA" w:rsidRPr="004F6DAA">
        <w:rPr>
          <w:noProof/>
        </w:rPr>
        <w:t xml:space="preserve"> i</w:t>
      </w:r>
      <w:r w:rsidR="00062BFA">
        <w:rPr>
          <w:noProof/>
        </w:rPr>
        <w:t> </w:t>
      </w:r>
      <w:r w:rsidR="00062BFA" w:rsidRPr="004F6DAA">
        <w:rPr>
          <w:noProof/>
        </w:rPr>
        <w:t>Uni</w:t>
      </w:r>
      <w:r w:rsidRPr="004F6DAA">
        <w:rPr>
          <w:noProof/>
        </w:rPr>
        <w:t>i Celnej. DG ds. Środowiska będzie musiała pracować nad realizacją złożonego systemu wskaźników dla poszczególnych krajów (zarówno</w:t>
      </w:r>
      <w:r w:rsidR="00062BFA" w:rsidRPr="004F6DAA">
        <w:rPr>
          <w:noProof/>
        </w:rPr>
        <w:t xml:space="preserve"> w</w:t>
      </w:r>
      <w:r w:rsidR="00062BFA">
        <w:rPr>
          <w:noProof/>
        </w:rPr>
        <w:t> </w:t>
      </w:r>
      <w:r w:rsidR="00062BFA" w:rsidRPr="004F6DAA">
        <w:rPr>
          <w:noProof/>
        </w:rPr>
        <w:t>wym</w:t>
      </w:r>
      <w:r w:rsidRPr="004F6DAA">
        <w:rPr>
          <w:noProof/>
        </w:rPr>
        <w:t>iarze technicznym, jak</w:t>
      </w:r>
      <w:r w:rsidR="00062BFA" w:rsidRPr="004F6DAA">
        <w:rPr>
          <w:noProof/>
        </w:rPr>
        <w:t xml:space="preserve"> i</w:t>
      </w:r>
      <w:r w:rsidR="00062BFA">
        <w:rPr>
          <w:noProof/>
        </w:rPr>
        <w:t> </w:t>
      </w:r>
      <w:r w:rsidR="00062BFA" w:rsidRPr="004F6DAA">
        <w:rPr>
          <w:noProof/>
        </w:rPr>
        <w:t>dyp</w:t>
      </w:r>
      <w:r w:rsidRPr="004F6DAA">
        <w:rPr>
          <w:noProof/>
        </w:rPr>
        <w:t>lomatycznym),</w:t>
      </w:r>
      <w:r w:rsidR="00062BFA" w:rsidRPr="004F6DAA">
        <w:rPr>
          <w:noProof/>
        </w:rPr>
        <w:t xml:space="preserve"> a</w:t>
      </w:r>
      <w:r w:rsidR="00062BFA">
        <w:rPr>
          <w:noProof/>
        </w:rPr>
        <w:t> </w:t>
      </w:r>
      <w:r w:rsidR="00062BFA" w:rsidRPr="004F6DAA">
        <w:rPr>
          <w:noProof/>
        </w:rPr>
        <w:t>jed</w:t>
      </w:r>
      <w:r w:rsidRPr="004F6DAA">
        <w:rPr>
          <w:noProof/>
        </w:rPr>
        <w:t>nocześnie kontynuować wykonywanie poprzednich zobowiązań prawnych</w:t>
      </w:r>
      <w:r w:rsidR="00062BFA" w:rsidRPr="004F6DAA">
        <w:rPr>
          <w:noProof/>
        </w:rPr>
        <w:t xml:space="preserve"> w</w:t>
      </w:r>
      <w:r w:rsidR="00062BFA">
        <w:rPr>
          <w:noProof/>
        </w:rPr>
        <w:t> </w:t>
      </w:r>
      <w:r w:rsidR="00062BFA" w:rsidRPr="004F6DAA">
        <w:rPr>
          <w:noProof/>
        </w:rPr>
        <w:t>tym</w:t>
      </w:r>
      <w:r w:rsidRPr="004F6DAA">
        <w:rPr>
          <w:noProof/>
        </w:rPr>
        <w:t xml:space="preserve"> nowym kontekście,</w:t>
      </w:r>
      <w:r w:rsidR="00062BFA" w:rsidRPr="004F6DAA">
        <w:rPr>
          <w:noProof/>
        </w:rPr>
        <w:t xml:space="preserve"> w</w:t>
      </w:r>
      <w:r w:rsidR="00062BFA">
        <w:rPr>
          <w:noProof/>
        </w:rPr>
        <w:t> </w:t>
      </w:r>
      <w:r w:rsidR="00062BFA" w:rsidRPr="004F6DAA">
        <w:rPr>
          <w:noProof/>
        </w:rPr>
        <w:t>tym</w:t>
      </w:r>
      <w:r w:rsidRPr="004F6DAA">
        <w:rPr>
          <w:noProof/>
        </w:rPr>
        <w:t xml:space="preserve"> współpracę międzynarodową (stała współpraca</w:t>
      </w:r>
      <w:r w:rsidR="00062BFA" w:rsidRPr="004F6DAA">
        <w:rPr>
          <w:noProof/>
        </w:rPr>
        <w:t xml:space="preserve"> z</w:t>
      </w:r>
      <w:r w:rsidR="00062BFA">
        <w:rPr>
          <w:noProof/>
        </w:rPr>
        <w:t> </w:t>
      </w:r>
      <w:r w:rsidR="00062BFA" w:rsidRPr="004F6DAA">
        <w:rPr>
          <w:noProof/>
        </w:rPr>
        <w:t>kra</w:t>
      </w:r>
      <w:r w:rsidRPr="004F6DAA">
        <w:rPr>
          <w:noProof/>
        </w:rPr>
        <w:t>jami partnerskimi, zarówno konsumentami, jak</w:t>
      </w:r>
      <w:r w:rsidR="00062BFA" w:rsidRPr="004F6DAA">
        <w:rPr>
          <w:noProof/>
        </w:rPr>
        <w:t xml:space="preserve"> i</w:t>
      </w:r>
      <w:r w:rsidR="00062BFA">
        <w:rPr>
          <w:noProof/>
        </w:rPr>
        <w:t> </w:t>
      </w:r>
      <w:r w:rsidR="00062BFA" w:rsidRPr="004F6DAA">
        <w:rPr>
          <w:noProof/>
        </w:rPr>
        <w:t>pro</w:t>
      </w:r>
      <w:r w:rsidRPr="004F6DAA">
        <w:rPr>
          <w:noProof/>
        </w:rPr>
        <w:t>ducentami, mająca kluczowe znaczenie dla uniknięcia ucieczki emisji). DG ds. Partnerstw Międzynarodowych skupi się</w:t>
      </w:r>
      <w:r w:rsidR="00062BFA" w:rsidRPr="004F6DAA">
        <w:rPr>
          <w:noProof/>
        </w:rPr>
        <w:t xml:space="preserve"> w</w:t>
      </w:r>
      <w:r w:rsidR="00062BFA">
        <w:rPr>
          <w:noProof/>
        </w:rPr>
        <w:t> </w:t>
      </w:r>
      <w:r w:rsidR="00062BFA" w:rsidRPr="004F6DAA">
        <w:rPr>
          <w:noProof/>
        </w:rPr>
        <w:t>szc</w:t>
      </w:r>
      <w:r w:rsidRPr="004F6DAA">
        <w:rPr>
          <w:noProof/>
        </w:rPr>
        <w:t>zególności na nowych programach współpracy</w:t>
      </w:r>
      <w:r w:rsidR="00062BFA" w:rsidRPr="004F6DAA">
        <w:rPr>
          <w:noProof/>
        </w:rPr>
        <w:t xml:space="preserve"> w</w:t>
      </w:r>
      <w:r w:rsidR="00062BFA">
        <w:rPr>
          <w:noProof/>
        </w:rPr>
        <w:t> </w:t>
      </w:r>
      <w:r w:rsidR="00062BFA" w:rsidRPr="004F6DAA">
        <w:rPr>
          <w:noProof/>
        </w:rPr>
        <w:t>ram</w:t>
      </w:r>
      <w:r w:rsidRPr="004F6DAA">
        <w:rPr>
          <w:noProof/>
        </w:rPr>
        <w:t>ach partnerstw na rzecz lasów, których celem będzie, między innymi, pomoc państwom będącym producentami</w:t>
      </w:r>
      <w:r w:rsidR="00062BFA" w:rsidRPr="004F6DAA">
        <w:rPr>
          <w:noProof/>
        </w:rPr>
        <w:t xml:space="preserve"> w</w:t>
      </w:r>
      <w:r w:rsidR="00062BFA">
        <w:rPr>
          <w:noProof/>
        </w:rPr>
        <w:t> </w:t>
      </w:r>
      <w:r w:rsidR="00062BFA" w:rsidRPr="004F6DAA">
        <w:rPr>
          <w:noProof/>
        </w:rPr>
        <w:t>prz</w:t>
      </w:r>
      <w:r w:rsidRPr="004F6DAA">
        <w:rPr>
          <w:noProof/>
        </w:rPr>
        <w:t>estrzeganiu przepisów rozporządzenia. Partnerstwa na rzecz lasów będą oferowane wszystkim zainteresowanym krajom,</w:t>
      </w:r>
      <w:r w:rsidR="00062BFA" w:rsidRPr="004F6DAA">
        <w:rPr>
          <w:noProof/>
        </w:rPr>
        <w:t xml:space="preserve"> w</w:t>
      </w:r>
      <w:r w:rsidR="00062BFA">
        <w:rPr>
          <w:noProof/>
        </w:rPr>
        <w:t> </w:t>
      </w:r>
      <w:r w:rsidR="00062BFA" w:rsidRPr="004F6DAA">
        <w:rPr>
          <w:noProof/>
        </w:rPr>
        <w:t>tym</w:t>
      </w:r>
      <w:r w:rsidRPr="004F6DAA">
        <w:rPr>
          <w:noProof/>
        </w:rPr>
        <w:t xml:space="preserve"> krajom, które są obecnie zaangażowane</w:t>
      </w:r>
      <w:r w:rsidR="00062BFA" w:rsidRPr="004F6DAA">
        <w:rPr>
          <w:noProof/>
        </w:rPr>
        <w:t xml:space="preserve"> w</w:t>
      </w:r>
      <w:r w:rsidR="00062BFA">
        <w:rPr>
          <w:noProof/>
        </w:rPr>
        <w:t> </w:t>
      </w:r>
      <w:r w:rsidR="00062BFA" w:rsidRPr="004F6DAA">
        <w:rPr>
          <w:noProof/>
        </w:rPr>
        <w:t>neg</w:t>
      </w:r>
      <w:r w:rsidRPr="004F6DAA">
        <w:rPr>
          <w:noProof/>
        </w:rPr>
        <w:t>ocjacje związane</w:t>
      </w:r>
      <w:r w:rsidR="00062BFA" w:rsidRPr="004F6DAA">
        <w:rPr>
          <w:noProof/>
        </w:rPr>
        <w:t xml:space="preserve"> z</w:t>
      </w:r>
      <w:r w:rsidR="00062BFA">
        <w:rPr>
          <w:noProof/>
        </w:rPr>
        <w:t> </w:t>
      </w:r>
      <w:r w:rsidR="00062BFA" w:rsidRPr="004F6DAA">
        <w:rPr>
          <w:noProof/>
        </w:rPr>
        <w:t>umo</w:t>
      </w:r>
      <w:r w:rsidRPr="004F6DAA">
        <w:rPr>
          <w:noProof/>
        </w:rPr>
        <w:t>wami</w:t>
      </w:r>
      <w:r w:rsidR="00062BFA" w:rsidRPr="004F6DAA">
        <w:rPr>
          <w:noProof/>
        </w:rPr>
        <w:t xml:space="preserve"> o</w:t>
      </w:r>
      <w:r w:rsidR="00062BFA">
        <w:rPr>
          <w:noProof/>
        </w:rPr>
        <w:t> </w:t>
      </w:r>
      <w:r w:rsidR="00062BFA" w:rsidRPr="004F6DAA">
        <w:rPr>
          <w:noProof/>
        </w:rPr>
        <w:t>dob</w:t>
      </w:r>
      <w:r w:rsidRPr="004F6DAA">
        <w:rPr>
          <w:noProof/>
        </w:rPr>
        <w:t>rowolnym partnerstwie lub we wdrażanie tych umów. DG ds. Podatków</w:t>
      </w:r>
      <w:r w:rsidR="00062BFA" w:rsidRPr="004F6DAA">
        <w:rPr>
          <w:noProof/>
        </w:rPr>
        <w:t xml:space="preserve"> i</w:t>
      </w:r>
      <w:r w:rsidR="00062BFA">
        <w:rPr>
          <w:noProof/>
        </w:rPr>
        <w:t> </w:t>
      </w:r>
      <w:r w:rsidR="00062BFA" w:rsidRPr="004F6DAA">
        <w:rPr>
          <w:noProof/>
        </w:rPr>
        <w:t>Uni</w:t>
      </w:r>
      <w:r w:rsidRPr="004F6DAA">
        <w:rPr>
          <w:noProof/>
        </w:rPr>
        <w:t>i Celnej będzie pracować nad ogólną polityką wykonania rozporządzenia, jak również nad pracami przygotowawczymi</w:t>
      </w:r>
      <w:r w:rsidR="00062BFA" w:rsidRPr="004F6DAA">
        <w:rPr>
          <w:noProof/>
        </w:rPr>
        <w:t xml:space="preserve"> i</w:t>
      </w:r>
      <w:r w:rsidR="00062BFA">
        <w:rPr>
          <w:noProof/>
        </w:rPr>
        <w:t> </w:t>
      </w:r>
      <w:r w:rsidR="00062BFA" w:rsidRPr="004F6DAA">
        <w:rPr>
          <w:noProof/>
        </w:rPr>
        <w:t>zwi</w:t>
      </w:r>
      <w:r w:rsidRPr="004F6DAA">
        <w:rPr>
          <w:noProof/>
        </w:rPr>
        <w:t>ązanymi</w:t>
      </w:r>
      <w:r w:rsidR="00062BFA" w:rsidRPr="004F6DAA">
        <w:rPr>
          <w:noProof/>
        </w:rPr>
        <w:t xml:space="preserve"> z</w:t>
      </w:r>
      <w:r w:rsidR="00062BFA">
        <w:rPr>
          <w:noProof/>
        </w:rPr>
        <w:t> </w:t>
      </w:r>
      <w:r w:rsidR="00062BFA" w:rsidRPr="004F6DAA">
        <w:rPr>
          <w:noProof/>
        </w:rPr>
        <w:t>prz</w:t>
      </w:r>
      <w:r w:rsidRPr="004F6DAA">
        <w:rPr>
          <w:noProof/>
        </w:rPr>
        <w:t>ygotowaniem wniosków dotyczących prawa wtórnego dotyczącego odnośnych towarów</w:t>
      </w:r>
      <w:r w:rsidR="00062BFA" w:rsidRPr="004F6DAA">
        <w:rPr>
          <w:noProof/>
        </w:rPr>
        <w:t xml:space="preserve"> i</w:t>
      </w:r>
      <w:r w:rsidR="00062BFA">
        <w:rPr>
          <w:noProof/>
        </w:rPr>
        <w:t> </w:t>
      </w:r>
      <w:r w:rsidR="00062BFA" w:rsidRPr="004F6DAA">
        <w:rPr>
          <w:noProof/>
        </w:rPr>
        <w:t>pro</w:t>
      </w:r>
      <w:r w:rsidRPr="004F6DAA">
        <w:rPr>
          <w:noProof/>
        </w:rPr>
        <w:t>duktów wprowadzanych na rynek unijny lub</w:t>
      </w:r>
      <w:r w:rsidR="00062BFA" w:rsidRPr="004F6DAA">
        <w:rPr>
          <w:noProof/>
        </w:rPr>
        <w:t xml:space="preserve"> z</w:t>
      </w:r>
      <w:r w:rsidR="00062BFA">
        <w:rPr>
          <w:noProof/>
        </w:rPr>
        <w:t> </w:t>
      </w:r>
      <w:r w:rsidR="00062BFA" w:rsidRPr="004F6DAA">
        <w:rPr>
          <w:noProof/>
        </w:rPr>
        <w:t>nie</w:t>
      </w:r>
      <w:r w:rsidRPr="004F6DAA">
        <w:rPr>
          <w:noProof/>
        </w:rPr>
        <w:t>go wyprowadzanych. Działania te będą wymagały dodatkowych zasobów ludzkich dla DG ds. Środowiska, DG ds. Partnerstw Międzynarodowych i DG ds. Podatków</w:t>
      </w:r>
      <w:r w:rsidR="00062BFA" w:rsidRPr="004F6DAA">
        <w:rPr>
          <w:noProof/>
        </w:rPr>
        <w:t xml:space="preserve"> i</w:t>
      </w:r>
      <w:r w:rsidR="00062BFA">
        <w:rPr>
          <w:noProof/>
        </w:rPr>
        <w:t> </w:t>
      </w:r>
      <w:r w:rsidR="00062BFA" w:rsidRPr="004F6DAA">
        <w:rPr>
          <w:noProof/>
        </w:rPr>
        <w:t>Uni</w:t>
      </w:r>
      <w:r w:rsidRPr="004F6DAA">
        <w:rPr>
          <w:noProof/>
        </w:rPr>
        <w:t>i Celnej.</w:t>
      </w:r>
    </w:p>
    <w:p w14:paraId="24E6A69C"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Przed wejściem</w:t>
      </w:r>
      <w:r w:rsidR="00062BFA" w:rsidRPr="004F6DAA">
        <w:rPr>
          <w:noProof/>
        </w:rPr>
        <w:t xml:space="preserve"> w</w:t>
      </w:r>
      <w:r w:rsidR="00062BFA">
        <w:rPr>
          <w:noProof/>
        </w:rPr>
        <w:t> </w:t>
      </w:r>
      <w:r w:rsidR="00062BFA" w:rsidRPr="004F6DAA">
        <w:rPr>
          <w:noProof/>
        </w:rPr>
        <w:t>życ</w:t>
      </w:r>
      <w:r w:rsidRPr="004F6DAA">
        <w:rPr>
          <w:noProof/>
        </w:rPr>
        <w:t>ie</w:t>
      </w:r>
      <w:r w:rsidR="00062BFA" w:rsidRPr="004F6DAA">
        <w:rPr>
          <w:noProof/>
        </w:rPr>
        <w:t xml:space="preserve"> i</w:t>
      </w:r>
      <w:r w:rsidR="00062BFA">
        <w:rPr>
          <w:noProof/>
        </w:rPr>
        <w:t> </w:t>
      </w:r>
      <w:r w:rsidR="00062BFA" w:rsidRPr="004F6DAA">
        <w:rPr>
          <w:noProof/>
        </w:rPr>
        <w:t>w</w:t>
      </w:r>
      <w:r w:rsidR="00062BFA">
        <w:rPr>
          <w:noProof/>
        </w:rPr>
        <w:t> </w:t>
      </w:r>
      <w:r w:rsidR="00062BFA" w:rsidRPr="004F6DAA">
        <w:rPr>
          <w:noProof/>
        </w:rPr>
        <w:t>cią</w:t>
      </w:r>
      <w:r w:rsidRPr="004F6DAA">
        <w:rPr>
          <w:noProof/>
        </w:rPr>
        <w:t>gu pierwszych pięciu lat funkcjonowania konieczne będą również alokacje budżetowe na zamówienia dla wykonawców zewnętrznych, którzy będą wspierać pierwszy przegląd zakresu produktu, pierwszą ocenę rozporządzenia</w:t>
      </w:r>
      <w:r w:rsidR="00062BFA" w:rsidRPr="004F6DAA">
        <w:rPr>
          <w:noProof/>
        </w:rPr>
        <w:t xml:space="preserve"> i</w:t>
      </w:r>
      <w:r w:rsidR="00062BFA">
        <w:rPr>
          <w:noProof/>
        </w:rPr>
        <w:t> </w:t>
      </w:r>
      <w:r w:rsidR="00062BFA" w:rsidRPr="004F6DAA">
        <w:rPr>
          <w:noProof/>
        </w:rPr>
        <w:t>ogó</w:t>
      </w:r>
      <w:r w:rsidRPr="004F6DAA">
        <w:rPr>
          <w:noProof/>
        </w:rPr>
        <w:t>lne wdrożenie rozporządzenia. Szacowany budżet dotyczący tych trzech umów</w:t>
      </w:r>
      <w:r w:rsidR="00062BFA" w:rsidRPr="004F6DAA">
        <w:rPr>
          <w:noProof/>
        </w:rPr>
        <w:t xml:space="preserve"> w</w:t>
      </w:r>
      <w:r w:rsidR="00062BFA">
        <w:rPr>
          <w:noProof/>
        </w:rPr>
        <w:t> </w:t>
      </w:r>
      <w:r w:rsidR="00062BFA" w:rsidRPr="004F6DAA">
        <w:rPr>
          <w:noProof/>
        </w:rPr>
        <w:t>okr</w:t>
      </w:r>
      <w:r w:rsidRPr="004F6DAA">
        <w:rPr>
          <w:noProof/>
        </w:rPr>
        <w:t>esie pierwszych pięciu lat wynosi 3 050 000 EUR. Szacunki te opierają się na poprzednich zamówieniach</w:t>
      </w:r>
      <w:r w:rsidR="00062BFA" w:rsidRPr="004F6DAA">
        <w:rPr>
          <w:noProof/>
        </w:rPr>
        <w:t xml:space="preserve"> o</w:t>
      </w:r>
      <w:r w:rsidR="00062BFA">
        <w:rPr>
          <w:noProof/>
        </w:rPr>
        <w:t> </w:t>
      </w:r>
      <w:r w:rsidR="00062BFA" w:rsidRPr="004F6DAA">
        <w:rPr>
          <w:noProof/>
        </w:rPr>
        <w:t>tyc</w:t>
      </w:r>
      <w:r w:rsidRPr="004F6DAA">
        <w:rPr>
          <w:noProof/>
        </w:rPr>
        <w:t>h samych cechach.</w:t>
      </w:r>
    </w:p>
    <w:p w14:paraId="3F927421"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Istnieje również potrzeba opracowania rejestru należytej staranności, bazy danych łączącej organy celne państw członkowskich, inne właściwe organy państw członkowskich</w:t>
      </w:r>
      <w:r w:rsidR="00062BFA" w:rsidRPr="004F6DAA">
        <w:rPr>
          <w:noProof/>
        </w:rPr>
        <w:t xml:space="preserve"> i</w:t>
      </w:r>
      <w:r w:rsidR="00062BFA">
        <w:rPr>
          <w:noProof/>
        </w:rPr>
        <w:t> </w:t>
      </w:r>
      <w:r w:rsidR="00062BFA" w:rsidRPr="004F6DAA">
        <w:rPr>
          <w:noProof/>
        </w:rPr>
        <w:t>Kom</w:t>
      </w:r>
      <w:r w:rsidRPr="004F6DAA">
        <w:rPr>
          <w:noProof/>
        </w:rPr>
        <w:t>isję,</w:t>
      </w:r>
      <w:r w:rsidR="00062BFA" w:rsidRPr="004F6DAA">
        <w:rPr>
          <w:noProof/>
        </w:rPr>
        <w:t xml:space="preserve"> a</w:t>
      </w:r>
      <w:r w:rsidR="00062BFA">
        <w:rPr>
          <w:noProof/>
        </w:rPr>
        <w:t> </w:t>
      </w:r>
      <w:r w:rsidR="00062BFA" w:rsidRPr="004F6DAA">
        <w:rPr>
          <w:noProof/>
        </w:rPr>
        <w:t>tak</w:t>
      </w:r>
      <w:r w:rsidRPr="004F6DAA">
        <w:rPr>
          <w:noProof/>
        </w:rPr>
        <w:t>że potrzeba przechowywania informacji dostarczanych przez podmioty (zasadniczo ich rejestracji</w:t>
      </w:r>
      <w:r w:rsidR="00062BFA" w:rsidRPr="004F6DAA">
        <w:rPr>
          <w:noProof/>
        </w:rPr>
        <w:t xml:space="preserve"> i</w:t>
      </w:r>
      <w:r w:rsidR="00062BFA">
        <w:rPr>
          <w:noProof/>
        </w:rPr>
        <w:t> </w:t>
      </w:r>
      <w:r w:rsidR="00062BFA" w:rsidRPr="004F6DAA">
        <w:rPr>
          <w:noProof/>
        </w:rPr>
        <w:t>ośw</w:t>
      </w:r>
      <w:r w:rsidRPr="004F6DAA">
        <w:rPr>
          <w:noProof/>
        </w:rPr>
        <w:t>iadczeń własnych)</w:t>
      </w:r>
      <w:r w:rsidR="00062BFA" w:rsidRPr="004F6DAA">
        <w:rPr>
          <w:noProof/>
        </w:rPr>
        <w:t xml:space="preserve"> i</w:t>
      </w:r>
      <w:r w:rsidR="00062BFA">
        <w:rPr>
          <w:noProof/>
        </w:rPr>
        <w:t> </w:t>
      </w:r>
      <w:r w:rsidR="00062BFA" w:rsidRPr="004F6DAA">
        <w:rPr>
          <w:noProof/>
        </w:rPr>
        <w:t>uła</w:t>
      </w:r>
      <w:r w:rsidRPr="004F6DAA">
        <w:rPr>
          <w:noProof/>
        </w:rPr>
        <w:t>twiania ich przekazywania. Można to zrobić za pośrednictwem zewnętrznego wykonawcy lub</w:t>
      </w:r>
      <w:r w:rsidR="00062BFA" w:rsidRPr="004F6DAA">
        <w:rPr>
          <w:noProof/>
        </w:rPr>
        <w:t xml:space="preserve"> w</w:t>
      </w:r>
      <w:r w:rsidR="00062BFA">
        <w:rPr>
          <w:noProof/>
        </w:rPr>
        <w:t> </w:t>
      </w:r>
      <w:r w:rsidR="00062BFA" w:rsidRPr="004F6DAA">
        <w:rPr>
          <w:noProof/>
        </w:rPr>
        <w:t>ram</w:t>
      </w:r>
      <w:r w:rsidRPr="004F6DAA">
        <w:rPr>
          <w:noProof/>
        </w:rPr>
        <w:t>ach porozumienia administracyjnego ze służbami Komisji. DG ds. Środowiska pomogła</w:t>
      </w:r>
      <w:r w:rsidR="00062BFA" w:rsidRPr="004F6DAA">
        <w:rPr>
          <w:noProof/>
        </w:rPr>
        <w:t xml:space="preserve"> w</w:t>
      </w:r>
      <w:r w:rsidR="00062BFA">
        <w:rPr>
          <w:noProof/>
        </w:rPr>
        <w:t> </w:t>
      </w:r>
      <w:r w:rsidR="00062BFA" w:rsidRPr="004F6DAA">
        <w:rPr>
          <w:noProof/>
        </w:rPr>
        <w:t>opr</w:t>
      </w:r>
      <w:r w:rsidRPr="004F6DAA">
        <w:rPr>
          <w:noProof/>
        </w:rPr>
        <w:t>acowaniu oszacowania budżetu na okres pięciu lat na potrzeby utworzenia</w:t>
      </w:r>
      <w:r w:rsidR="00062BFA" w:rsidRPr="004F6DAA">
        <w:rPr>
          <w:noProof/>
        </w:rPr>
        <w:t xml:space="preserve"> i</w:t>
      </w:r>
      <w:r w:rsidR="00062BFA">
        <w:rPr>
          <w:noProof/>
        </w:rPr>
        <w:t> </w:t>
      </w:r>
      <w:r w:rsidR="00062BFA" w:rsidRPr="004F6DAA">
        <w:rPr>
          <w:noProof/>
        </w:rPr>
        <w:t>utr</w:t>
      </w:r>
      <w:r w:rsidRPr="004F6DAA">
        <w:rPr>
          <w:noProof/>
        </w:rPr>
        <w:t>zymania bazy danych</w:t>
      </w:r>
      <w:r w:rsidR="00062BFA" w:rsidRPr="004F6DAA">
        <w:rPr>
          <w:noProof/>
        </w:rPr>
        <w:t xml:space="preserve"> o</w:t>
      </w:r>
      <w:r w:rsidR="00062BFA">
        <w:rPr>
          <w:noProof/>
        </w:rPr>
        <w:t> </w:t>
      </w:r>
      <w:r w:rsidR="00062BFA" w:rsidRPr="004F6DAA">
        <w:rPr>
          <w:noProof/>
        </w:rPr>
        <w:t>wym</w:t>
      </w:r>
      <w:r w:rsidRPr="004F6DAA">
        <w:rPr>
          <w:noProof/>
        </w:rPr>
        <w:t>aganych funkcjach, które wyniosło 1,5 mln EUR. Ponadto DG ds. Podatków</w:t>
      </w:r>
      <w:r w:rsidR="00062BFA" w:rsidRPr="004F6DAA">
        <w:rPr>
          <w:noProof/>
        </w:rPr>
        <w:t xml:space="preserve"> i</w:t>
      </w:r>
      <w:r w:rsidR="00062BFA">
        <w:rPr>
          <w:noProof/>
        </w:rPr>
        <w:t> </w:t>
      </w:r>
      <w:r w:rsidR="00062BFA" w:rsidRPr="004F6DAA">
        <w:rPr>
          <w:noProof/>
        </w:rPr>
        <w:t>Uni</w:t>
      </w:r>
      <w:r w:rsidRPr="004F6DAA">
        <w:rPr>
          <w:noProof/>
        </w:rPr>
        <w:t>i Celnej zgłosiła budżet</w:t>
      </w:r>
      <w:r w:rsidR="00062BFA" w:rsidRPr="004F6DAA">
        <w:rPr>
          <w:noProof/>
        </w:rPr>
        <w:t xml:space="preserve"> w</w:t>
      </w:r>
      <w:r w:rsidR="00062BFA">
        <w:rPr>
          <w:noProof/>
        </w:rPr>
        <w:t> </w:t>
      </w:r>
      <w:r w:rsidR="00062BFA" w:rsidRPr="004F6DAA">
        <w:rPr>
          <w:noProof/>
        </w:rPr>
        <w:t>wys</w:t>
      </w:r>
      <w:r w:rsidRPr="004F6DAA">
        <w:rPr>
          <w:noProof/>
        </w:rPr>
        <w:t>okości 950 000 na okres pierwszych pięciu lat funkcjonowania na prace informatyczne niezbędne do dostosowania systemów celnych do zmian przewidzianych</w:t>
      </w:r>
      <w:r w:rsidR="00062BFA" w:rsidRPr="004F6DAA">
        <w:rPr>
          <w:noProof/>
        </w:rPr>
        <w:t xml:space="preserve"> w</w:t>
      </w:r>
      <w:r w:rsidR="00062BFA">
        <w:rPr>
          <w:noProof/>
        </w:rPr>
        <w:t> </w:t>
      </w:r>
      <w:r w:rsidR="00062BFA" w:rsidRPr="004F6DAA">
        <w:rPr>
          <w:noProof/>
        </w:rPr>
        <w:t>roz</w:t>
      </w:r>
      <w:r w:rsidRPr="004F6DAA">
        <w:rPr>
          <w:noProof/>
        </w:rPr>
        <w:t>porządzeniu. Rozwój technologii informatycznych</w:t>
      </w:r>
      <w:r w:rsidR="00062BFA" w:rsidRPr="004F6DAA">
        <w:rPr>
          <w:noProof/>
        </w:rPr>
        <w:t xml:space="preserve"> i</w:t>
      </w:r>
      <w:r w:rsidR="00062BFA">
        <w:rPr>
          <w:noProof/>
        </w:rPr>
        <w:t> </w:t>
      </w:r>
      <w:r w:rsidR="00062BFA" w:rsidRPr="004F6DAA">
        <w:rPr>
          <w:noProof/>
        </w:rPr>
        <w:t>zwi</w:t>
      </w:r>
      <w:r w:rsidRPr="004F6DAA">
        <w:rPr>
          <w:noProof/>
        </w:rPr>
        <w:t>ązane</w:t>
      </w:r>
      <w:r w:rsidR="00062BFA" w:rsidRPr="004F6DAA">
        <w:rPr>
          <w:noProof/>
        </w:rPr>
        <w:t xml:space="preserve"> z</w:t>
      </w:r>
      <w:r w:rsidR="00062BFA">
        <w:rPr>
          <w:noProof/>
        </w:rPr>
        <w:t> </w:t>
      </w:r>
      <w:r w:rsidR="00062BFA" w:rsidRPr="004F6DAA">
        <w:rPr>
          <w:noProof/>
        </w:rPr>
        <w:t>tym</w:t>
      </w:r>
      <w:r w:rsidRPr="004F6DAA">
        <w:rPr>
          <w:noProof/>
        </w:rPr>
        <w:t xml:space="preserve"> wybory dotyczące zamówień będą podlegać wstępnemu zatwierdzeniu przez komisyjną Radę ds. Technologii Informacyjnej</w:t>
      </w:r>
      <w:r w:rsidR="00062BFA" w:rsidRPr="004F6DAA">
        <w:rPr>
          <w:noProof/>
        </w:rPr>
        <w:t xml:space="preserve"> i</w:t>
      </w:r>
      <w:r w:rsidR="00062BFA">
        <w:rPr>
          <w:noProof/>
        </w:rPr>
        <w:t> </w:t>
      </w:r>
      <w:r w:rsidR="00062BFA" w:rsidRPr="004F6DAA">
        <w:rPr>
          <w:noProof/>
        </w:rPr>
        <w:t>Cyb</w:t>
      </w:r>
      <w:r w:rsidRPr="004F6DAA">
        <w:rPr>
          <w:noProof/>
        </w:rPr>
        <w:t>erbezpieczeństwa.</w:t>
      </w:r>
    </w:p>
    <w:p w14:paraId="707DFE70"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Jeżeli chodzi</w:t>
      </w:r>
      <w:r w:rsidR="00062BFA" w:rsidRPr="004F6DAA">
        <w:rPr>
          <w:noProof/>
        </w:rPr>
        <w:t xml:space="preserve"> o</w:t>
      </w:r>
      <w:r w:rsidR="00062BFA">
        <w:rPr>
          <w:noProof/>
        </w:rPr>
        <w:t> </w:t>
      </w:r>
      <w:r w:rsidR="00062BFA" w:rsidRPr="004F6DAA">
        <w:rPr>
          <w:noProof/>
        </w:rPr>
        <w:t>utw</w:t>
      </w:r>
      <w:r w:rsidRPr="004F6DAA">
        <w:rPr>
          <w:noProof/>
        </w:rPr>
        <w:t>orzenie</w:t>
      </w:r>
      <w:r w:rsidR="00062BFA" w:rsidRPr="004F6DAA">
        <w:rPr>
          <w:noProof/>
        </w:rPr>
        <w:t xml:space="preserve"> i</w:t>
      </w:r>
      <w:r w:rsidR="00062BFA">
        <w:rPr>
          <w:noProof/>
        </w:rPr>
        <w:t> </w:t>
      </w:r>
      <w:r w:rsidR="00062BFA" w:rsidRPr="004F6DAA">
        <w:rPr>
          <w:noProof/>
        </w:rPr>
        <w:t>fun</w:t>
      </w:r>
      <w:r w:rsidRPr="004F6DAA">
        <w:rPr>
          <w:noProof/>
        </w:rPr>
        <w:t>kcjonowanie systemu wskaźników dla poszczególnych krajów, można to zrobić</w:t>
      </w:r>
      <w:r w:rsidR="00062BFA" w:rsidRPr="004F6DAA">
        <w:rPr>
          <w:noProof/>
        </w:rPr>
        <w:t xml:space="preserve"> w</w:t>
      </w:r>
      <w:r w:rsidR="00062BFA">
        <w:rPr>
          <w:noProof/>
        </w:rPr>
        <w:t> </w:t>
      </w:r>
      <w:r w:rsidR="00062BFA" w:rsidRPr="004F6DAA">
        <w:rPr>
          <w:noProof/>
        </w:rPr>
        <w:t>dro</w:t>
      </w:r>
      <w:r w:rsidRPr="004F6DAA">
        <w:rPr>
          <w:noProof/>
        </w:rPr>
        <w:t>dze porozumienia administracyjnego lub umowy zewnętrznej. Na pierwsze pięć lat przewiduje się tymczasowy budżet</w:t>
      </w:r>
      <w:r w:rsidR="00062BFA" w:rsidRPr="004F6DAA">
        <w:rPr>
          <w:noProof/>
        </w:rPr>
        <w:t xml:space="preserve"> w</w:t>
      </w:r>
      <w:r w:rsidR="00062BFA">
        <w:rPr>
          <w:noProof/>
        </w:rPr>
        <w:t> </w:t>
      </w:r>
      <w:r w:rsidR="00062BFA" w:rsidRPr="004F6DAA">
        <w:rPr>
          <w:noProof/>
        </w:rPr>
        <w:t>wys</w:t>
      </w:r>
      <w:r w:rsidRPr="004F6DAA">
        <w:rPr>
          <w:noProof/>
        </w:rPr>
        <w:t>okości 4 369 000 EUR. Jest to kwota prawie pięciokrotnie wyższa od kwoty przewidzianej</w:t>
      </w:r>
      <w:r w:rsidR="00062BFA" w:rsidRPr="004F6DAA">
        <w:rPr>
          <w:noProof/>
        </w:rPr>
        <w:t xml:space="preserve"> w</w:t>
      </w:r>
      <w:r w:rsidR="00062BFA">
        <w:rPr>
          <w:noProof/>
        </w:rPr>
        <w:t> </w:t>
      </w:r>
      <w:r w:rsidR="00062BFA" w:rsidRPr="004F6DAA">
        <w:rPr>
          <w:noProof/>
        </w:rPr>
        <w:t>oce</w:t>
      </w:r>
      <w:r w:rsidRPr="004F6DAA">
        <w:rPr>
          <w:noProof/>
        </w:rPr>
        <w:t>nie skutków, która została obliczona na podstawie liczby godzin pracy. Wynika to</w:t>
      </w:r>
      <w:r w:rsidR="00062BFA" w:rsidRPr="004F6DAA">
        <w:rPr>
          <w:noProof/>
        </w:rPr>
        <w:t xml:space="preserve"> z</w:t>
      </w:r>
      <w:r w:rsidR="00062BFA">
        <w:rPr>
          <w:noProof/>
        </w:rPr>
        <w:t> </w:t>
      </w:r>
      <w:r w:rsidR="00062BFA" w:rsidRPr="004F6DAA">
        <w:rPr>
          <w:noProof/>
        </w:rPr>
        <w:t>fak</w:t>
      </w:r>
      <w:r w:rsidRPr="004F6DAA">
        <w:rPr>
          <w:noProof/>
        </w:rPr>
        <w:t>tu, że system wskaźników przewidziany</w:t>
      </w:r>
      <w:r w:rsidR="00062BFA" w:rsidRPr="004F6DAA">
        <w:rPr>
          <w:noProof/>
        </w:rPr>
        <w:t xml:space="preserve"> w</w:t>
      </w:r>
      <w:r w:rsidR="00062BFA">
        <w:rPr>
          <w:noProof/>
        </w:rPr>
        <w:t> </w:t>
      </w:r>
      <w:r w:rsidR="00062BFA" w:rsidRPr="004F6DAA">
        <w:rPr>
          <w:noProof/>
        </w:rPr>
        <w:t>oce</w:t>
      </w:r>
      <w:r w:rsidRPr="004F6DAA">
        <w:rPr>
          <w:noProof/>
        </w:rPr>
        <w:t>nie skutków był wersją uproszczoną, która</w:t>
      </w:r>
      <w:r w:rsidR="00062BFA" w:rsidRPr="004F6DAA">
        <w:rPr>
          <w:noProof/>
        </w:rPr>
        <w:t xml:space="preserve"> w</w:t>
      </w:r>
      <w:r w:rsidR="00062BFA">
        <w:rPr>
          <w:noProof/>
        </w:rPr>
        <w:t> </w:t>
      </w:r>
      <w:r w:rsidR="00062BFA" w:rsidRPr="004F6DAA">
        <w:rPr>
          <w:noProof/>
        </w:rPr>
        <w:t>ost</w:t>
      </w:r>
      <w:r w:rsidRPr="004F6DAA">
        <w:rPr>
          <w:noProof/>
        </w:rPr>
        <w:t>atecznym wniosku legislacyjnym została rozszerzona</w:t>
      </w:r>
      <w:r w:rsidR="00062BFA" w:rsidRPr="004F6DAA">
        <w:rPr>
          <w:noProof/>
        </w:rPr>
        <w:t xml:space="preserve"> o</w:t>
      </w:r>
      <w:r w:rsidR="00062BFA">
        <w:rPr>
          <w:noProof/>
        </w:rPr>
        <w:t> </w:t>
      </w:r>
      <w:r w:rsidR="00062BFA" w:rsidRPr="004F6DAA">
        <w:rPr>
          <w:noProof/>
        </w:rPr>
        <w:t>now</w:t>
      </w:r>
      <w:r w:rsidRPr="004F6DAA">
        <w:rPr>
          <w:noProof/>
        </w:rPr>
        <w:t>e kryteria oceny, jak również</w:t>
      </w:r>
      <w:r w:rsidR="00062BFA" w:rsidRPr="004F6DAA">
        <w:rPr>
          <w:noProof/>
        </w:rPr>
        <w:t xml:space="preserve"> o</w:t>
      </w:r>
      <w:r w:rsidR="00062BFA">
        <w:rPr>
          <w:noProof/>
        </w:rPr>
        <w:t> </w:t>
      </w:r>
      <w:r w:rsidR="00062BFA" w:rsidRPr="004F6DAA">
        <w:rPr>
          <w:noProof/>
        </w:rPr>
        <w:t>pos</w:t>
      </w:r>
      <w:r w:rsidRPr="004F6DAA">
        <w:rPr>
          <w:noProof/>
        </w:rPr>
        <w:t>zerzone obowiązki</w:t>
      </w:r>
      <w:r w:rsidR="00062BFA" w:rsidRPr="004F6DAA">
        <w:rPr>
          <w:noProof/>
        </w:rPr>
        <w:t xml:space="preserve"> w</w:t>
      </w:r>
      <w:r w:rsidR="00062BFA">
        <w:rPr>
          <w:noProof/>
        </w:rPr>
        <w:t> </w:t>
      </w:r>
      <w:r w:rsidR="00062BFA" w:rsidRPr="004F6DAA">
        <w:rPr>
          <w:noProof/>
        </w:rPr>
        <w:t>zak</w:t>
      </w:r>
      <w:r w:rsidRPr="004F6DAA">
        <w:rPr>
          <w:noProof/>
        </w:rPr>
        <w:t>resie współpracy</w:t>
      </w:r>
      <w:r w:rsidR="00062BFA" w:rsidRPr="004F6DAA">
        <w:rPr>
          <w:noProof/>
        </w:rPr>
        <w:t xml:space="preserve"> z</w:t>
      </w:r>
      <w:r w:rsidR="00062BFA">
        <w:rPr>
          <w:noProof/>
        </w:rPr>
        <w:t> </w:t>
      </w:r>
      <w:r w:rsidR="00062BFA" w:rsidRPr="004F6DAA">
        <w:rPr>
          <w:noProof/>
        </w:rPr>
        <w:t>kra</w:t>
      </w:r>
      <w:r w:rsidRPr="004F6DAA">
        <w:rPr>
          <w:noProof/>
        </w:rPr>
        <w:t>jami, których dotyczy wniosek. Te nowe elementy są pracochłonne – biorąc pod uwagę, że ocena przepisów</w:t>
      </w:r>
      <w:r w:rsidR="00062BFA" w:rsidRPr="004F6DAA">
        <w:rPr>
          <w:noProof/>
        </w:rPr>
        <w:t xml:space="preserve"> i</w:t>
      </w:r>
      <w:r w:rsidR="00062BFA">
        <w:rPr>
          <w:noProof/>
        </w:rPr>
        <w:t> </w:t>
      </w:r>
      <w:r w:rsidR="00062BFA" w:rsidRPr="004F6DAA">
        <w:rPr>
          <w:noProof/>
        </w:rPr>
        <w:t>ich</w:t>
      </w:r>
      <w:r w:rsidRPr="004F6DAA">
        <w:rPr>
          <w:noProof/>
        </w:rPr>
        <w:t xml:space="preserve"> egzekwowanie</w:t>
      </w:r>
      <w:r w:rsidR="00062BFA" w:rsidRPr="004F6DAA">
        <w:rPr>
          <w:noProof/>
        </w:rPr>
        <w:t xml:space="preserve"> w</w:t>
      </w:r>
      <w:r w:rsidR="00062BFA">
        <w:rPr>
          <w:noProof/>
        </w:rPr>
        <w:t> </w:t>
      </w:r>
      <w:r w:rsidR="00062BFA" w:rsidRPr="004F6DAA">
        <w:rPr>
          <w:noProof/>
        </w:rPr>
        <w:t>każ</w:t>
      </w:r>
      <w:r w:rsidRPr="004F6DAA">
        <w:rPr>
          <w:noProof/>
        </w:rPr>
        <w:t>dym państwie to ambitne przedsięwzięcie –</w:t>
      </w:r>
      <w:r w:rsidR="00062BFA" w:rsidRPr="004F6DAA">
        <w:rPr>
          <w:noProof/>
        </w:rPr>
        <w:t xml:space="preserve"> i</w:t>
      </w:r>
      <w:r w:rsidR="00062BFA">
        <w:rPr>
          <w:noProof/>
        </w:rPr>
        <w:t> </w:t>
      </w:r>
      <w:r w:rsidR="00062BFA" w:rsidRPr="004F6DAA">
        <w:rPr>
          <w:noProof/>
        </w:rPr>
        <w:t>będ</w:t>
      </w:r>
      <w:r w:rsidRPr="004F6DAA">
        <w:rPr>
          <w:noProof/>
        </w:rPr>
        <w:t>ą wymagać znacznie większej liczby godzin pracy. Zmienioną kwotę obliczono</w:t>
      </w:r>
      <w:r w:rsidR="00062BFA" w:rsidRPr="004F6DAA">
        <w:rPr>
          <w:noProof/>
        </w:rPr>
        <w:t xml:space="preserve"> z</w:t>
      </w:r>
      <w:r w:rsidR="00062BFA">
        <w:rPr>
          <w:noProof/>
        </w:rPr>
        <w:t> </w:t>
      </w:r>
      <w:r w:rsidR="00062BFA" w:rsidRPr="004F6DAA">
        <w:rPr>
          <w:noProof/>
        </w:rPr>
        <w:t>uwz</w:t>
      </w:r>
      <w:r w:rsidRPr="004F6DAA">
        <w:rPr>
          <w:noProof/>
        </w:rPr>
        <w:t>ględnieniem doświadczeń zdobytych podczas przeglądów krajowych rozporządzenia UE</w:t>
      </w:r>
      <w:r w:rsidR="00062BFA" w:rsidRPr="004F6DAA">
        <w:rPr>
          <w:noProof/>
        </w:rPr>
        <w:t xml:space="preserve"> w</w:t>
      </w:r>
      <w:r w:rsidR="00062BFA">
        <w:rPr>
          <w:noProof/>
        </w:rPr>
        <w:t> </w:t>
      </w:r>
      <w:r w:rsidR="00062BFA" w:rsidRPr="004F6DAA">
        <w:rPr>
          <w:noProof/>
        </w:rPr>
        <w:t>spr</w:t>
      </w:r>
      <w:r w:rsidRPr="004F6DAA">
        <w:rPr>
          <w:noProof/>
        </w:rPr>
        <w:t>awie drewna.</w:t>
      </w:r>
    </w:p>
    <w:p w14:paraId="2C96F078" w14:textId="77777777" w:rsidR="007F4C85" w:rsidRPr="004F6DAA" w:rsidRDefault="007F4C85" w:rsidP="007F4C85">
      <w:pPr>
        <w:pStyle w:val="Text1"/>
        <w:rPr>
          <w:noProof/>
        </w:rPr>
      </w:pPr>
    </w:p>
    <w:p w14:paraId="35940715" w14:textId="77777777" w:rsidR="007F4C85" w:rsidRPr="004F6DAA" w:rsidRDefault="007F4C85" w:rsidP="007B7EB7">
      <w:pPr>
        <w:pStyle w:val="ManualHeading2"/>
        <w:rPr>
          <w:bCs/>
          <w:noProof/>
          <w:szCs w:val="24"/>
        </w:rPr>
      </w:pPr>
      <w:r w:rsidRPr="004F6DAA">
        <w:rPr>
          <w:noProof/>
        </w:rPr>
        <w:br w:type="page"/>
      </w:r>
      <w:r w:rsidR="007B7EB7" w:rsidRPr="007B7EB7">
        <w:t>1.6.</w:t>
      </w:r>
      <w:r w:rsidR="007B7EB7" w:rsidRPr="007B7EB7">
        <w:tab/>
      </w:r>
      <w:r w:rsidRPr="004F6DAA">
        <w:rPr>
          <w:noProof/>
        </w:rPr>
        <w:t>Czas trwania</w:t>
      </w:r>
      <w:r w:rsidR="00062BFA" w:rsidRPr="004F6DAA">
        <w:rPr>
          <w:noProof/>
        </w:rPr>
        <w:t xml:space="preserve"> i</w:t>
      </w:r>
      <w:r w:rsidR="00062BFA">
        <w:rPr>
          <w:noProof/>
        </w:rPr>
        <w:t> </w:t>
      </w:r>
      <w:r w:rsidR="00062BFA" w:rsidRPr="004F6DAA">
        <w:rPr>
          <w:noProof/>
        </w:rPr>
        <w:t>wpł</w:t>
      </w:r>
      <w:r w:rsidRPr="004F6DAA">
        <w:rPr>
          <w:noProof/>
        </w:rPr>
        <w:t>yw finansowy wniosku/inicjatywy</w:t>
      </w:r>
    </w:p>
    <w:p w14:paraId="0AE08228" w14:textId="77777777" w:rsidR="007F4C85" w:rsidRPr="004F6DAA" w:rsidRDefault="007F4C85" w:rsidP="007F4C85">
      <w:pPr>
        <w:pStyle w:val="Text1"/>
        <w:rPr>
          <w:noProof/>
        </w:rPr>
      </w:pPr>
      <w:r w:rsidRPr="004F6DAA">
        <w:rPr>
          <w:noProof/>
        </w:rPr>
        <w:sym w:font="Wingdings" w:char="F0A8"/>
      </w:r>
      <w:r w:rsidRPr="004F6DAA">
        <w:rPr>
          <w:noProof/>
        </w:rPr>
        <w:t xml:space="preserve"> </w:t>
      </w:r>
      <w:r w:rsidRPr="004F6DAA">
        <w:rPr>
          <w:b/>
          <w:noProof/>
        </w:rPr>
        <w:t xml:space="preserve">Ograniczony czas trwania </w:t>
      </w:r>
    </w:p>
    <w:p w14:paraId="61EDDD9E" w14:textId="77777777" w:rsidR="007F4C85" w:rsidRPr="004F6DAA" w:rsidRDefault="007F4C85" w:rsidP="007F4C85">
      <w:pPr>
        <w:pStyle w:val="ListDash2"/>
        <w:rPr>
          <w:noProof/>
        </w:rPr>
      </w:pPr>
      <w:r w:rsidRPr="004F6DAA">
        <w:rPr>
          <w:noProof/>
        </w:rPr>
        <w:sym w:font="Wingdings" w:char="F0A8"/>
      </w:r>
      <w:r w:rsidRPr="004F6DAA">
        <w:rPr>
          <w:noProof/>
        </w:rPr>
        <w:tab/>
        <w:t xml:space="preserve">Okres trwania wniosku/inicjatywy: od [DD/MM]RRRR r. do [DD/MM]RRRR r. </w:t>
      </w:r>
    </w:p>
    <w:p w14:paraId="7D5BF33A" w14:textId="77777777" w:rsidR="007F4C85" w:rsidRPr="004F6DAA" w:rsidRDefault="007F4C85" w:rsidP="007F4C85">
      <w:pPr>
        <w:pStyle w:val="ListDash2"/>
        <w:rPr>
          <w:noProof/>
        </w:rPr>
      </w:pPr>
      <w:r w:rsidRPr="004F6DAA">
        <w:rPr>
          <w:noProof/>
        </w:rPr>
        <w:sym w:font="Wingdings" w:char="F0A8"/>
      </w:r>
      <w:r w:rsidRPr="004F6DAA">
        <w:rPr>
          <w:noProof/>
        </w:rPr>
        <w:tab/>
        <w:t>Okres trwania wpływu finansowego: od RRRR r. do RRRR r.</w:t>
      </w:r>
      <w:r w:rsidR="00062BFA" w:rsidRPr="004F6DAA">
        <w:rPr>
          <w:noProof/>
        </w:rPr>
        <w:t xml:space="preserve"> w</w:t>
      </w:r>
      <w:r w:rsidR="00062BFA">
        <w:rPr>
          <w:noProof/>
        </w:rPr>
        <w:t> </w:t>
      </w:r>
      <w:r w:rsidR="00062BFA" w:rsidRPr="004F6DAA">
        <w:rPr>
          <w:noProof/>
        </w:rPr>
        <w:t>odn</w:t>
      </w:r>
      <w:r w:rsidRPr="004F6DAA">
        <w:rPr>
          <w:noProof/>
        </w:rPr>
        <w:t>iesieniu do środków na zobowiązania oraz od RRRR r. do RRRR r.</w:t>
      </w:r>
      <w:r w:rsidR="00062BFA" w:rsidRPr="004F6DAA">
        <w:rPr>
          <w:noProof/>
        </w:rPr>
        <w:t xml:space="preserve"> w</w:t>
      </w:r>
      <w:r w:rsidR="00062BFA">
        <w:rPr>
          <w:noProof/>
        </w:rPr>
        <w:t> </w:t>
      </w:r>
      <w:r w:rsidR="00062BFA" w:rsidRPr="004F6DAA">
        <w:rPr>
          <w:noProof/>
        </w:rPr>
        <w:t>odn</w:t>
      </w:r>
      <w:r w:rsidRPr="004F6DAA">
        <w:rPr>
          <w:noProof/>
        </w:rPr>
        <w:t xml:space="preserve">iesieniu do środków na płatności. </w:t>
      </w:r>
    </w:p>
    <w:p w14:paraId="4B8EE970" w14:textId="77777777" w:rsidR="007F4C85" w:rsidRPr="004F6DAA" w:rsidRDefault="007F4C85" w:rsidP="007F4C85">
      <w:pPr>
        <w:pStyle w:val="Text1"/>
        <w:rPr>
          <w:noProof/>
        </w:rPr>
      </w:pPr>
      <w:r w:rsidRPr="004F6DAA">
        <w:rPr>
          <w:noProof/>
        </w:rPr>
        <w:sym w:font="Wingdings" w:char="F0FE"/>
      </w:r>
      <w:r w:rsidRPr="004F6DAA">
        <w:rPr>
          <w:b/>
          <w:noProof/>
        </w:rPr>
        <w:t xml:space="preserve"> Nieograniczony czas trwania</w:t>
      </w:r>
    </w:p>
    <w:p w14:paraId="449E40C8" w14:textId="77777777" w:rsidR="007F4C85" w:rsidRPr="004F6DAA" w:rsidRDefault="007F4C85" w:rsidP="007F4C85">
      <w:pPr>
        <w:pStyle w:val="ListDash1"/>
        <w:rPr>
          <w:noProof/>
        </w:rPr>
      </w:pPr>
      <w:r w:rsidRPr="004F6DAA">
        <w:rPr>
          <w:noProof/>
        </w:rPr>
        <w:t>Wprowadzenie</w:t>
      </w:r>
      <w:r w:rsidR="00062BFA" w:rsidRPr="004F6DAA">
        <w:rPr>
          <w:noProof/>
        </w:rPr>
        <w:t xml:space="preserve"> w</w:t>
      </w:r>
      <w:r w:rsidR="00062BFA">
        <w:rPr>
          <w:noProof/>
        </w:rPr>
        <w:t> </w:t>
      </w:r>
      <w:r w:rsidR="00062BFA" w:rsidRPr="004F6DAA">
        <w:rPr>
          <w:noProof/>
        </w:rPr>
        <w:t>życ</w:t>
      </w:r>
      <w:r w:rsidRPr="004F6DAA">
        <w:rPr>
          <w:noProof/>
        </w:rPr>
        <w:t>ie</w:t>
      </w:r>
      <w:r w:rsidR="00062BFA" w:rsidRPr="004F6DAA">
        <w:rPr>
          <w:noProof/>
        </w:rPr>
        <w:t xml:space="preserve"> z</w:t>
      </w:r>
      <w:r w:rsidR="00062BFA">
        <w:rPr>
          <w:noProof/>
        </w:rPr>
        <w:t> </w:t>
      </w:r>
      <w:r w:rsidR="00062BFA" w:rsidRPr="004F6DAA">
        <w:rPr>
          <w:noProof/>
        </w:rPr>
        <w:t>okr</w:t>
      </w:r>
      <w:r w:rsidRPr="004F6DAA">
        <w:rPr>
          <w:noProof/>
        </w:rPr>
        <w:t xml:space="preserve">esem rozruchu </w:t>
      </w:r>
      <w:r w:rsidRPr="00062BFA">
        <w:rPr>
          <w:noProof/>
        </w:rPr>
        <w:t>od</w:t>
      </w:r>
      <w:r w:rsidR="00062BFA" w:rsidRPr="00062BFA">
        <w:rPr>
          <w:noProof/>
        </w:rPr>
        <w:t> </w:t>
      </w:r>
      <w:r w:rsidRPr="00062BFA">
        <w:rPr>
          <w:noProof/>
        </w:rPr>
        <w:t>2</w:t>
      </w:r>
      <w:r w:rsidRPr="004F6DAA">
        <w:rPr>
          <w:noProof/>
        </w:rPr>
        <w:t>0</w:t>
      </w:r>
      <w:r w:rsidRPr="00062BFA">
        <w:rPr>
          <w:noProof/>
        </w:rPr>
        <w:t>23</w:t>
      </w:r>
      <w:r w:rsidR="00062BFA" w:rsidRPr="00062BFA">
        <w:rPr>
          <w:noProof/>
        </w:rPr>
        <w:t> </w:t>
      </w:r>
      <w:r w:rsidRPr="00062BFA">
        <w:rPr>
          <w:noProof/>
        </w:rPr>
        <w:t>r.</w:t>
      </w:r>
      <w:r w:rsidRPr="004F6DAA">
        <w:rPr>
          <w:noProof/>
        </w:rPr>
        <w:t xml:space="preserve"> </w:t>
      </w:r>
      <w:r w:rsidRPr="00062BFA">
        <w:rPr>
          <w:noProof/>
        </w:rPr>
        <w:t>do</w:t>
      </w:r>
      <w:r w:rsidR="00062BFA" w:rsidRPr="00062BFA">
        <w:rPr>
          <w:noProof/>
        </w:rPr>
        <w:t> </w:t>
      </w:r>
      <w:r w:rsidRPr="00062BFA">
        <w:rPr>
          <w:noProof/>
        </w:rPr>
        <w:t>2</w:t>
      </w:r>
      <w:r w:rsidRPr="004F6DAA">
        <w:rPr>
          <w:noProof/>
        </w:rPr>
        <w:t>0</w:t>
      </w:r>
      <w:r w:rsidRPr="00062BFA">
        <w:rPr>
          <w:noProof/>
        </w:rPr>
        <w:t>27</w:t>
      </w:r>
      <w:r w:rsidR="00062BFA" w:rsidRPr="00062BFA">
        <w:rPr>
          <w:noProof/>
        </w:rPr>
        <w:t> </w:t>
      </w:r>
      <w:r w:rsidRPr="00062BFA">
        <w:rPr>
          <w:noProof/>
        </w:rPr>
        <w:t>r.</w:t>
      </w:r>
      <w:r w:rsidRPr="004F6DAA">
        <w:rPr>
          <w:noProof/>
        </w:rPr>
        <w:t>,</w:t>
      </w:r>
    </w:p>
    <w:p w14:paraId="0628235C" w14:textId="77777777" w:rsidR="007F4C85" w:rsidRPr="004F6DAA" w:rsidRDefault="007F4C85" w:rsidP="007F4C85">
      <w:pPr>
        <w:pStyle w:val="ListDash1"/>
        <w:rPr>
          <w:noProof/>
        </w:rPr>
      </w:pPr>
      <w:r w:rsidRPr="004F6DAA">
        <w:rPr>
          <w:noProof/>
        </w:rPr>
        <w:t>po którym następuje faza operacyjna.</w:t>
      </w:r>
    </w:p>
    <w:p w14:paraId="4CE126B6" w14:textId="77777777" w:rsidR="007F4C85" w:rsidRPr="00062BFA" w:rsidRDefault="007B7EB7" w:rsidP="007B7EB7">
      <w:pPr>
        <w:pStyle w:val="ManualHeading2"/>
        <w:rPr>
          <w:bCs/>
          <w:noProof/>
          <w:szCs w:val="24"/>
        </w:rPr>
      </w:pPr>
      <w:r w:rsidRPr="007B7EB7">
        <w:t>1.7.</w:t>
      </w:r>
      <w:r w:rsidRPr="007B7EB7">
        <w:tab/>
      </w:r>
      <w:r w:rsidR="007F4C85" w:rsidRPr="004F6DAA">
        <w:rPr>
          <w:noProof/>
        </w:rPr>
        <w:t>Planowane tryby zarządzania</w:t>
      </w:r>
      <w:r w:rsidR="007F4C85" w:rsidRPr="00062BFA">
        <w:rPr>
          <w:rStyle w:val="Odwoanieprzypisudolnego"/>
          <w:noProof/>
        </w:rPr>
        <w:footnoteReference w:id="56"/>
      </w:r>
      <w:r w:rsidR="00062BFA" w:rsidRPr="00062BFA">
        <w:rPr>
          <w:rStyle w:val="Odwoanieprzypisudolnego"/>
          <w:noProof/>
        </w:rPr>
        <w:t xml:space="preserve"> </w:t>
      </w:r>
    </w:p>
    <w:p w14:paraId="7496E6FC" w14:textId="77777777" w:rsidR="007F4C85" w:rsidRPr="004F6DAA" w:rsidRDefault="007F4C85" w:rsidP="007F4C85">
      <w:pPr>
        <w:pStyle w:val="Text1"/>
        <w:rPr>
          <w:noProof/>
        </w:rPr>
      </w:pPr>
      <w:r w:rsidRPr="004F6DAA">
        <w:rPr>
          <w:noProof/>
        </w:rPr>
        <w:sym w:font="Wingdings" w:char="F0FE"/>
      </w:r>
      <w:r w:rsidRPr="004F6DAA">
        <w:rPr>
          <w:i/>
          <w:noProof/>
        </w:rPr>
        <w:t xml:space="preserve"> </w:t>
      </w:r>
      <w:r w:rsidRPr="004F6DAA">
        <w:rPr>
          <w:b/>
          <w:noProof/>
        </w:rPr>
        <w:t>Bezpośrednie zarządzanie</w:t>
      </w:r>
      <w:r w:rsidRPr="004F6DAA">
        <w:rPr>
          <w:noProof/>
        </w:rPr>
        <w:t xml:space="preserve"> przez Komisję</w:t>
      </w:r>
    </w:p>
    <w:p w14:paraId="5C284DB4" w14:textId="77777777" w:rsidR="007F4C85" w:rsidRPr="004F6DAA" w:rsidRDefault="007F4C85" w:rsidP="007F4C85">
      <w:pPr>
        <w:pStyle w:val="ListDash2"/>
        <w:rPr>
          <w:rFonts w:cs="EUAlbertina"/>
          <w:noProof/>
        </w:rPr>
      </w:pPr>
      <w:r w:rsidRPr="004F6DAA">
        <w:rPr>
          <w:noProof/>
        </w:rPr>
        <w:sym w:font="Wingdings" w:char="F0FE"/>
      </w:r>
      <w:r w:rsidR="00062BFA" w:rsidRPr="004F6DAA">
        <w:rPr>
          <w:noProof/>
        </w:rPr>
        <w:t xml:space="preserve"> w</w:t>
      </w:r>
      <w:r w:rsidR="00062BFA">
        <w:rPr>
          <w:noProof/>
        </w:rPr>
        <w:t> </w:t>
      </w:r>
      <w:r w:rsidR="00062BFA" w:rsidRPr="004F6DAA">
        <w:rPr>
          <w:noProof/>
        </w:rPr>
        <w:t>ram</w:t>
      </w:r>
      <w:r w:rsidRPr="004F6DAA">
        <w:rPr>
          <w:noProof/>
        </w:rPr>
        <w:t>ach jej służb,</w:t>
      </w:r>
      <w:r w:rsidR="00062BFA" w:rsidRPr="004F6DAA">
        <w:rPr>
          <w:noProof/>
        </w:rPr>
        <w:t xml:space="preserve"> w</w:t>
      </w:r>
      <w:r w:rsidR="00062BFA">
        <w:rPr>
          <w:noProof/>
        </w:rPr>
        <w:t> </w:t>
      </w:r>
      <w:r w:rsidR="00062BFA" w:rsidRPr="004F6DAA">
        <w:rPr>
          <w:noProof/>
        </w:rPr>
        <w:t>tym</w:t>
      </w:r>
      <w:r w:rsidRPr="004F6DAA">
        <w:rPr>
          <w:noProof/>
        </w:rPr>
        <w:t xml:space="preserve"> za pośrednictwem jej pracowników</w:t>
      </w:r>
      <w:r w:rsidR="00062BFA" w:rsidRPr="004F6DAA">
        <w:rPr>
          <w:noProof/>
        </w:rPr>
        <w:t xml:space="preserve"> w</w:t>
      </w:r>
      <w:r w:rsidR="00062BFA">
        <w:rPr>
          <w:noProof/>
        </w:rPr>
        <w:t> </w:t>
      </w:r>
      <w:r w:rsidR="00062BFA" w:rsidRPr="004F6DAA">
        <w:rPr>
          <w:noProof/>
        </w:rPr>
        <w:t>del</w:t>
      </w:r>
      <w:r w:rsidRPr="004F6DAA">
        <w:rPr>
          <w:noProof/>
        </w:rPr>
        <w:t xml:space="preserve">egaturach Unii; </w:t>
      </w:r>
    </w:p>
    <w:p w14:paraId="1139CB7C" w14:textId="77777777" w:rsidR="007F4C85" w:rsidRPr="004F6DAA" w:rsidRDefault="007F4C85" w:rsidP="007F4C85">
      <w:pPr>
        <w:pStyle w:val="ListDash2"/>
        <w:rPr>
          <w:noProof/>
        </w:rPr>
      </w:pPr>
      <w:r w:rsidRPr="004F6DAA">
        <w:rPr>
          <w:noProof/>
        </w:rPr>
        <w:sym w:font="Wingdings" w:char="F0A8"/>
      </w:r>
      <w:r w:rsidRPr="004F6DAA">
        <w:rPr>
          <w:noProof/>
        </w:rPr>
        <w:tab/>
        <w:t xml:space="preserve">przez agencje wykonawcze </w:t>
      </w:r>
    </w:p>
    <w:p w14:paraId="71400665" w14:textId="77777777" w:rsidR="007F4C85" w:rsidRPr="004F6DAA" w:rsidRDefault="007F4C85" w:rsidP="007F4C85">
      <w:pPr>
        <w:pStyle w:val="Text1"/>
        <w:rPr>
          <w:noProof/>
        </w:rPr>
      </w:pPr>
      <w:r w:rsidRPr="004F6DAA">
        <w:rPr>
          <w:noProof/>
        </w:rPr>
        <w:sym w:font="Wingdings" w:char="F0A8"/>
      </w:r>
      <w:r w:rsidRPr="004F6DAA">
        <w:rPr>
          <w:b/>
          <w:i/>
          <w:noProof/>
        </w:rPr>
        <w:t xml:space="preserve"> </w:t>
      </w:r>
      <w:r w:rsidRPr="004F6DAA">
        <w:rPr>
          <w:b/>
          <w:noProof/>
        </w:rPr>
        <w:t>Zarządzanie dzielone</w:t>
      </w:r>
      <w:r w:rsidR="00062BFA" w:rsidRPr="004F6DAA">
        <w:rPr>
          <w:noProof/>
        </w:rPr>
        <w:t xml:space="preserve"> z</w:t>
      </w:r>
      <w:r w:rsidR="00062BFA">
        <w:rPr>
          <w:noProof/>
        </w:rPr>
        <w:t> </w:t>
      </w:r>
      <w:r w:rsidR="00062BFA" w:rsidRPr="004F6DAA">
        <w:rPr>
          <w:noProof/>
        </w:rPr>
        <w:t>pań</w:t>
      </w:r>
      <w:r w:rsidRPr="004F6DAA">
        <w:rPr>
          <w:noProof/>
        </w:rPr>
        <w:t xml:space="preserve">stwami członkowskimi </w:t>
      </w:r>
    </w:p>
    <w:p w14:paraId="4042534B" w14:textId="77777777" w:rsidR="007F4C85" w:rsidRPr="004F6DAA" w:rsidRDefault="007F4C85" w:rsidP="007F4C85">
      <w:pPr>
        <w:pStyle w:val="Text1"/>
        <w:rPr>
          <w:noProof/>
        </w:rPr>
      </w:pPr>
      <w:r w:rsidRPr="004F6DAA">
        <w:rPr>
          <w:noProof/>
        </w:rPr>
        <w:sym w:font="Wingdings" w:char="F0A8"/>
      </w:r>
      <w:r w:rsidRPr="004F6DAA">
        <w:rPr>
          <w:i/>
          <w:noProof/>
        </w:rPr>
        <w:t xml:space="preserve"> </w:t>
      </w:r>
      <w:r w:rsidRPr="004F6DAA">
        <w:rPr>
          <w:b/>
          <w:noProof/>
        </w:rPr>
        <w:t>Zarządzanie pośrednie</w:t>
      </w:r>
      <w:r w:rsidRPr="004F6DAA">
        <w:rPr>
          <w:noProof/>
        </w:rPr>
        <w:t xml:space="preserve"> poprzez przekazanie zadań związanych</w:t>
      </w:r>
      <w:r w:rsidR="00062BFA" w:rsidRPr="004F6DAA">
        <w:rPr>
          <w:noProof/>
        </w:rPr>
        <w:t xml:space="preserve"> z</w:t>
      </w:r>
      <w:r w:rsidR="00062BFA">
        <w:rPr>
          <w:noProof/>
        </w:rPr>
        <w:t> </w:t>
      </w:r>
      <w:r w:rsidR="00062BFA" w:rsidRPr="004F6DAA">
        <w:rPr>
          <w:noProof/>
        </w:rPr>
        <w:t>wyk</w:t>
      </w:r>
      <w:r w:rsidRPr="004F6DAA">
        <w:rPr>
          <w:noProof/>
        </w:rPr>
        <w:t>onaniem budżetu:</w:t>
      </w:r>
    </w:p>
    <w:p w14:paraId="4B822ECD" w14:textId="77777777" w:rsidR="007F4C85" w:rsidRPr="004F6DAA" w:rsidRDefault="007F4C85" w:rsidP="007F4C85">
      <w:pPr>
        <w:pStyle w:val="ListDash2"/>
        <w:rPr>
          <w:noProof/>
        </w:rPr>
      </w:pPr>
      <w:r w:rsidRPr="004F6DAA">
        <w:rPr>
          <w:noProof/>
        </w:rPr>
        <w:sym w:font="Wingdings" w:char="F0A8"/>
      </w:r>
      <w:r w:rsidRPr="004F6DAA">
        <w:rPr>
          <w:noProof/>
        </w:rPr>
        <w:t xml:space="preserve"> państwom trzecim lub organom przez nie wyznaczonym;</w:t>
      </w:r>
    </w:p>
    <w:p w14:paraId="5C4A3E0C" w14:textId="77777777" w:rsidR="007F4C85" w:rsidRPr="004F6DAA" w:rsidRDefault="007F4C85" w:rsidP="007F4C85">
      <w:pPr>
        <w:pStyle w:val="ListDash2"/>
        <w:rPr>
          <w:noProof/>
        </w:rPr>
      </w:pPr>
      <w:r w:rsidRPr="004F6DAA">
        <w:rPr>
          <w:noProof/>
        </w:rPr>
        <w:sym w:font="Wingdings" w:char="F0A8"/>
      </w:r>
      <w:r w:rsidRPr="004F6DAA">
        <w:rPr>
          <w:noProof/>
        </w:rPr>
        <w:t xml:space="preserve"> organizacjom międzynarodowym</w:t>
      </w:r>
      <w:r w:rsidR="00062BFA" w:rsidRPr="004F6DAA">
        <w:rPr>
          <w:noProof/>
        </w:rPr>
        <w:t xml:space="preserve"> i</w:t>
      </w:r>
      <w:r w:rsidR="00062BFA">
        <w:rPr>
          <w:noProof/>
        </w:rPr>
        <w:t> </w:t>
      </w:r>
      <w:r w:rsidR="00062BFA" w:rsidRPr="004F6DAA">
        <w:rPr>
          <w:noProof/>
        </w:rPr>
        <w:t>ich</w:t>
      </w:r>
      <w:r w:rsidRPr="004F6DAA">
        <w:rPr>
          <w:noProof/>
        </w:rPr>
        <w:t xml:space="preserve"> agencjom (należy wyszczególnić);</w:t>
      </w:r>
    </w:p>
    <w:p w14:paraId="273B2874" w14:textId="77777777" w:rsidR="007F4C85" w:rsidRPr="004F6DAA" w:rsidRDefault="007F4C85" w:rsidP="007F4C85">
      <w:pPr>
        <w:pStyle w:val="ListDash2"/>
        <w:rPr>
          <w:noProof/>
        </w:rPr>
      </w:pPr>
      <w:r w:rsidRPr="004F6DAA">
        <w:rPr>
          <w:noProof/>
        </w:rPr>
        <w:sym w:font="Wingdings" w:char="F0A8"/>
      </w:r>
      <w:r w:rsidRPr="004F6DAA">
        <w:rPr>
          <w:noProof/>
        </w:rPr>
        <w:t xml:space="preserve"> EBI oraz Europejskiemu Funduszowi Inwestycyjnemu;</w:t>
      </w:r>
    </w:p>
    <w:p w14:paraId="238BB8AB" w14:textId="77777777" w:rsidR="007F4C85" w:rsidRPr="004F6DAA" w:rsidRDefault="007F4C85" w:rsidP="007F4C85">
      <w:pPr>
        <w:pStyle w:val="ListDash2"/>
        <w:rPr>
          <w:noProof/>
        </w:rPr>
      </w:pPr>
      <w:r w:rsidRPr="004F6DAA">
        <w:rPr>
          <w:noProof/>
        </w:rPr>
        <w:sym w:font="Wingdings" w:char="F0A8"/>
      </w:r>
      <w:r w:rsidRPr="004F6DAA">
        <w:rPr>
          <w:noProof/>
        </w:rPr>
        <w:t xml:space="preserve"> organom,</w:t>
      </w:r>
      <w:r w:rsidR="00062BFA" w:rsidRPr="004F6DAA">
        <w:rPr>
          <w:noProof/>
        </w:rPr>
        <w:t xml:space="preserve"> o</w:t>
      </w:r>
      <w:r w:rsidR="00062BFA">
        <w:rPr>
          <w:noProof/>
        </w:rPr>
        <w:t> </w:t>
      </w:r>
      <w:r w:rsidR="00062BFA" w:rsidRPr="004F6DAA">
        <w:rPr>
          <w:noProof/>
        </w:rPr>
        <w:t>któ</w:t>
      </w:r>
      <w:r w:rsidRPr="004F6DAA">
        <w:rPr>
          <w:noProof/>
        </w:rPr>
        <w:t>rych mowa</w:t>
      </w:r>
      <w:r w:rsidR="00062BFA" w:rsidRPr="004F6DAA">
        <w:rPr>
          <w:noProof/>
        </w:rPr>
        <w:t xml:space="preserve"> w</w:t>
      </w:r>
      <w:r w:rsidR="00062BFA">
        <w:rPr>
          <w:noProof/>
        </w:rPr>
        <w:t> </w:t>
      </w:r>
      <w:r w:rsidR="00062BFA" w:rsidRPr="00062BFA">
        <w:rPr>
          <w:noProof/>
        </w:rPr>
        <w:t>art</w:t>
      </w:r>
      <w:r w:rsidRPr="00062BFA">
        <w:rPr>
          <w:noProof/>
        </w:rPr>
        <w:t>.</w:t>
      </w:r>
      <w:r w:rsidR="00062BFA" w:rsidRPr="00062BFA">
        <w:rPr>
          <w:noProof/>
        </w:rPr>
        <w:t> </w:t>
      </w:r>
      <w:r w:rsidRPr="00062BFA">
        <w:rPr>
          <w:noProof/>
        </w:rPr>
        <w:t>7</w:t>
      </w:r>
      <w:r w:rsidRPr="004F6DAA">
        <w:rPr>
          <w:noProof/>
        </w:rPr>
        <w:t>0</w:t>
      </w:r>
      <w:r w:rsidR="00062BFA" w:rsidRPr="004F6DAA">
        <w:rPr>
          <w:noProof/>
        </w:rPr>
        <w:t xml:space="preserve"> i</w:t>
      </w:r>
      <w:r w:rsidR="00062BFA">
        <w:rPr>
          <w:noProof/>
        </w:rPr>
        <w:t> </w:t>
      </w:r>
      <w:r w:rsidR="00062BFA" w:rsidRPr="004F6DAA">
        <w:rPr>
          <w:noProof/>
        </w:rPr>
        <w:t>7</w:t>
      </w:r>
      <w:r w:rsidRPr="004F6DAA">
        <w:rPr>
          <w:noProof/>
        </w:rPr>
        <w:t>1 rozporządzenia finansowego;</w:t>
      </w:r>
    </w:p>
    <w:p w14:paraId="42383962" w14:textId="77777777" w:rsidR="007F4C85" w:rsidRPr="004F6DAA" w:rsidRDefault="007F4C85" w:rsidP="007F4C85">
      <w:pPr>
        <w:pStyle w:val="ListDash2"/>
        <w:rPr>
          <w:noProof/>
        </w:rPr>
      </w:pPr>
      <w:r w:rsidRPr="004F6DAA">
        <w:rPr>
          <w:noProof/>
        </w:rPr>
        <w:sym w:font="Wingdings" w:char="F0A8"/>
      </w:r>
      <w:r w:rsidRPr="004F6DAA">
        <w:rPr>
          <w:noProof/>
        </w:rPr>
        <w:t xml:space="preserve"> organom prawa publicznego;</w:t>
      </w:r>
    </w:p>
    <w:p w14:paraId="01FE4676" w14:textId="77777777" w:rsidR="007F4C85" w:rsidRPr="004F6DAA" w:rsidRDefault="007F4C85" w:rsidP="007F4C85">
      <w:pPr>
        <w:pStyle w:val="ListDash2"/>
        <w:rPr>
          <w:noProof/>
        </w:rPr>
      </w:pPr>
      <w:r w:rsidRPr="004F6DAA">
        <w:rPr>
          <w:noProof/>
        </w:rPr>
        <w:sym w:font="Wingdings" w:char="F0A8"/>
      </w:r>
      <w:r w:rsidRPr="004F6DAA">
        <w:rPr>
          <w:noProof/>
        </w:rPr>
        <w:t xml:space="preserve"> podmiotom podlegającym prawu prywatnemu, które świadczą usługi użyteczności publicznej,</w:t>
      </w:r>
      <w:r w:rsidR="00062BFA" w:rsidRPr="004F6DAA">
        <w:rPr>
          <w:noProof/>
        </w:rPr>
        <w:t xml:space="preserve"> o</w:t>
      </w:r>
      <w:r w:rsidR="00062BFA">
        <w:rPr>
          <w:noProof/>
        </w:rPr>
        <w:t> </w:t>
      </w:r>
      <w:r w:rsidR="00062BFA" w:rsidRPr="004F6DAA">
        <w:rPr>
          <w:noProof/>
        </w:rPr>
        <w:t>ile</w:t>
      </w:r>
      <w:r w:rsidRPr="004F6DAA">
        <w:rPr>
          <w:noProof/>
        </w:rPr>
        <w:t xml:space="preserve"> są im zapewnione odpowiednie gwarancje finansowe;</w:t>
      </w:r>
    </w:p>
    <w:p w14:paraId="12E1D8E3" w14:textId="77777777" w:rsidR="007F4C85" w:rsidRPr="004F6DAA" w:rsidRDefault="007F4C85" w:rsidP="007F4C85">
      <w:pPr>
        <w:pStyle w:val="ListDash2"/>
        <w:rPr>
          <w:noProof/>
        </w:rPr>
      </w:pPr>
      <w:r w:rsidRPr="004F6DAA">
        <w:rPr>
          <w:noProof/>
        </w:rPr>
        <w:sym w:font="Wingdings" w:char="F0A8"/>
      </w:r>
      <w:r w:rsidRPr="004F6DAA">
        <w:rPr>
          <w:noProof/>
        </w:rPr>
        <w:t xml:space="preserve"> podmiotom podlegającym prawu prywatnemu państwa członkowskiego, którym powierzono realizację partnerstwa publiczno-prywatnego</w:t>
      </w:r>
      <w:r w:rsidR="00062BFA" w:rsidRPr="004F6DAA">
        <w:rPr>
          <w:noProof/>
        </w:rPr>
        <w:t xml:space="preserve"> i</w:t>
      </w:r>
      <w:r w:rsidR="00062BFA">
        <w:rPr>
          <w:noProof/>
        </w:rPr>
        <w:t> </w:t>
      </w:r>
      <w:r w:rsidR="00062BFA" w:rsidRPr="004F6DAA">
        <w:rPr>
          <w:noProof/>
        </w:rPr>
        <w:t>zap</w:t>
      </w:r>
      <w:r w:rsidRPr="004F6DAA">
        <w:rPr>
          <w:noProof/>
        </w:rPr>
        <w:t>ewniono odpowiednie gwarancje finansowe;</w:t>
      </w:r>
    </w:p>
    <w:p w14:paraId="7D4A42E5" w14:textId="77777777" w:rsidR="007F4C85" w:rsidRPr="004F6DAA" w:rsidRDefault="007F4C85" w:rsidP="007F4C85">
      <w:pPr>
        <w:pStyle w:val="ListDash2"/>
        <w:rPr>
          <w:noProof/>
        </w:rPr>
      </w:pPr>
      <w:r w:rsidRPr="004F6DAA">
        <w:rPr>
          <w:noProof/>
        </w:rPr>
        <w:sym w:font="Wingdings" w:char="F0A8"/>
      </w:r>
      <w:r w:rsidRPr="004F6DAA">
        <w:rPr>
          <w:noProof/>
        </w:rPr>
        <w:t xml:space="preserve"> osobom odpowiedzialnym za wykonanie określonych działań</w:t>
      </w:r>
      <w:r w:rsidR="00062BFA" w:rsidRPr="004F6DAA">
        <w:rPr>
          <w:noProof/>
        </w:rPr>
        <w:t xml:space="preserve"> w</w:t>
      </w:r>
      <w:r w:rsidR="00062BFA">
        <w:rPr>
          <w:noProof/>
        </w:rPr>
        <w:t> </w:t>
      </w:r>
      <w:r w:rsidR="00062BFA" w:rsidRPr="004F6DAA">
        <w:rPr>
          <w:noProof/>
        </w:rPr>
        <w:t>dzi</w:t>
      </w:r>
      <w:r w:rsidRPr="004F6DAA">
        <w:rPr>
          <w:noProof/>
        </w:rPr>
        <w:t>edzinie wspólnej polityki zagranicznej</w:t>
      </w:r>
      <w:r w:rsidR="00062BFA" w:rsidRPr="004F6DAA">
        <w:rPr>
          <w:noProof/>
        </w:rPr>
        <w:t xml:space="preserve"> i</w:t>
      </w:r>
      <w:r w:rsidR="00062BFA">
        <w:rPr>
          <w:noProof/>
        </w:rPr>
        <w:t> </w:t>
      </w:r>
      <w:r w:rsidR="00062BFA" w:rsidRPr="004F6DAA">
        <w:rPr>
          <w:noProof/>
        </w:rPr>
        <w:t>bez</w:t>
      </w:r>
      <w:r w:rsidRPr="004F6DAA">
        <w:rPr>
          <w:noProof/>
        </w:rPr>
        <w:t>pieczeństwa na mocy tytułu V Traktatu</w:t>
      </w:r>
      <w:r w:rsidR="00062BFA" w:rsidRPr="004F6DAA">
        <w:rPr>
          <w:noProof/>
        </w:rPr>
        <w:t xml:space="preserve"> o</w:t>
      </w:r>
      <w:r w:rsidR="00062BFA">
        <w:rPr>
          <w:noProof/>
        </w:rPr>
        <w:t> </w:t>
      </w:r>
      <w:r w:rsidR="00062BFA" w:rsidRPr="004F6DAA">
        <w:rPr>
          <w:noProof/>
        </w:rPr>
        <w:t>Uni</w:t>
      </w:r>
      <w:r w:rsidRPr="004F6DAA">
        <w:rPr>
          <w:noProof/>
        </w:rPr>
        <w:t>i Europejskiej oraz określonym we właściwym podstawowym akcie prawnym.</w:t>
      </w:r>
    </w:p>
    <w:p w14:paraId="24F55882" w14:textId="77777777" w:rsidR="007F4C85" w:rsidRPr="004F6DAA" w:rsidRDefault="007F4C85" w:rsidP="007F4C85">
      <w:pPr>
        <w:pStyle w:val="ListDash2"/>
        <w:rPr>
          <w:i/>
          <w:noProof/>
          <w:sz w:val="18"/>
          <w:u w:val="single"/>
        </w:rPr>
      </w:pPr>
      <w:r w:rsidRPr="004F6DAA">
        <w:rPr>
          <w:i/>
          <w:noProof/>
          <w:sz w:val="18"/>
        </w:rPr>
        <w:t>W przypadku wskazania więcej niż jednego trybu należy podać dodatkowe informacje</w:t>
      </w:r>
      <w:r w:rsidR="00062BFA" w:rsidRPr="004F6DAA">
        <w:rPr>
          <w:i/>
          <w:noProof/>
          <w:sz w:val="18"/>
        </w:rPr>
        <w:t xml:space="preserve"> w</w:t>
      </w:r>
      <w:r w:rsidR="00062BFA">
        <w:rPr>
          <w:i/>
          <w:noProof/>
          <w:sz w:val="18"/>
        </w:rPr>
        <w:t> </w:t>
      </w:r>
      <w:r w:rsidR="00062BFA" w:rsidRPr="004F6DAA">
        <w:rPr>
          <w:i/>
          <w:noProof/>
          <w:sz w:val="18"/>
        </w:rPr>
        <w:t>czę</w:t>
      </w:r>
      <w:r w:rsidRPr="004F6DAA">
        <w:rPr>
          <w:i/>
          <w:noProof/>
          <w:sz w:val="18"/>
        </w:rPr>
        <w:t>ści „Uwagi”.</w:t>
      </w:r>
    </w:p>
    <w:p w14:paraId="73513CE1" w14:textId="77777777" w:rsidR="007F4C85" w:rsidRPr="004F6DAA" w:rsidRDefault="007F4C85" w:rsidP="007F4C85">
      <w:pPr>
        <w:rPr>
          <w:noProof/>
        </w:rPr>
      </w:pPr>
      <w:r w:rsidRPr="004F6DAA">
        <w:rPr>
          <w:noProof/>
        </w:rPr>
        <w:t xml:space="preserve">Uwagi </w:t>
      </w:r>
    </w:p>
    <w:p w14:paraId="0E9972C9" w14:textId="77777777" w:rsidR="007F4C85" w:rsidRPr="004F6DAA" w:rsidRDefault="007F4C85" w:rsidP="007F4C85">
      <w:pPr>
        <w:pBdr>
          <w:top w:val="single" w:sz="4" w:space="1" w:color="auto"/>
          <w:left w:val="single" w:sz="4" w:space="4" w:color="auto"/>
          <w:bottom w:val="single" w:sz="4" w:space="1" w:color="auto"/>
          <w:right w:val="single" w:sz="4" w:space="4" w:color="auto"/>
        </w:pBdr>
        <w:rPr>
          <w:noProof/>
        </w:rPr>
      </w:pPr>
    </w:p>
    <w:p w14:paraId="2FD543FD" w14:textId="77777777" w:rsidR="007F4C85" w:rsidRPr="004F6DAA" w:rsidRDefault="007F4C85" w:rsidP="007F4C85">
      <w:pPr>
        <w:pBdr>
          <w:top w:val="single" w:sz="4" w:space="1" w:color="auto"/>
          <w:left w:val="single" w:sz="4" w:space="4" w:color="auto"/>
          <w:bottom w:val="single" w:sz="4" w:space="1" w:color="auto"/>
          <w:right w:val="single" w:sz="4" w:space="4" w:color="auto"/>
        </w:pBdr>
        <w:rPr>
          <w:noProof/>
        </w:rPr>
      </w:pPr>
    </w:p>
    <w:p w14:paraId="239E18E1" w14:textId="77777777" w:rsidR="007F4C85" w:rsidRPr="004F6DAA" w:rsidRDefault="007F4C85" w:rsidP="007F4C85">
      <w:pPr>
        <w:rPr>
          <w:noProof/>
        </w:rPr>
        <w:sectPr w:rsidR="007F4C85" w:rsidRPr="004F6DAA" w:rsidSect="00007A34">
          <w:footnotePr>
            <w:numRestart w:val="eachSect"/>
          </w:footnotePr>
          <w:pgSz w:w="11907" w:h="16840" w:code="9"/>
          <w:pgMar w:top="1134" w:right="1418" w:bottom="1134" w:left="1418" w:header="709" w:footer="709" w:gutter="0"/>
          <w:cols w:space="708"/>
          <w:docGrid w:linePitch="360"/>
        </w:sectPr>
      </w:pPr>
    </w:p>
    <w:p w14:paraId="032D2CA9" w14:textId="77777777" w:rsidR="007F4C85" w:rsidRPr="004F6DAA" w:rsidRDefault="007B7EB7" w:rsidP="007B7EB7">
      <w:pPr>
        <w:pStyle w:val="ManualHeading1"/>
        <w:rPr>
          <w:bCs/>
          <w:noProof/>
          <w:szCs w:val="24"/>
        </w:rPr>
      </w:pPr>
      <w:r w:rsidRPr="007B7EB7">
        <w:t>2.</w:t>
      </w:r>
      <w:r w:rsidRPr="007B7EB7">
        <w:tab/>
      </w:r>
      <w:r w:rsidR="007F4C85" w:rsidRPr="004F6DAA">
        <w:rPr>
          <w:noProof/>
        </w:rPr>
        <w:t xml:space="preserve">ŚRODKI ZARZĄDZANIA </w:t>
      </w:r>
    </w:p>
    <w:p w14:paraId="7716F65B" w14:textId="77777777" w:rsidR="007F4C85" w:rsidRPr="004F6DAA" w:rsidRDefault="007B7EB7" w:rsidP="007B7EB7">
      <w:pPr>
        <w:pStyle w:val="ManualHeading2"/>
        <w:rPr>
          <w:noProof/>
        </w:rPr>
      </w:pPr>
      <w:r w:rsidRPr="007B7EB7">
        <w:t>2.1.</w:t>
      </w:r>
      <w:r w:rsidRPr="007B7EB7">
        <w:tab/>
      </w:r>
      <w:r w:rsidR="007F4C85" w:rsidRPr="004F6DAA">
        <w:rPr>
          <w:noProof/>
        </w:rPr>
        <w:t>Zasady nadzoru</w:t>
      </w:r>
      <w:r w:rsidR="00062BFA" w:rsidRPr="004F6DAA">
        <w:rPr>
          <w:noProof/>
        </w:rPr>
        <w:t xml:space="preserve"> i</w:t>
      </w:r>
      <w:r w:rsidR="00062BFA">
        <w:rPr>
          <w:noProof/>
        </w:rPr>
        <w:t> </w:t>
      </w:r>
      <w:r w:rsidR="00062BFA" w:rsidRPr="004F6DAA">
        <w:rPr>
          <w:noProof/>
        </w:rPr>
        <w:t>spr</w:t>
      </w:r>
      <w:r w:rsidR="007F4C85" w:rsidRPr="004F6DAA">
        <w:rPr>
          <w:noProof/>
        </w:rPr>
        <w:t xml:space="preserve">awozdawczości </w:t>
      </w:r>
    </w:p>
    <w:p w14:paraId="46F5EC49" w14:textId="77777777" w:rsidR="007F4C85" w:rsidRPr="004F6DAA" w:rsidRDefault="007F4C85" w:rsidP="007F4C85">
      <w:pPr>
        <w:pStyle w:val="Text1"/>
        <w:rPr>
          <w:i/>
          <w:noProof/>
          <w:sz w:val="20"/>
        </w:rPr>
      </w:pPr>
      <w:r w:rsidRPr="004F6DAA">
        <w:rPr>
          <w:i/>
          <w:noProof/>
          <w:sz w:val="20"/>
        </w:rPr>
        <w:t>Określić częstotliwość</w:t>
      </w:r>
      <w:r w:rsidR="00062BFA" w:rsidRPr="004F6DAA">
        <w:rPr>
          <w:i/>
          <w:noProof/>
          <w:sz w:val="20"/>
        </w:rPr>
        <w:t xml:space="preserve"> i</w:t>
      </w:r>
      <w:r w:rsidR="00062BFA">
        <w:rPr>
          <w:i/>
          <w:noProof/>
          <w:sz w:val="20"/>
        </w:rPr>
        <w:t> </w:t>
      </w:r>
      <w:r w:rsidR="00062BFA" w:rsidRPr="004F6DAA">
        <w:rPr>
          <w:i/>
          <w:noProof/>
          <w:sz w:val="20"/>
        </w:rPr>
        <w:t>war</w:t>
      </w:r>
      <w:r w:rsidRPr="004F6DAA">
        <w:rPr>
          <w:i/>
          <w:noProof/>
          <w:sz w:val="20"/>
        </w:rPr>
        <w:t>unki</w:t>
      </w:r>
    </w:p>
    <w:p w14:paraId="63767439"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Ocena skutków finansowych regulacji dotyczy wydatków na personel, udzielania zamówień publicznych</w:t>
      </w:r>
      <w:r w:rsidR="00062BFA" w:rsidRPr="004F6DAA">
        <w:rPr>
          <w:noProof/>
        </w:rPr>
        <w:t xml:space="preserve"> i</w:t>
      </w:r>
      <w:r w:rsidR="00062BFA">
        <w:rPr>
          <w:noProof/>
        </w:rPr>
        <w:t> </w:t>
      </w:r>
      <w:r w:rsidR="00062BFA" w:rsidRPr="004F6DAA">
        <w:rPr>
          <w:noProof/>
        </w:rPr>
        <w:t>ewe</w:t>
      </w:r>
      <w:r w:rsidRPr="004F6DAA">
        <w:rPr>
          <w:noProof/>
        </w:rPr>
        <w:t>ntualnie ustaleń administracyjnych. Zastosowanie mają standardowe zasady dotyczące tego typu wydatków.</w:t>
      </w:r>
    </w:p>
    <w:p w14:paraId="5255A864" w14:textId="77777777" w:rsidR="007F4C85" w:rsidRPr="004F6DAA" w:rsidRDefault="007B7EB7" w:rsidP="007B7EB7">
      <w:pPr>
        <w:pStyle w:val="ManualHeading2"/>
        <w:rPr>
          <w:bCs/>
          <w:noProof/>
          <w:szCs w:val="24"/>
        </w:rPr>
      </w:pPr>
      <w:r w:rsidRPr="007B7EB7">
        <w:t>2.2.</w:t>
      </w:r>
      <w:r w:rsidRPr="007B7EB7">
        <w:tab/>
      </w:r>
      <w:r w:rsidR="007F4C85" w:rsidRPr="004F6DAA">
        <w:rPr>
          <w:noProof/>
        </w:rPr>
        <w:t>System zarządzania</w:t>
      </w:r>
      <w:r w:rsidR="00062BFA" w:rsidRPr="004F6DAA">
        <w:rPr>
          <w:noProof/>
        </w:rPr>
        <w:t xml:space="preserve"> i</w:t>
      </w:r>
      <w:r w:rsidR="00062BFA">
        <w:rPr>
          <w:noProof/>
        </w:rPr>
        <w:t> </w:t>
      </w:r>
      <w:r w:rsidR="00062BFA" w:rsidRPr="004F6DAA">
        <w:rPr>
          <w:noProof/>
        </w:rPr>
        <w:t>kon</w:t>
      </w:r>
      <w:r w:rsidR="007F4C85" w:rsidRPr="004F6DAA">
        <w:rPr>
          <w:noProof/>
        </w:rPr>
        <w:t xml:space="preserve">troli </w:t>
      </w:r>
    </w:p>
    <w:p w14:paraId="3B29DD91" w14:textId="77777777" w:rsidR="007F4C85" w:rsidRPr="004F6DAA" w:rsidRDefault="007B7EB7" w:rsidP="007B7EB7">
      <w:pPr>
        <w:pStyle w:val="ManualHeading3"/>
        <w:rPr>
          <w:noProof/>
        </w:rPr>
      </w:pPr>
      <w:r w:rsidRPr="007B7EB7">
        <w:t>2.2.1.</w:t>
      </w:r>
      <w:r w:rsidRPr="007B7EB7">
        <w:tab/>
      </w:r>
      <w:r w:rsidR="007F4C85" w:rsidRPr="004F6DAA">
        <w:rPr>
          <w:noProof/>
        </w:rPr>
        <w:t>Uzasadnienie dla systemu zarządzania, mechanizmów finansowania wykonania, warunków płatności</w:t>
      </w:r>
      <w:r w:rsidR="00062BFA" w:rsidRPr="004F6DAA">
        <w:rPr>
          <w:noProof/>
        </w:rPr>
        <w:t xml:space="preserve"> i</w:t>
      </w:r>
      <w:r w:rsidR="00062BFA">
        <w:rPr>
          <w:noProof/>
        </w:rPr>
        <w:t> </w:t>
      </w:r>
      <w:r w:rsidR="00062BFA" w:rsidRPr="004F6DAA">
        <w:rPr>
          <w:noProof/>
        </w:rPr>
        <w:t>pro</w:t>
      </w:r>
      <w:r w:rsidR="007F4C85" w:rsidRPr="004F6DAA">
        <w:rPr>
          <w:noProof/>
        </w:rPr>
        <w:t>ponowanej strategii kontroli</w:t>
      </w:r>
    </w:p>
    <w:p w14:paraId="5025EA54"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Tryb zarządzania</w:t>
      </w:r>
      <w:r w:rsidR="00062BFA" w:rsidRPr="004F6DAA">
        <w:rPr>
          <w:noProof/>
        </w:rPr>
        <w:t xml:space="preserve"> w</w:t>
      </w:r>
      <w:r w:rsidR="00062BFA">
        <w:rPr>
          <w:noProof/>
        </w:rPr>
        <w:t> </w:t>
      </w:r>
      <w:r w:rsidR="00062BFA" w:rsidRPr="004F6DAA">
        <w:rPr>
          <w:noProof/>
        </w:rPr>
        <w:t>odn</w:t>
      </w:r>
      <w:r w:rsidRPr="004F6DAA">
        <w:rPr>
          <w:noProof/>
        </w:rPr>
        <w:t>iesieniu do inicjatywy to zarządzanie bezpośrednie przez Komisję. Komisja będzie wspierana przez grupę ekspertów,</w:t>
      </w:r>
      <w:r w:rsidR="00062BFA" w:rsidRPr="004F6DAA">
        <w:rPr>
          <w:noProof/>
        </w:rPr>
        <w:t xml:space="preserve"> w</w:t>
      </w:r>
      <w:r w:rsidR="00062BFA">
        <w:rPr>
          <w:noProof/>
        </w:rPr>
        <w:t> </w:t>
      </w:r>
      <w:r w:rsidR="00062BFA" w:rsidRPr="004F6DAA">
        <w:rPr>
          <w:noProof/>
        </w:rPr>
        <w:t>skł</w:t>
      </w:r>
      <w:r w:rsidRPr="004F6DAA">
        <w:rPr>
          <w:noProof/>
        </w:rPr>
        <w:t>ad której wejdą przedstawiciele państw członkowskich</w:t>
      </w:r>
      <w:r w:rsidR="00062BFA" w:rsidRPr="004F6DAA">
        <w:rPr>
          <w:noProof/>
        </w:rPr>
        <w:t xml:space="preserve"> i</w:t>
      </w:r>
      <w:r w:rsidR="00062BFA">
        <w:rPr>
          <w:noProof/>
        </w:rPr>
        <w:t> </w:t>
      </w:r>
      <w:r w:rsidR="00062BFA" w:rsidRPr="004F6DAA">
        <w:rPr>
          <w:noProof/>
        </w:rPr>
        <w:t>zai</w:t>
      </w:r>
      <w:r w:rsidRPr="004F6DAA">
        <w:rPr>
          <w:noProof/>
        </w:rPr>
        <w:t>nteresowane strony: grupa ekspertów Komisji/wielostronna platforma ds. ochrony</w:t>
      </w:r>
      <w:r w:rsidR="00062BFA" w:rsidRPr="004F6DAA">
        <w:rPr>
          <w:noProof/>
        </w:rPr>
        <w:t xml:space="preserve"> i</w:t>
      </w:r>
      <w:r w:rsidR="00062BFA">
        <w:rPr>
          <w:noProof/>
        </w:rPr>
        <w:t> </w:t>
      </w:r>
      <w:r w:rsidR="00062BFA" w:rsidRPr="004F6DAA">
        <w:rPr>
          <w:noProof/>
        </w:rPr>
        <w:t>odt</w:t>
      </w:r>
      <w:r w:rsidRPr="004F6DAA">
        <w:rPr>
          <w:noProof/>
        </w:rPr>
        <w:t xml:space="preserve">warzania światowych lasów. Komisja będzie również wspierana przez komitet. </w:t>
      </w:r>
    </w:p>
    <w:p w14:paraId="599B6C82"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Ogólnie rzecz biorąc, inicjatywa wiąże się</w:t>
      </w:r>
      <w:r w:rsidR="00062BFA" w:rsidRPr="004F6DAA">
        <w:rPr>
          <w:noProof/>
        </w:rPr>
        <w:t xml:space="preserve"> z</w:t>
      </w:r>
      <w:r w:rsidR="00062BFA">
        <w:rPr>
          <w:noProof/>
        </w:rPr>
        <w:t> </w:t>
      </w:r>
      <w:r w:rsidR="00062BFA" w:rsidRPr="004F6DAA">
        <w:rPr>
          <w:noProof/>
        </w:rPr>
        <w:t>wyd</w:t>
      </w:r>
      <w:r w:rsidRPr="004F6DAA">
        <w:rPr>
          <w:noProof/>
        </w:rPr>
        <w:t>atkami na personel, udzielaniem zamówień publicznych</w:t>
      </w:r>
      <w:r w:rsidR="00062BFA" w:rsidRPr="004F6DAA">
        <w:rPr>
          <w:noProof/>
        </w:rPr>
        <w:t xml:space="preserve"> i</w:t>
      </w:r>
      <w:r w:rsidR="00062BFA">
        <w:rPr>
          <w:noProof/>
        </w:rPr>
        <w:t> </w:t>
      </w:r>
      <w:r w:rsidR="00062BFA" w:rsidRPr="004F6DAA">
        <w:rPr>
          <w:noProof/>
        </w:rPr>
        <w:t>ewe</w:t>
      </w:r>
      <w:r w:rsidRPr="004F6DAA">
        <w:rPr>
          <w:noProof/>
        </w:rPr>
        <w:t>ntualnie porozumieniami administracyjnymi. Zastosowanie mają standardowe zasady dotyczące tego typu wydatków.</w:t>
      </w:r>
    </w:p>
    <w:p w14:paraId="3A9EA8D2" w14:textId="77777777" w:rsidR="007F4C85" w:rsidRPr="004F6DAA" w:rsidRDefault="007B7EB7" w:rsidP="007B7EB7">
      <w:pPr>
        <w:pStyle w:val="ManualHeading3"/>
        <w:rPr>
          <w:bCs/>
          <w:noProof/>
          <w:szCs w:val="24"/>
        </w:rPr>
      </w:pPr>
      <w:r w:rsidRPr="007B7EB7">
        <w:t>2.2.2.</w:t>
      </w:r>
      <w:r w:rsidRPr="007B7EB7">
        <w:tab/>
      </w:r>
      <w:r w:rsidR="007F4C85" w:rsidRPr="004F6DAA">
        <w:rPr>
          <w:noProof/>
        </w:rPr>
        <w:t>Informacje dotyczące zidentyfikowanego ryzyka</w:t>
      </w:r>
      <w:r w:rsidR="00062BFA" w:rsidRPr="004F6DAA">
        <w:rPr>
          <w:noProof/>
        </w:rPr>
        <w:t xml:space="preserve"> i</w:t>
      </w:r>
      <w:r w:rsidR="00062BFA">
        <w:rPr>
          <w:noProof/>
        </w:rPr>
        <w:t> </w:t>
      </w:r>
      <w:r w:rsidR="00062BFA" w:rsidRPr="004F6DAA">
        <w:rPr>
          <w:noProof/>
        </w:rPr>
        <w:t>sys</w:t>
      </w:r>
      <w:r w:rsidR="007F4C85" w:rsidRPr="004F6DAA">
        <w:rPr>
          <w:noProof/>
        </w:rPr>
        <w:t>temów kontroli wewnętrznej ustanowionych</w:t>
      </w:r>
      <w:r w:rsidR="00062BFA" w:rsidRPr="004F6DAA">
        <w:rPr>
          <w:noProof/>
        </w:rPr>
        <w:t xml:space="preserve"> w</w:t>
      </w:r>
      <w:r w:rsidR="00062BFA">
        <w:rPr>
          <w:noProof/>
        </w:rPr>
        <w:t> </w:t>
      </w:r>
      <w:r w:rsidR="00062BFA" w:rsidRPr="004F6DAA">
        <w:rPr>
          <w:noProof/>
        </w:rPr>
        <w:t>cel</w:t>
      </w:r>
      <w:r w:rsidR="007F4C85" w:rsidRPr="004F6DAA">
        <w:rPr>
          <w:noProof/>
        </w:rPr>
        <w:t>u jego ograniczenia</w:t>
      </w:r>
    </w:p>
    <w:p w14:paraId="73BF41D9"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Ogólnie rzecz biorąc, inicjatywa wiąże się</w:t>
      </w:r>
      <w:r w:rsidR="00062BFA" w:rsidRPr="004F6DAA">
        <w:rPr>
          <w:noProof/>
        </w:rPr>
        <w:t xml:space="preserve"> z</w:t>
      </w:r>
      <w:r w:rsidR="00062BFA">
        <w:rPr>
          <w:noProof/>
        </w:rPr>
        <w:t> </w:t>
      </w:r>
      <w:r w:rsidR="00062BFA" w:rsidRPr="004F6DAA">
        <w:rPr>
          <w:noProof/>
        </w:rPr>
        <w:t>wyd</w:t>
      </w:r>
      <w:r w:rsidRPr="004F6DAA">
        <w:rPr>
          <w:noProof/>
        </w:rPr>
        <w:t>atkami na personel, udzielaniem zamówień publicznych</w:t>
      </w:r>
      <w:r w:rsidR="00062BFA" w:rsidRPr="004F6DAA">
        <w:rPr>
          <w:noProof/>
        </w:rPr>
        <w:t xml:space="preserve"> i</w:t>
      </w:r>
      <w:r w:rsidR="00062BFA">
        <w:rPr>
          <w:noProof/>
        </w:rPr>
        <w:t> </w:t>
      </w:r>
      <w:r w:rsidR="00062BFA" w:rsidRPr="004F6DAA">
        <w:rPr>
          <w:noProof/>
        </w:rPr>
        <w:t>ewe</w:t>
      </w:r>
      <w:r w:rsidRPr="004F6DAA">
        <w:rPr>
          <w:noProof/>
        </w:rPr>
        <w:t>ntualnie porozumieniami administracyjnymi. Zastosowanie mają standardowe zasady dotyczące tego typu wydatków.</w:t>
      </w:r>
    </w:p>
    <w:p w14:paraId="0B4E1F91" w14:textId="77777777" w:rsidR="007F4C85" w:rsidRPr="004F6DAA" w:rsidRDefault="007B7EB7" w:rsidP="007B7EB7">
      <w:pPr>
        <w:pStyle w:val="ManualHeading3"/>
        <w:rPr>
          <w:noProof/>
        </w:rPr>
      </w:pPr>
      <w:r w:rsidRPr="007B7EB7">
        <w:t>2.2.3.</w:t>
      </w:r>
      <w:r w:rsidRPr="007B7EB7">
        <w:tab/>
      </w:r>
      <w:r w:rsidR="007F4C85" w:rsidRPr="004F6DAA">
        <w:rPr>
          <w:noProof/>
        </w:rPr>
        <w:t>Oszacowanie</w:t>
      </w:r>
      <w:r w:rsidR="00062BFA" w:rsidRPr="004F6DAA">
        <w:rPr>
          <w:noProof/>
        </w:rPr>
        <w:t xml:space="preserve"> i</w:t>
      </w:r>
      <w:r w:rsidR="00062BFA">
        <w:rPr>
          <w:noProof/>
        </w:rPr>
        <w:t> </w:t>
      </w:r>
      <w:r w:rsidR="00062BFA" w:rsidRPr="004F6DAA">
        <w:rPr>
          <w:noProof/>
        </w:rPr>
        <w:t>uza</w:t>
      </w:r>
      <w:r w:rsidR="007F4C85" w:rsidRPr="004F6DAA">
        <w:rPr>
          <w:noProof/>
        </w:rPr>
        <w:t>sadnienie efektywności kosztowej kontroli (relacja kosztów kontroli do wartości zarządzanych funduszy powiązanych) oraz ocena prawdopodobnego ryzyka błędu (przy płatności</w:t>
      </w:r>
      <w:r w:rsidR="00062BFA" w:rsidRPr="004F6DAA">
        <w:rPr>
          <w:noProof/>
        </w:rPr>
        <w:t xml:space="preserve"> i</w:t>
      </w:r>
      <w:r w:rsidR="00062BFA">
        <w:rPr>
          <w:noProof/>
        </w:rPr>
        <w:t> </w:t>
      </w:r>
      <w:r w:rsidR="00062BFA" w:rsidRPr="004F6DAA">
        <w:rPr>
          <w:noProof/>
        </w:rPr>
        <w:t>prz</w:t>
      </w:r>
      <w:r w:rsidR="007F4C85" w:rsidRPr="004F6DAA">
        <w:rPr>
          <w:noProof/>
        </w:rPr>
        <w:t xml:space="preserve">y zamykaniu) </w:t>
      </w:r>
    </w:p>
    <w:p w14:paraId="4F1DA95C"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Ogólnie rzecz biorąc, inicjatywa wiąże się</w:t>
      </w:r>
      <w:r w:rsidR="00062BFA" w:rsidRPr="004F6DAA">
        <w:rPr>
          <w:noProof/>
        </w:rPr>
        <w:t xml:space="preserve"> z</w:t>
      </w:r>
      <w:r w:rsidR="00062BFA">
        <w:rPr>
          <w:noProof/>
        </w:rPr>
        <w:t> </w:t>
      </w:r>
      <w:r w:rsidR="00062BFA" w:rsidRPr="004F6DAA">
        <w:rPr>
          <w:noProof/>
        </w:rPr>
        <w:t>wyd</w:t>
      </w:r>
      <w:r w:rsidRPr="004F6DAA">
        <w:rPr>
          <w:noProof/>
        </w:rPr>
        <w:t>atkami na personel, udzielaniem zamówień publicznych</w:t>
      </w:r>
      <w:r w:rsidR="00062BFA" w:rsidRPr="004F6DAA">
        <w:rPr>
          <w:noProof/>
        </w:rPr>
        <w:t xml:space="preserve"> i</w:t>
      </w:r>
      <w:r w:rsidR="00062BFA">
        <w:rPr>
          <w:noProof/>
        </w:rPr>
        <w:t> </w:t>
      </w:r>
      <w:r w:rsidR="00062BFA" w:rsidRPr="004F6DAA">
        <w:rPr>
          <w:noProof/>
        </w:rPr>
        <w:t>ewe</w:t>
      </w:r>
      <w:r w:rsidRPr="004F6DAA">
        <w:rPr>
          <w:noProof/>
        </w:rPr>
        <w:t>ntualnie porozumieniami administracyjnymi. Zastosowanie mają standardowe zasady dotyczące tego typu wydatków.</w:t>
      </w:r>
    </w:p>
    <w:p w14:paraId="3FF7044A" w14:textId="77777777" w:rsidR="007F4C85" w:rsidRPr="004F6DAA" w:rsidRDefault="007B7EB7" w:rsidP="007B7EB7">
      <w:pPr>
        <w:pStyle w:val="ManualHeading2"/>
        <w:rPr>
          <w:bCs/>
          <w:noProof/>
          <w:szCs w:val="24"/>
        </w:rPr>
      </w:pPr>
      <w:r w:rsidRPr="007B7EB7">
        <w:t>2.3.</w:t>
      </w:r>
      <w:r w:rsidRPr="007B7EB7">
        <w:tab/>
      </w:r>
      <w:r w:rsidR="007F4C85" w:rsidRPr="004F6DAA">
        <w:rPr>
          <w:noProof/>
        </w:rPr>
        <w:t>Środki zapobiegania nadużyciom finansowym</w:t>
      </w:r>
      <w:r w:rsidR="00062BFA" w:rsidRPr="004F6DAA">
        <w:rPr>
          <w:noProof/>
        </w:rPr>
        <w:t xml:space="preserve"> i</w:t>
      </w:r>
      <w:r w:rsidR="00062BFA">
        <w:rPr>
          <w:noProof/>
        </w:rPr>
        <w:t> </w:t>
      </w:r>
      <w:r w:rsidR="00062BFA" w:rsidRPr="004F6DAA">
        <w:rPr>
          <w:noProof/>
        </w:rPr>
        <w:t>nie</w:t>
      </w:r>
      <w:r w:rsidR="007F4C85" w:rsidRPr="004F6DAA">
        <w:rPr>
          <w:noProof/>
        </w:rPr>
        <w:t xml:space="preserve">prawidłowościom </w:t>
      </w:r>
    </w:p>
    <w:p w14:paraId="026C6ADF" w14:textId="77777777" w:rsidR="007F4C85" w:rsidRPr="004F6DAA" w:rsidRDefault="007F4C85" w:rsidP="007F4C85">
      <w:pPr>
        <w:pStyle w:val="Text1"/>
        <w:rPr>
          <w:i/>
          <w:noProof/>
          <w:sz w:val="20"/>
        </w:rPr>
      </w:pPr>
      <w:r w:rsidRPr="004F6DAA">
        <w:rPr>
          <w:i/>
          <w:noProof/>
          <w:sz w:val="20"/>
        </w:rPr>
        <w:t>Określić istniejące lub przewidywane środki zapobiegania</w:t>
      </w:r>
      <w:r w:rsidR="00062BFA" w:rsidRPr="004F6DAA">
        <w:rPr>
          <w:i/>
          <w:noProof/>
          <w:sz w:val="20"/>
        </w:rPr>
        <w:t xml:space="preserve"> i</w:t>
      </w:r>
      <w:r w:rsidR="00062BFA">
        <w:rPr>
          <w:i/>
          <w:noProof/>
          <w:sz w:val="20"/>
        </w:rPr>
        <w:t> </w:t>
      </w:r>
      <w:r w:rsidR="00062BFA" w:rsidRPr="004F6DAA">
        <w:rPr>
          <w:i/>
          <w:noProof/>
          <w:sz w:val="20"/>
        </w:rPr>
        <w:t>och</w:t>
      </w:r>
      <w:r w:rsidRPr="004F6DAA">
        <w:rPr>
          <w:i/>
          <w:noProof/>
          <w:sz w:val="20"/>
        </w:rPr>
        <w:t>rony, np. ze strategii zwalczania nadużyć finansowych.</w:t>
      </w:r>
    </w:p>
    <w:p w14:paraId="144C9447"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r w:rsidRPr="004F6DAA">
        <w:rPr>
          <w:noProof/>
        </w:rPr>
        <w:t>Ogólnie rzecz biorąc, inicjatywa wiąże się</w:t>
      </w:r>
      <w:r w:rsidR="00062BFA" w:rsidRPr="004F6DAA">
        <w:rPr>
          <w:noProof/>
        </w:rPr>
        <w:t xml:space="preserve"> z</w:t>
      </w:r>
      <w:r w:rsidR="00062BFA">
        <w:rPr>
          <w:noProof/>
        </w:rPr>
        <w:t> </w:t>
      </w:r>
      <w:r w:rsidR="00062BFA" w:rsidRPr="004F6DAA">
        <w:rPr>
          <w:noProof/>
        </w:rPr>
        <w:t>wyd</w:t>
      </w:r>
      <w:r w:rsidRPr="004F6DAA">
        <w:rPr>
          <w:noProof/>
        </w:rPr>
        <w:t>atkami na personel, udzielaniem zamówień publicznych</w:t>
      </w:r>
      <w:r w:rsidR="00062BFA" w:rsidRPr="004F6DAA">
        <w:rPr>
          <w:noProof/>
        </w:rPr>
        <w:t xml:space="preserve"> i</w:t>
      </w:r>
      <w:r w:rsidR="00062BFA">
        <w:rPr>
          <w:noProof/>
        </w:rPr>
        <w:t> </w:t>
      </w:r>
      <w:r w:rsidR="00062BFA" w:rsidRPr="004F6DAA">
        <w:rPr>
          <w:noProof/>
        </w:rPr>
        <w:t>ewe</w:t>
      </w:r>
      <w:r w:rsidRPr="004F6DAA">
        <w:rPr>
          <w:noProof/>
        </w:rPr>
        <w:t>ntualnie porozumieniami administracyjnymi. Zastosowanie mają standardowe zasady dotyczące tego typu wydatków.</w:t>
      </w:r>
    </w:p>
    <w:p w14:paraId="58E1222A" w14:textId="77777777" w:rsidR="007F4C85" w:rsidRPr="004F6DAA" w:rsidRDefault="007F4C85" w:rsidP="007F4C85">
      <w:pPr>
        <w:rPr>
          <w:noProof/>
        </w:rPr>
        <w:sectPr w:rsidR="007F4C85" w:rsidRPr="004F6DAA" w:rsidSect="00007A34">
          <w:pgSz w:w="11907" w:h="16840" w:code="9"/>
          <w:pgMar w:top="1134" w:right="1418" w:bottom="1134" w:left="1418" w:header="709" w:footer="709" w:gutter="0"/>
          <w:cols w:space="708"/>
          <w:docGrid w:linePitch="360"/>
        </w:sectPr>
      </w:pPr>
    </w:p>
    <w:p w14:paraId="4FE882D8" w14:textId="77777777" w:rsidR="007F4C85" w:rsidRPr="004F6DAA" w:rsidRDefault="007B7EB7" w:rsidP="007B7EB7">
      <w:pPr>
        <w:pStyle w:val="ManualHeading1"/>
        <w:rPr>
          <w:bCs/>
          <w:noProof/>
          <w:szCs w:val="24"/>
        </w:rPr>
      </w:pPr>
      <w:r w:rsidRPr="007B7EB7">
        <w:t>3.</w:t>
      </w:r>
      <w:r w:rsidRPr="007B7EB7">
        <w:tab/>
      </w:r>
      <w:r w:rsidR="007F4C85" w:rsidRPr="004F6DAA">
        <w:rPr>
          <w:noProof/>
        </w:rPr>
        <w:t xml:space="preserve">SZACUNKOWY WPŁYW FINANSOWY WNIOSKU/INICJATYWY </w:t>
      </w:r>
    </w:p>
    <w:p w14:paraId="25F06D4A" w14:textId="77777777" w:rsidR="007F4C85" w:rsidRPr="004F6DAA" w:rsidRDefault="007B7EB7" w:rsidP="007B7EB7">
      <w:pPr>
        <w:pStyle w:val="ManualHeading2"/>
        <w:rPr>
          <w:noProof/>
        </w:rPr>
      </w:pPr>
      <w:r w:rsidRPr="007B7EB7">
        <w:t>3.1.</w:t>
      </w:r>
      <w:r w:rsidRPr="007B7EB7">
        <w:tab/>
      </w:r>
      <w:r w:rsidR="007F4C85" w:rsidRPr="004F6DAA">
        <w:rPr>
          <w:noProof/>
        </w:rPr>
        <w:t>Działy wieloletnich ram finansowych</w:t>
      </w:r>
      <w:r w:rsidR="00062BFA" w:rsidRPr="004F6DAA">
        <w:rPr>
          <w:noProof/>
        </w:rPr>
        <w:t xml:space="preserve"> i</w:t>
      </w:r>
      <w:r w:rsidR="00062BFA">
        <w:rPr>
          <w:noProof/>
        </w:rPr>
        <w:t> </w:t>
      </w:r>
      <w:r w:rsidR="00062BFA" w:rsidRPr="004F6DAA">
        <w:rPr>
          <w:noProof/>
        </w:rPr>
        <w:t>lin</w:t>
      </w:r>
      <w:r w:rsidR="007F4C85" w:rsidRPr="004F6DAA">
        <w:rPr>
          <w:noProof/>
        </w:rPr>
        <w:t xml:space="preserve">ie budżetowe po stronie wydatków, na które wniosek/inicjatywa ma wpływ </w:t>
      </w:r>
    </w:p>
    <w:p w14:paraId="139D7B0A" w14:textId="77777777" w:rsidR="007F4C85" w:rsidRPr="004F6DAA" w:rsidRDefault="007F4C85" w:rsidP="007F4C85">
      <w:pPr>
        <w:pStyle w:val="ListBullet1"/>
        <w:rPr>
          <w:noProof/>
        </w:rPr>
      </w:pPr>
      <w:r w:rsidRPr="004F6DAA">
        <w:rPr>
          <w:noProof/>
        </w:rPr>
        <w:t xml:space="preserve">Istniejące linie budżetowe </w:t>
      </w:r>
    </w:p>
    <w:p w14:paraId="1B85E93B" w14:textId="77777777" w:rsidR="007F4C85" w:rsidRPr="004F6DAA" w:rsidRDefault="007F4C85" w:rsidP="007F4C85">
      <w:pPr>
        <w:pStyle w:val="Text1"/>
        <w:rPr>
          <w:i/>
          <w:noProof/>
        </w:rPr>
      </w:pPr>
      <w:r w:rsidRPr="004F6DAA">
        <w:rPr>
          <w:i/>
          <w:noProof/>
          <w:u w:val="single"/>
        </w:rPr>
        <w:t>Według</w:t>
      </w:r>
      <w:r w:rsidRPr="004F6DAA">
        <w:rPr>
          <w:i/>
          <w:noProof/>
        </w:rPr>
        <w:t xml:space="preserve"> działów wieloletnich ram finansowych</w:t>
      </w:r>
      <w:r w:rsidR="00062BFA" w:rsidRPr="004F6DAA">
        <w:rPr>
          <w:i/>
          <w:noProof/>
        </w:rPr>
        <w:t xml:space="preserve"> i</w:t>
      </w:r>
      <w:r w:rsidR="00062BFA">
        <w:rPr>
          <w:i/>
          <w:noProof/>
        </w:rPr>
        <w:t> </w:t>
      </w:r>
      <w:r w:rsidR="00062BFA" w:rsidRPr="004F6DAA">
        <w:rPr>
          <w:i/>
          <w:noProof/>
        </w:rPr>
        <w:t>lin</w:t>
      </w:r>
      <w:r w:rsidRPr="004F6DAA">
        <w:rPr>
          <w:i/>
          <w:noProof/>
        </w:rPr>
        <w:t>ii budżetowych</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F4C85" w:rsidRPr="004F6DAA" w14:paraId="53588CE8" w14:textId="77777777" w:rsidTr="00992B23">
        <w:tc>
          <w:tcPr>
            <w:tcW w:w="1080" w:type="dxa"/>
            <w:vMerge w:val="restart"/>
            <w:vAlign w:val="center"/>
          </w:tcPr>
          <w:p w14:paraId="7B51318E" w14:textId="77777777" w:rsidR="007F4C85" w:rsidRPr="004F6DAA" w:rsidRDefault="007F4C85" w:rsidP="00992B23">
            <w:pPr>
              <w:spacing w:before="60" w:after="60"/>
              <w:jc w:val="center"/>
              <w:rPr>
                <w:noProof/>
              </w:rPr>
            </w:pPr>
            <w:r w:rsidRPr="004F6DAA">
              <w:rPr>
                <w:noProof/>
                <w:sz w:val="18"/>
              </w:rPr>
              <w:t>Dział wieloletnich ram finansowych</w:t>
            </w:r>
          </w:p>
        </w:tc>
        <w:tc>
          <w:tcPr>
            <w:tcW w:w="3960" w:type="dxa"/>
            <w:vAlign w:val="center"/>
          </w:tcPr>
          <w:p w14:paraId="74E70C78" w14:textId="77777777" w:rsidR="007F4C85" w:rsidRPr="004F6DAA" w:rsidRDefault="007F4C85" w:rsidP="00992B23">
            <w:pPr>
              <w:spacing w:before="60" w:after="60"/>
              <w:jc w:val="center"/>
              <w:rPr>
                <w:noProof/>
              </w:rPr>
            </w:pPr>
            <w:r w:rsidRPr="004F6DAA">
              <w:rPr>
                <w:noProof/>
                <w:sz w:val="20"/>
              </w:rPr>
              <w:t>Linia budżetowa</w:t>
            </w:r>
          </w:p>
        </w:tc>
        <w:tc>
          <w:tcPr>
            <w:tcW w:w="1080" w:type="dxa"/>
            <w:vAlign w:val="center"/>
          </w:tcPr>
          <w:p w14:paraId="5ED64969" w14:textId="77777777" w:rsidR="007F4C85" w:rsidRPr="004F6DAA" w:rsidRDefault="007F4C85" w:rsidP="00D71412">
            <w:pPr>
              <w:spacing w:before="60" w:after="60"/>
              <w:jc w:val="center"/>
              <w:rPr>
                <w:noProof/>
              </w:rPr>
            </w:pPr>
            <w:r w:rsidRPr="004F6DAA">
              <w:rPr>
                <w:noProof/>
                <w:sz w:val="18"/>
              </w:rPr>
              <w:t>Rodzaj środków</w:t>
            </w:r>
          </w:p>
        </w:tc>
        <w:tc>
          <w:tcPr>
            <w:tcW w:w="4440" w:type="dxa"/>
            <w:gridSpan w:val="4"/>
            <w:vAlign w:val="center"/>
          </w:tcPr>
          <w:p w14:paraId="5DCB17AF" w14:textId="77777777" w:rsidR="007F4C85" w:rsidRPr="004F6DAA" w:rsidRDefault="007F4C85" w:rsidP="00992B23">
            <w:pPr>
              <w:spacing w:before="60" w:after="60"/>
              <w:jc w:val="center"/>
              <w:rPr>
                <w:noProof/>
              </w:rPr>
            </w:pPr>
            <w:r w:rsidRPr="004F6DAA">
              <w:rPr>
                <w:noProof/>
                <w:sz w:val="20"/>
              </w:rPr>
              <w:t xml:space="preserve">Wkład </w:t>
            </w:r>
          </w:p>
        </w:tc>
      </w:tr>
      <w:tr w:rsidR="007F4C85" w:rsidRPr="004F6DAA" w14:paraId="244F738E" w14:textId="77777777" w:rsidTr="00992B23">
        <w:tc>
          <w:tcPr>
            <w:tcW w:w="1080" w:type="dxa"/>
            <w:vMerge/>
            <w:vAlign w:val="center"/>
          </w:tcPr>
          <w:p w14:paraId="0722958C" w14:textId="77777777" w:rsidR="007F4C85" w:rsidRPr="004F6DAA" w:rsidRDefault="007F4C85" w:rsidP="00992B23">
            <w:pPr>
              <w:jc w:val="center"/>
              <w:rPr>
                <w:noProof/>
              </w:rPr>
            </w:pPr>
          </w:p>
        </w:tc>
        <w:tc>
          <w:tcPr>
            <w:tcW w:w="3960" w:type="dxa"/>
            <w:vAlign w:val="center"/>
          </w:tcPr>
          <w:p w14:paraId="54CFD999" w14:textId="77777777" w:rsidR="007F4C85" w:rsidRPr="004F6DAA" w:rsidRDefault="007F4C85" w:rsidP="000557B7">
            <w:pPr>
              <w:rPr>
                <w:noProof/>
              </w:rPr>
            </w:pPr>
            <w:r w:rsidRPr="004F6DAA">
              <w:rPr>
                <w:noProof/>
                <w:sz w:val="20"/>
              </w:rPr>
              <w:t xml:space="preserve">Numer </w:t>
            </w:r>
          </w:p>
        </w:tc>
        <w:tc>
          <w:tcPr>
            <w:tcW w:w="1080" w:type="dxa"/>
            <w:vAlign w:val="center"/>
          </w:tcPr>
          <w:p w14:paraId="44DBB632" w14:textId="77777777" w:rsidR="007F4C85" w:rsidRPr="004F6DAA" w:rsidRDefault="007F4C85" w:rsidP="00992B23">
            <w:pPr>
              <w:jc w:val="center"/>
              <w:rPr>
                <w:noProof/>
              </w:rPr>
            </w:pPr>
            <w:r w:rsidRPr="004F6DAA">
              <w:rPr>
                <w:noProof/>
                <w:sz w:val="18"/>
              </w:rPr>
              <w:t>Zróżn./niezróżn.</w:t>
            </w:r>
            <w:r w:rsidRPr="004F6DAA">
              <w:rPr>
                <w:rStyle w:val="Odwoanieprzypisudolnego"/>
                <w:noProof/>
                <w:sz w:val="18"/>
              </w:rPr>
              <w:footnoteReference w:id="57"/>
            </w:r>
          </w:p>
        </w:tc>
        <w:tc>
          <w:tcPr>
            <w:tcW w:w="956" w:type="dxa"/>
            <w:vAlign w:val="center"/>
          </w:tcPr>
          <w:p w14:paraId="3BE9806B" w14:textId="77777777" w:rsidR="007F4C85" w:rsidRPr="004F6DAA" w:rsidRDefault="007F4C85" w:rsidP="00992B23">
            <w:pPr>
              <w:jc w:val="center"/>
              <w:rPr>
                <w:noProof/>
              </w:rPr>
            </w:pPr>
            <w:r w:rsidRPr="004F6DAA">
              <w:rPr>
                <w:noProof/>
                <w:sz w:val="18"/>
              </w:rPr>
              <w:t>państw EFTA</w:t>
            </w:r>
            <w:r w:rsidRPr="004F6DAA">
              <w:rPr>
                <w:rStyle w:val="Odwoanieprzypisudolnego"/>
                <w:noProof/>
                <w:sz w:val="18"/>
              </w:rPr>
              <w:footnoteReference w:id="58"/>
            </w:r>
          </w:p>
          <w:p w14:paraId="07F06410" w14:textId="77777777" w:rsidR="007F4C85" w:rsidRPr="004F6DAA" w:rsidRDefault="007F4C85" w:rsidP="00992B23">
            <w:pPr>
              <w:spacing w:before="0" w:after="0"/>
              <w:jc w:val="center"/>
              <w:rPr>
                <w:b/>
                <w:noProof/>
                <w:sz w:val="18"/>
              </w:rPr>
            </w:pPr>
          </w:p>
        </w:tc>
        <w:tc>
          <w:tcPr>
            <w:tcW w:w="1080" w:type="dxa"/>
            <w:vAlign w:val="center"/>
          </w:tcPr>
          <w:p w14:paraId="2C3B6F76" w14:textId="77777777" w:rsidR="007F4C85" w:rsidRPr="004F6DAA" w:rsidRDefault="007F4C85" w:rsidP="00992B23">
            <w:pPr>
              <w:jc w:val="center"/>
              <w:rPr>
                <w:noProof/>
              </w:rPr>
            </w:pPr>
            <w:r w:rsidRPr="004F6DAA">
              <w:rPr>
                <w:noProof/>
                <w:sz w:val="18"/>
              </w:rPr>
              <w:t>krajów kandydujących</w:t>
            </w:r>
            <w:r w:rsidRPr="004F6DAA">
              <w:rPr>
                <w:rStyle w:val="Odwoanieprzypisudolnego"/>
                <w:noProof/>
                <w:sz w:val="18"/>
              </w:rPr>
              <w:footnoteReference w:id="59"/>
            </w:r>
          </w:p>
          <w:p w14:paraId="7F2FDDCD" w14:textId="77777777" w:rsidR="007F4C85" w:rsidRPr="004F6DAA" w:rsidRDefault="007F4C85" w:rsidP="00992B23">
            <w:pPr>
              <w:spacing w:before="0" w:after="0"/>
              <w:jc w:val="center"/>
              <w:rPr>
                <w:noProof/>
                <w:sz w:val="18"/>
              </w:rPr>
            </w:pPr>
          </w:p>
        </w:tc>
        <w:tc>
          <w:tcPr>
            <w:tcW w:w="956" w:type="dxa"/>
            <w:vAlign w:val="center"/>
          </w:tcPr>
          <w:p w14:paraId="6A5CFCCD" w14:textId="77777777" w:rsidR="007F4C85" w:rsidRPr="004F6DAA" w:rsidRDefault="007F4C85" w:rsidP="00992B23">
            <w:pPr>
              <w:jc w:val="center"/>
              <w:rPr>
                <w:noProof/>
                <w:sz w:val="18"/>
              </w:rPr>
            </w:pPr>
            <w:r w:rsidRPr="004F6DAA">
              <w:rPr>
                <w:noProof/>
                <w:sz w:val="18"/>
              </w:rPr>
              <w:t>państw trzecich</w:t>
            </w:r>
          </w:p>
        </w:tc>
        <w:tc>
          <w:tcPr>
            <w:tcW w:w="1448" w:type="dxa"/>
            <w:vAlign w:val="center"/>
          </w:tcPr>
          <w:p w14:paraId="0C5B4414" w14:textId="77777777" w:rsidR="007F4C85" w:rsidRPr="004F6DAA" w:rsidRDefault="007F4C85" w:rsidP="00992B23">
            <w:pPr>
              <w:jc w:val="center"/>
              <w:rPr>
                <w:noProof/>
              </w:rPr>
            </w:pPr>
            <w:r w:rsidRPr="004F6DAA">
              <w:rPr>
                <w:noProof/>
                <w:sz w:val="16"/>
              </w:rPr>
              <w:t xml:space="preserve">w rozumieniu </w:t>
            </w:r>
            <w:r w:rsidRPr="00062BFA">
              <w:rPr>
                <w:noProof/>
                <w:sz w:val="16"/>
              </w:rPr>
              <w:t>art.</w:t>
            </w:r>
            <w:r w:rsidR="00062BFA" w:rsidRPr="00062BFA">
              <w:rPr>
                <w:noProof/>
                <w:sz w:val="16"/>
              </w:rPr>
              <w:t> </w:t>
            </w:r>
            <w:r w:rsidRPr="00062BFA">
              <w:rPr>
                <w:noProof/>
                <w:sz w:val="16"/>
              </w:rPr>
              <w:t>2</w:t>
            </w:r>
            <w:r w:rsidRPr="004F6DAA">
              <w:rPr>
                <w:noProof/>
                <w:sz w:val="16"/>
              </w:rPr>
              <w:t xml:space="preserve">1 </w:t>
            </w:r>
            <w:r w:rsidRPr="00062BFA">
              <w:rPr>
                <w:noProof/>
                <w:sz w:val="16"/>
              </w:rPr>
              <w:t>ust.</w:t>
            </w:r>
            <w:r w:rsidR="00062BFA" w:rsidRPr="00062BFA">
              <w:rPr>
                <w:noProof/>
                <w:sz w:val="16"/>
              </w:rPr>
              <w:t> </w:t>
            </w:r>
            <w:r w:rsidRPr="00062BFA">
              <w:rPr>
                <w:noProof/>
                <w:sz w:val="16"/>
              </w:rPr>
              <w:t>2</w:t>
            </w:r>
            <w:r w:rsidRPr="004F6DAA">
              <w:rPr>
                <w:noProof/>
                <w:sz w:val="16"/>
              </w:rPr>
              <w:t xml:space="preserve"> </w:t>
            </w:r>
            <w:r w:rsidRPr="00062BFA">
              <w:rPr>
                <w:noProof/>
                <w:sz w:val="16"/>
              </w:rPr>
              <w:t>lit.</w:t>
            </w:r>
            <w:r w:rsidR="00062BFA" w:rsidRPr="00062BFA">
              <w:rPr>
                <w:noProof/>
                <w:sz w:val="16"/>
              </w:rPr>
              <w:t> </w:t>
            </w:r>
            <w:r w:rsidRPr="00062BFA">
              <w:rPr>
                <w:noProof/>
                <w:sz w:val="16"/>
              </w:rPr>
              <w:t>b)</w:t>
            </w:r>
            <w:r w:rsidRPr="004F6DAA">
              <w:rPr>
                <w:noProof/>
                <w:sz w:val="16"/>
              </w:rPr>
              <w:t xml:space="preserve"> rozporządzenia finansowego </w:t>
            </w:r>
          </w:p>
        </w:tc>
      </w:tr>
      <w:tr w:rsidR="007F4C85" w:rsidRPr="004F6DAA" w14:paraId="496708B7" w14:textId="77777777" w:rsidTr="00992B23">
        <w:tc>
          <w:tcPr>
            <w:tcW w:w="1080" w:type="dxa"/>
            <w:vAlign w:val="center"/>
          </w:tcPr>
          <w:p w14:paraId="1710E295" w14:textId="77777777" w:rsidR="007F4C85" w:rsidRPr="004F6DAA" w:rsidRDefault="007F4C85" w:rsidP="00992B23">
            <w:pPr>
              <w:jc w:val="center"/>
              <w:rPr>
                <w:noProof/>
              </w:rPr>
            </w:pPr>
            <w:r w:rsidRPr="004F6DAA">
              <w:rPr>
                <w:noProof/>
              </w:rPr>
              <w:t>3</w:t>
            </w:r>
          </w:p>
        </w:tc>
        <w:tc>
          <w:tcPr>
            <w:tcW w:w="3960" w:type="dxa"/>
            <w:vAlign w:val="center"/>
          </w:tcPr>
          <w:p w14:paraId="7DD1395A" w14:textId="77777777" w:rsidR="007F4C85" w:rsidRPr="004F6DAA" w:rsidRDefault="007F4C85" w:rsidP="00992B23">
            <w:pPr>
              <w:jc w:val="left"/>
              <w:rPr>
                <w:noProof/>
              </w:rPr>
            </w:pPr>
            <w:r w:rsidRPr="004F6DAA">
              <w:rPr>
                <w:noProof/>
              </w:rPr>
              <w:t>09 02 01 – Przyroda</w:t>
            </w:r>
            <w:r w:rsidR="00062BFA" w:rsidRPr="004F6DAA">
              <w:rPr>
                <w:noProof/>
              </w:rPr>
              <w:t xml:space="preserve"> i</w:t>
            </w:r>
            <w:r w:rsidR="00062BFA">
              <w:rPr>
                <w:noProof/>
              </w:rPr>
              <w:t> </w:t>
            </w:r>
            <w:r w:rsidR="00062BFA" w:rsidRPr="004F6DAA">
              <w:rPr>
                <w:noProof/>
              </w:rPr>
              <w:t>róż</w:t>
            </w:r>
            <w:r w:rsidRPr="004F6DAA">
              <w:rPr>
                <w:noProof/>
              </w:rPr>
              <w:t>norodność biologiczna</w:t>
            </w:r>
          </w:p>
        </w:tc>
        <w:tc>
          <w:tcPr>
            <w:tcW w:w="1080" w:type="dxa"/>
            <w:vAlign w:val="center"/>
          </w:tcPr>
          <w:p w14:paraId="5E923FFC" w14:textId="77777777" w:rsidR="007F4C85" w:rsidRPr="004F6DAA" w:rsidRDefault="007F4C85" w:rsidP="00992B23">
            <w:pPr>
              <w:jc w:val="center"/>
              <w:rPr>
                <w:noProof/>
                <w:color w:val="0000FF"/>
              </w:rPr>
            </w:pPr>
            <w:r w:rsidRPr="004F6DAA">
              <w:rPr>
                <w:noProof/>
                <w:sz w:val="22"/>
              </w:rPr>
              <w:t>Zróżn.</w:t>
            </w:r>
          </w:p>
        </w:tc>
        <w:tc>
          <w:tcPr>
            <w:tcW w:w="956" w:type="dxa"/>
            <w:vAlign w:val="center"/>
          </w:tcPr>
          <w:p w14:paraId="2BAD7DFD" w14:textId="77777777" w:rsidR="007F4C85" w:rsidRPr="004F6DAA" w:rsidRDefault="007F4C85" w:rsidP="00992B23">
            <w:pPr>
              <w:jc w:val="center"/>
              <w:rPr>
                <w:noProof/>
                <w:sz w:val="20"/>
                <w:szCs w:val="20"/>
              </w:rPr>
            </w:pPr>
            <w:r w:rsidRPr="004F6DAA">
              <w:rPr>
                <w:noProof/>
                <w:sz w:val="20"/>
                <w:szCs w:val="20"/>
              </w:rPr>
              <w:t>TAK</w:t>
            </w:r>
          </w:p>
        </w:tc>
        <w:tc>
          <w:tcPr>
            <w:tcW w:w="1080" w:type="dxa"/>
            <w:vAlign w:val="center"/>
          </w:tcPr>
          <w:p w14:paraId="39C72BC7" w14:textId="77777777" w:rsidR="007F4C85" w:rsidRPr="004F6DAA" w:rsidRDefault="007F4C85" w:rsidP="00992B23">
            <w:pPr>
              <w:jc w:val="center"/>
              <w:rPr>
                <w:noProof/>
                <w:sz w:val="20"/>
                <w:szCs w:val="20"/>
              </w:rPr>
            </w:pPr>
            <w:r w:rsidRPr="004F6DAA">
              <w:rPr>
                <w:noProof/>
                <w:sz w:val="20"/>
                <w:szCs w:val="20"/>
              </w:rPr>
              <w:t>NIE</w:t>
            </w:r>
          </w:p>
        </w:tc>
        <w:tc>
          <w:tcPr>
            <w:tcW w:w="956" w:type="dxa"/>
            <w:vAlign w:val="center"/>
          </w:tcPr>
          <w:p w14:paraId="28E7351B" w14:textId="77777777" w:rsidR="007F4C85" w:rsidRPr="004F6DAA" w:rsidRDefault="007F4C85" w:rsidP="00992B23">
            <w:pPr>
              <w:jc w:val="center"/>
              <w:rPr>
                <w:noProof/>
                <w:sz w:val="20"/>
                <w:szCs w:val="20"/>
              </w:rPr>
            </w:pPr>
            <w:r w:rsidRPr="004F6DAA">
              <w:rPr>
                <w:noProof/>
                <w:sz w:val="20"/>
                <w:szCs w:val="20"/>
              </w:rPr>
              <w:t>NIE</w:t>
            </w:r>
          </w:p>
        </w:tc>
        <w:tc>
          <w:tcPr>
            <w:tcW w:w="1448" w:type="dxa"/>
            <w:vAlign w:val="center"/>
          </w:tcPr>
          <w:p w14:paraId="48ED0F0C" w14:textId="77777777" w:rsidR="007F4C85" w:rsidRPr="004F6DAA" w:rsidRDefault="007F4C85" w:rsidP="00992B23">
            <w:pPr>
              <w:jc w:val="center"/>
              <w:rPr>
                <w:noProof/>
                <w:sz w:val="20"/>
                <w:szCs w:val="20"/>
              </w:rPr>
            </w:pPr>
            <w:r w:rsidRPr="004F6DAA">
              <w:rPr>
                <w:noProof/>
                <w:sz w:val="20"/>
                <w:szCs w:val="20"/>
              </w:rPr>
              <w:t>NIE</w:t>
            </w:r>
          </w:p>
        </w:tc>
      </w:tr>
      <w:tr w:rsidR="007F4C85" w:rsidRPr="004F6DAA" w14:paraId="150A29FB" w14:textId="77777777" w:rsidTr="00992B23">
        <w:tc>
          <w:tcPr>
            <w:tcW w:w="1080" w:type="dxa"/>
            <w:vAlign w:val="center"/>
          </w:tcPr>
          <w:p w14:paraId="10C627A7" w14:textId="77777777" w:rsidR="007F4C85" w:rsidRPr="004F6DAA" w:rsidRDefault="007F4C85" w:rsidP="00992B23">
            <w:pPr>
              <w:jc w:val="center"/>
              <w:rPr>
                <w:noProof/>
              </w:rPr>
            </w:pPr>
            <w:r w:rsidRPr="004F6DAA">
              <w:rPr>
                <w:noProof/>
              </w:rPr>
              <w:t>7</w:t>
            </w:r>
          </w:p>
        </w:tc>
        <w:tc>
          <w:tcPr>
            <w:tcW w:w="3960" w:type="dxa"/>
            <w:vAlign w:val="center"/>
          </w:tcPr>
          <w:p w14:paraId="1CEBFCF9" w14:textId="77777777" w:rsidR="007F4C85" w:rsidRPr="004F6DAA" w:rsidRDefault="007F4C85" w:rsidP="00992B23">
            <w:pPr>
              <w:jc w:val="left"/>
              <w:rPr>
                <w:noProof/>
                <w:sz w:val="22"/>
              </w:rPr>
            </w:pPr>
            <w:r w:rsidRPr="004F6DAA">
              <w:rPr>
                <w:noProof/>
              </w:rPr>
              <w:t>20.01.02.01 – Wynagrodzenia</w:t>
            </w:r>
            <w:r w:rsidR="00062BFA" w:rsidRPr="004F6DAA">
              <w:rPr>
                <w:noProof/>
              </w:rPr>
              <w:t xml:space="preserve"> i</w:t>
            </w:r>
            <w:r w:rsidR="00062BFA">
              <w:rPr>
                <w:noProof/>
              </w:rPr>
              <w:t> </w:t>
            </w:r>
            <w:r w:rsidR="00062BFA" w:rsidRPr="004F6DAA">
              <w:rPr>
                <w:noProof/>
              </w:rPr>
              <w:t>świ</w:t>
            </w:r>
            <w:r w:rsidRPr="004F6DAA">
              <w:rPr>
                <w:noProof/>
              </w:rPr>
              <w:t>adczenia</w:t>
            </w:r>
          </w:p>
        </w:tc>
        <w:tc>
          <w:tcPr>
            <w:tcW w:w="1080" w:type="dxa"/>
            <w:vAlign w:val="center"/>
          </w:tcPr>
          <w:p w14:paraId="2454A4FD" w14:textId="77777777" w:rsidR="007F4C85" w:rsidRPr="004F6DAA" w:rsidRDefault="007F4C85" w:rsidP="00992B23">
            <w:pPr>
              <w:jc w:val="center"/>
              <w:rPr>
                <w:noProof/>
                <w:sz w:val="22"/>
              </w:rPr>
            </w:pPr>
            <w:r w:rsidRPr="004F6DAA">
              <w:rPr>
                <w:noProof/>
                <w:sz w:val="22"/>
              </w:rPr>
              <w:t>Środki niezróżnicowane</w:t>
            </w:r>
          </w:p>
        </w:tc>
        <w:tc>
          <w:tcPr>
            <w:tcW w:w="956" w:type="dxa"/>
            <w:vAlign w:val="center"/>
          </w:tcPr>
          <w:p w14:paraId="5E4A5127" w14:textId="77777777" w:rsidR="007F4C85" w:rsidRPr="004F6DAA" w:rsidRDefault="007F4C85" w:rsidP="00992B23">
            <w:pPr>
              <w:jc w:val="center"/>
              <w:rPr>
                <w:noProof/>
                <w:sz w:val="20"/>
                <w:szCs w:val="20"/>
              </w:rPr>
            </w:pPr>
            <w:r w:rsidRPr="004F6DAA">
              <w:rPr>
                <w:noProof/>
                <w:sz w:val="20"/>
                <w:szCs w:val="20"/>
              </w:rPr>
              <w:t>NIE</w:t>
            </w:r>
          </w:p>
        </w:tc>
        <w:tc>
          <w:tcPr>
            <w:tcW w:w="1080" w:type="dxa"/>
            <w:vAlign w:val="center"/>
          </w:tcPr>
          <w:p w14:paraId="64183DCD" w14:textId="77777777" w:rsidR="007F4C85" w:rsidRPr="004F6DAA" w:rsidRDefault="007F4C85" w:rsidP="00992B23">
            <w:pPr>
              <w:jc w:val="center"/>
              <w:rPr>
                <w:noProof/>
                <w:sz w:val="20"/>
                <w:szCs w:val="20"/>
              </w:rPr>
            </w:pPr>
            <w:r w:rsidRPr="004F6DAA">
              <w:rPr>
                <w:noProof/>
                <w:sz w:val="20"/>
                <w:szCs w:val="20"/>
              </w:rPr>
              <w:t>NIE</w:t>
            </w:r>
          </w:p>
        </w:tc>
        <w:tc>
          <w:tcPr>
            <w:tcW w:w="956" w:type="dxa"/>
            <w:vAlign w:val="center"/>
          </w:tcPr>
          <w:p w14:paraId="1107CC40" w14:textId="77777777" w:rsidR="007F4C85" w:rsidRPr="004F6DAA" w:rsidRDefault="007F4C85" w:rsidP="00992B23">
            <w:pPr>
              <w:jc w:val="center"/>
              <w:rPr>
                <w:noProof/>
                <w:sz w:val="20"/>
                <w:szCs w:val="20"/>
              </w:rPr>
            </w:pPr>
            <w:r w:rsidRPr="004F6DAA">
              <w:rPr>
                <w:noProof/>
                <w:sz w:val="20"/>
                <w:szCs w:val="20"/>
              </w:rPr>
              <w:t>NIE</w:t>
            </w:r>
          </w:p>
        </w:tc>
        <w:tc>
          <w:tcPr>
            <w:tcW w:w="1448" w:type="dxa"/>
            <w:vAlign w:val="center"/>
          </w:tcPr>
          <w:p w14:paraId="73336081" w14:textId="77777777" w:rsidR="007F4C85" w:rsidRPr="004F6DAA" w:rsidRDefault="007F4C85" w:rsidP="00992B23">
            <w:pPr>
              <w:jc w:val="center"/>
              <w:rPr>
                <w:noProof/>
                <w:sz w:val="20"/>
                <w:szCs w:val="20"/>
              </w:rPr>
            </w:pPr>
            <w:r w:rsidRPr="004F6DAA">
              <w:rPr>
                <w:noProof/>
                <w:sz w:val="20"/>
                <w:szCs w:val="20"/>
              </w:rPr>
              <w:t>NIE</w:t>
            </w:r>
          </w:p>
        </w:tc>
      </w:tr>
      <w:tr w:rsidR="007F4C85" w:rsidRPr="004F6DAA" w14:paraId="7D804EF5" w14:textId="77777777" w:rsidTr="00992B23">
        <w:tc>
          <w:tcPr>
            <w:tcW w:w="1080" w:type="dxa"/>
            <w:vAlign w:val="center"/>
          </w:tcPr>
          <w:p w14:paraId="41F93210" w14:textId="77777777" w:rsidR="007F4C85" w:rsidRPr="004F6DAA" w:rsidRDefault="007F4C85" w:rsidP="00992B23">
            <w:pPr>
              <w:jc w:val="center"/>
              <w:rPr>
                <w:noProof/>
              </w:rPr>
            </w:pPr>
            <w:r w:rsidRPr="004F6DAA">
              <w:rPr>
                <w:noProof/>
              </w:rPr>
              <w:t>7</w:t>
            </w:r>
          </w:p>
        </w:tc>
        <w:tc>
          <w:tcPr>
            <w:tcW w:w="3960" w:type="dxa"/>
            <w:vAlign w:val="center"/>
          </w:tcPr>
          <w:p w14:paraId="10026C47" w14:textId="77777777" w:rsidR="007F4C85" w:rsidRPr="004F6DAA" w:rsidRDefault="007F4C85" w:rsidP="00992B23">
            <w:pPr>
              <w:spacing w:before="60"/>
              <w:rPr>
                <w:noProof/>
                <w:sz w:val="22"/>
              </w:rPr>
            </w:pPr>
            <w:r w:rsidRPr="004F6DAA">
              <w:rPr>
                <w:noProof/>
              </w:rPr>
              <w:t>20 02 06 02 – Koszty konferencji</w:t>
            </w:r>
            <w:r w:rsidR="00062BFA" w:rsidRPr="004F6DAA">
              <w:rPr>
                <w:noProof/>
              </w:rPr>
              <w:t xml:space="preserve"> i</w:t>
            </w:r>
            <w:r w:rsidR="00062BFA">
              <w:rPr>
                <w:noProof/>
              </w:rPr>
              <w:t> </w:t>
            </w:r>
            <w:r w:rsidR="00062BFA" w:rsidRPr="004F6DAA">
              <w:rPr>
                <w:noProof/>
              </w:rPr>
              <w:t>spo</w:t>
            </w:r>
            <w:r w:rsidRPr="004F6DAA">
              <w:rPr>
                <w:noProof/>
              </w:rPr>
              <w:t>tkań</w:t>
            </w:r>
          </w:p>
        </w:tc>
        <w:tc>
          <w:tcPr>
            <w:tcW w:w="1080" w:type="dxa"/>
            <w:vAlign w:val="center"/>
          </w:tcPr>
          <w:p w14:paraId="480098D0" w14:textId="77777777" w:rsidR="007F4C85" w:rsidRPr="004F6DAA" w:rsidRDefault="007F4C85" w:rsidP="00992B23">
            <w:pPr>
              <w:jc w:val="center"/>
              <w:rPr>
                <w:noProof/>
                <w:sz w:val="22"/>
              </w:rPr>
            </w:pPr>
            <w:r w:rsidRPr="004F6DAA">
              <w:rPr>
                <w:noProof/>
                <w:sz w:val="22"/>
              </w:rPr>
              <w:t>Środki niezróżnicowane</w:t>
            </w:r>
          </w:p>
        </w:tc>
        <w:tc>
          <w:tcPr>
            <w:tcW w:w="956" w:type="dxa"/>
            <w:vAlign w:val="center"/>
          </w:tcPr>
          <w:p w14:paraId="59F3462B" w14:textId="77777777" w:rsidR="007F4C85" w:rsidRPr="004F6DAA" w:rsidRDefault="007F4C85" w:rsidP="00992B23">
            <w:pPr>
              <w:jc w:val="center"/>
              <w:rPr>
                <w:noProof/>
                <w:sz w:val="20"/>
                <w:szCs w:val="20"/>
              </w:rPr>
            </w:pPr>
            <w:r w:rsidRPr="004F6DAA">
              <w:rPr>
                <w:noProof/>
                <w:sz w:val="20"/>
                <w:szCs w:val="20"/>
              </w:rPr>
              <w:t>NIE</w:t>
            </w:r>
          </w:p>
        </w:tc>
        <w:tc>
          <w:tcPr>
            <w:tcW w:w="1080" w:type="dxa"/>
            <w:vAlign w:val="center"/>
          </w:tcPr>
          <w:p w14:paraId="64D7BAF5" w14:textId="77777777" w:rsidR="007F4C85" w:rsidRPr="004F6DAA" w:rsidRDefault="007F4C85" w:rsidP="00992B23">
            <w:pPr>
              <w:jc w:val="center"/>
              <w:rPr>
                <w:noProof/>
                <w:sz w:val="20"/>
                <w:szCs w:val="20"/>
              </w:rPr>
            </w:pPr>
            <w:r w:rsidRPr="004F6DAA">
              <w:rPr>
                <w:noProof/>
                <w:sz w:val="20"/>
                <w:szCs w:val="20"/>
              </w:rPr>
              <w:t>NIE</w:t>
            </w:r>
          </w:p>
        </w:tc>
        <w:tc>
          <w:tcPr>
            <w:tcW w:w="956" w:type="dxa"/>
            <w:vAlign w:val="center"/>
          </w:tcPr>
          <w:p w14:paraId="432C32F4" w14:textId="77777777" w:rsidR="007F4C85" w:rsidRPr="004F6DAA" w:rsidRDefault="007F4C85" w:rsidP="00992B23">
            <w:pPr>
              <w:jc w:val="center"/>
              <w:rPr>
                <w:noProof/>
                <w:sz w:val="20"/>
                <w:szCs w:val="20"/>
              </w:rPr>
            </w:pPr>
            <w:r w:rsidRPr="004F6DAA">
              <w:rPr>
                <w:noProof/>
                <w:sz w:val="20"/>
                <w:szCs w:val="20"/>
              </w:rPr>
              <w:t>NIE</w:t>
            </w:r>
          </w:p>
        </w:tc>
        <w:tc>
          <w:tcPr>
            <w:tcW w:w="1448" w:type="dxa"/>
            <w:vAlign w:val="center"/>
          </w:tcPr>
          <w:p w14:paraId="11AB8E57" w14:textId="77777777" w:rsidR="007F4C85" w:rsidRPr="004F6DAA" w:rsidRDefault="007F4C85" w:rsidP="00992B23">
            <w:pPr>
              <w:jc w:val="center"/>
              <w:rPr>
                <w:noProof/>
                <w:sz w:val="20"/>
                <w:szCs w:val="20"/>
              </w:rPr>
            </w:pPr>
            <w:r w:rsidRPr="004F6DAA">
              <w:rPr>
                <w:noProof/>
                <w:sz w:val="20"/>
                <w:szCs w:val="20"/>
              </w:rPr>
              <w:t>NIE</w:t>
            </w:r>
          </w:p>
        </w:tc>
      </w:tr>
    </w:tbl>
    <w:p w14:paraId="3E62056A" w14:textId="77777777" w:rsidR="007F4C85" w:rsidRPr="004F6DAA" w:rsidRDefault="007F4C85" w:rsidP="007F4C85">
      <w:pPr>
        <w:rPr>
          <w:noProof/>
        </w:rPr>
        <w:sectPr w:rsidR="007F4C85" w:rsidRPr="004F6DAA" w:rsidSect="00007A34">
          <w:pgSz w:w="11907" w:h="16840" w:code="1"/>
          <w:pgMar w:top="1134" w:right="1418" w:bottom="1134" w:left="1418" w:header="709" w:footer="709" w:gutter="0"/>
          <w:cols w:space="708"/>
          <w:docGrid w:linePitch="360"/>
        </w:sectPr>
      </w:pPr>
    </w:p>
    <w:p w14:paraId="51768973" w14:textId="77777777" w:rsidR="007F4C85" w:rsidRPr="004F6DAA" w:rsidRDefault="007B7EB7" w:rsidP="007B7EB7">
      <w:pPr>
        <w:pStyle w:val="ManualHeading2"/>
        <w:rPr>
          <w:bCs/>
          <w:noProof/>
          <w:szCs w:val="24"/>
        </w:rPr>
      </w:pPr>
      <w:r w:rsidRPr="007B7EB7">
        <w:t>3.2.</w:t>
      </w:r>
      <w:r w:rsidRPr="007B7EB7">
        <w:tab/>
      </w:r>
      <w:r w:rsidR="007F4C85" w:rsidRPr="004F6DAA">
        <w:rPr>
          <w:noProof/>
        </w:rPr>
        <w:t xml:space="preserve">Szacunkowy wpływ finansowy wniosku na środki </w:t>
      </w:r>
    </w:p>
    <w:p w14:paraId="4B83E7BA" w14:textId="77777777" w:rsidR="007F4C85" w:rsidRPr="004F6DAA" w:rsidRDefault="007B7EB7" w:rsidP="007B7EB7">
      <w:pPr>
        <w:pStyle w:val="ManualHeading3"/>
        <w:rPr>
          <w:noProof/>
        </w:rPr>
      </w:pPr>
      <w:r w:rsidRPr="007B7EB7">
        <w:t>3.2.1.</w:t>
      </w:r>
      <w:r w:rsidRPr="007B7EB7">
        <w:tab/>
      </w:r>
      <w:r w:rsidR="007F4C85" w:rsidRPr="004F6DAA">
        <w:rPr>
          <w:noProof/>
        </w:rPr>
        <w:t xml:space="preserve">Podsumowanie szacunkowego wpływu na środki operacyjne </w:t>
      </w:r>
    </w:p>
    <w:p w14:paraId="1E5DBA71" w14:textId="77777777" w:rsidR="007F4C85" w:rsidRPr="004F6DAA" w:rsidRDefault="007F4C85" w:rsidP="007F4C85">
      <w:pPr>
        <w:pStyle w:val="ListDash1"/>
        <w:rPr>
          <w:noProof/>
        </w:rPr>
      </w:pPr>
      <w:r w:rsidRPr="004F6DAA">
        <w:rPr>
          <w:noProof/>
        </w:rPr>
        <w:sym w:font="Wingdings" w:char="F0A8"/>
      </w:r>
      <w:r w:rsidRPr="004F6DAA">
        <w:rPr>
          <w:noProof/>
        </w:rPr>
        <w:tab/>
        <w:t>Wniosek/inicjatywa nie wiąże się</w:t>
      </w:r>
      <w:r w:rsidR="00062BFA" w:rsidRPr="004F6DAA">
        <w:rPr>
          <w:noProof/>
        </w:rPr>
        <w:t xml:space="preserve"> z</w:t>
      </w:r>
      <w:r w:rsidR="00062BFA">
        <w:rPr>
          <w:noProof/>
        </w:rPr>
        <w:t> </w:t>
      </w:r>
      <w:r w:rsidR="00062BFA" w:rsidRPr="004F6DAA">
        <w:rPr>
          <w:noProof/>
        </w:rPr>
        <w:t>kon</w:t>
      </w:r>
      <w:r w:rsidRPr="004F6DAA">
        <w:rPr>
          <w:noProof/>
        </w:rPr>
        <w:t xml:space="preserve">iecznością wykorzystania środków operacyjnych </w:t>
      </w:r>
    </w:p>
    <w:p w14:paraId="0CC63BCC" w14:textId="77777777" w:rsidR="007F4C85" w:rsidRPr="004F6DAA" w:rsidRDefault="007F4C85" w:rsidP="007F4C85">
      <w:pPr>
        <w:pStyle w:val="ListDash1"/>
        <w:rPr>
          <w:noProof/>
        </w:rPr>
      </w:pPr>
      <w:r w:rsidRPr="004F6DAA">
        <w:rPr>
          <w:noProof/>
        </w:rPr>
        <w:sym w:font="Wingdings" w:char="F0FE"/>
      </w:r>
      <w:r w:rsidRPr="004F6DAA">
        <w:rPr>
          <w:noProof/>
        </w:rPr>
        <w:tab/>
        <w:t>Wniosek/inicjatywa wiąże się</w:t>
      </w:r>
      <w:r w:rsidR="00062BFA" w:rsidRPr="004F6DAA">
        <w:rPr>
          <w:noProof/>
        </w:rPr>
        <w:t xml:space="preserve"> z</w:t>
      </w:r>
      <w:r w:rsidR="00062BFA">
        <w:rPr>
          <w:noProof/>
        </w:rPr>
        <w:t> </w:t>
      </w:r>
      <w:r w:rsidR="00062BFA" w:rsidRPr="004F6DAA">
        <w:rPr>
          <w:noProof/>
        </w:rPr>
        <w:t>kon</w:t>
      </w:r>
      <w:r w:rsidRPr="004F6DAA">
        <w:rPr>
          <w:noProof/>
        </w:rPr>
        <w:t>iecznością wykorzystania środków operacyjnych, jak określono poniżej:</w:t>
      </w:r>
    </w:p>
    <w:p w14:paraId="2BF0C42C" w14:textId="77777777" w:rsidR="007F4C85" w:rsidRPr="004F6DAA" w:rsidRDefault="007F4C85" w:rsidP="007F4C85">
      <w:pPr>
        <w:jc w:val="right"/>
        <w:rPr>
          <w:noProof/>
          <w:sz w:val="18"/>
          <w:szCs w:val="18"/>
        </w:rPr>
      </w:pPr>
      <w:r w:rsidRPr="004F6DAA">
        <w:rPr>
          <w:noProof/>
          <w:sz w:val="18"/>
          <w:szCs w:val="18"/>
        </w:rPr>
        <w:t>w mln EUR (do trzech miejsc po przecinku)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F4C85" w:rsidRPr="004F6DAA" w14:paraId="28EF13E9" w14:textId="77777777" w:rsidTr="00992B23">
        <w:trPr>
          <w:jc w:val="center"/>
        </w:trPr>
        <w:tc>
          <w:tcPr>
            <w:tcW w:w="4744" w:type="dxa"/>
            <w:shd w:val="thinDiagStripe" w:color="C0C0C0" w:fill="auto"/>
            <w:vAlign w:val="center"/>
          </w:tcPr>
          <w:p w14:paraId="4EA29544" w14:textId="77777777" w:rsidR="007F4C85" w:rsidRPr="004F6DAA" w:rsidRDefault="007F4C85" w:rsidP="00D71412">
            <w:pPr>
              <w:spacing w:before="60" w:after="60"/>
              <w:jc w:val="center"/>
              <w:rPr>
                <w:b/>
                <w:noProof/>
              </w:rPr>
            </w:pPr>
            <w:r w:rsidRPr="004F6DAA">
              <w:rPr>
                <w:b/>
                <w:noProof/>
                <w:sz w:val="22"/>
              </w:rPr>
              <w:t xml:space="preserve">Dział wieloletnich ram finansowych </w:t>
            </w:r>
          </w:p>
        </w:tc>
        <w:tc>
          <w:tcPr>
            <w:tcW w:w="1080" w:type="dxa"/>
            <w:vAlign w:val="center"/>
          </w:tcPr>
          <w:p w14:paraId="4E451DE8" w14:textId="77777777" w:rsidR="007F4C85" w:rsidRPr="004F6DAA" w:rsidRDefault="007F4C85" w:rsidP="00992B23">
            <w:pPr>
              <w:jc w:val="left"/>
              <w:rPr>
                <w:noProof/>
              </w:rPr>
            </w:pPr>
            <w:r w:rsidRPr="004F6DAA">
              <w:rPr>
                <w:noProof/>
              </w:rPr>
              <w:t>3</w:t>
            </w:r>
          </w:p>
        </w:tc>
        <w:tc>
          <w:tcPr>
            <w:tcW w:w="7817" w:type="dxa"/>
            <w:vAlign w:val="center"/>
          </w:tcPr>
          <w:p w14:paraId="4C991CB4" w14:textId="77777777" w:rsidR="007F4C85" w:rsidRPr="004F6DAA" w:rsidRDefault="007F4C85" w:rsidP="00992B23">
            <w:pPr>
              <w:jc w:val="left"/>
              <w:rPr>
                <w:noProof/>
              </w:rPr>
            </w:pPr>
            <w:r w:rsidRPr="004F6DAA">
              <w:rPr>
                <w:noProof/>
              </w:rPr>
              <w:t>Zasoby naturalne</w:t>
            </w:r>
            <w:r w:rsidR="00062BFA" w:rsidRPr="004F6DAA">
              <w:rPr>
                <w:noProof/>
              </w:rPr>
              <w:t xml:space="preserve"> i</w:t>
            </w:r>
            <w:r w:rsidR="00062BFA">
              <w:rPr>
                <w:noProof/>
              </w:rPr>
              <w:t> </w:t>
            </w:r>
            <w:r w:rsidR="00062BFA" w:rsidRPr="004F6DAA">
              <w:rPr>
                <w:noProof/>
              </w:rPr>
              <w:t>śro</w:t>
            </w:r>
            <w:r w:rsidRPr="004F6DAA">
              <w:rPr>
                <w:noProof/>
              </w:rPr>
              <w:t>dowisko</w:t>
            </w:r>
          </w:p>
        </w:tc>
      </w:tr>
    </w:tbl>
    <w:p w14:paraId="76DBA869" w14:textId="77777777" w:rsidR="007F4C85" w:rsidRPr="004F6DAA" w:rsidRDefault="007F4C85" w:rsidP="007F4C85">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93"/>
        <w:gridCol w:w="47"/>
        <w:gridCol w:w="654"/>
        <w:gridCol w:w="868"/>
        <w:gridCol w:w="868"/>
        <w:gridCol w:w="868"/>
        <w:gridCol w:w="868"/>
        <w:gridCol w:w="868"/>
        <w:gridCol w:w="899"/>
        <w:gridCol w:w="1449"/>
      </w:tblGrid>
      <w:tr w:rsidR="007F4C85" w:rsidRPr="004F6DAA" w14:paraId="6144ED53" w14:textId="77777777" w:rsidTr="00EA24A1">
        <w:tc>
          <w:tcPr>
            <w:tcW w:w="3960" w:type="dxa"/>
            <w:vAlign w:val="center"/>
          </w:tcPr>
          <w:p w14:paraId="63D8AB05" w14:textId="77777777" w:rsidR="007F4C85" w:rsidRPr="004F6DAA" w:rsidRDefault="007F4C85" w:rsidP="00992B23">
            <w:pPr>
              <w:jc w:val="center"/>
              <w:rPr>
                <w:noProof/>
              </w:rPr>
            </w:pPr>
            <w:r w:rsidRPr="004F6DAA">
              <w:rPr>
                <w:noProof/>
                <w:sz w:val="22"/>
              </w:rPr>
              <w:t xml:space="preserve">Dyrekcja Generalna: </w:t>
            </w:r>
            <w:r w:rsidRPr="004F6DAA">
              <w:rPr>
                <w:b/>
                <w:noProof/>
                <w:sz w:val="22"/>
              </w:rPr>
              <w:t>ENV</w:t>
            </w:r>
          </w:p>
        </w:tc>
        <w:tc>
          <w:tcPr>
            <w:tcW w:w="1393" w:type="dxa"/>
          </w:tcPr>
          <w:p w14:paraId="0A25C7CB" w14:textId="77777777" w:rsidR="007F4C85" w:rsidRPr="004F6DAA" w:rsidRDefault="007F4C85" w:rsidP="00992B23">
            <w:pPr>
              <w:rPr>
                <w:noProof/>
                <w:sz w:val="20"/>
              </w:rPr>
            </w:pPr>
          </w:p>
        </w:tc>
        <w:tc>
          <w:tcPr>
            <w:tcW w:w="701" w:type="dxa"/>
            <w:gridSpan w:val="2"/>
          </w:tcPr>
          <w:p w14:paraId="666E7C94" w14:textId="77777777" w:rsidR="007F4C85" w:rsidRPr="004F6DAA" w:rsidRDefault="007F4C85" w:rsidP="00992B23">
            <w:pPr>
              <w:jc w:val="center"/>
              <w:rPr>
                <w:noProof/>
                <w:sz w:val="20"/>
              </w:rPr>
            </w:pPr>
          </w:p>
        </w:tc>
        <w:tc>
          <w:tcPr>
            <w:tcW w:w="868" w:type="dxa"/>
            <w:vAlign w:val="center"/>
          </w:tcPr>
          <w:p w14:paraId="37AE1EB2" w14:textId="77777777" w:rsidR="00B85214" w:rsidRPr="004F6DAA" w:rsidRDefault="007F4C85" w:rsidP="00D71412">
            <w:pPr>
              <w:contextualSpacing/>
              <w:jc w:val="center"/>
              <w:rPr>
                <w:noProof/>
                <w:sz w:val="20"/>
              </w:rPr>
            </w:pPr>
            <w:r w:rsidRPr="004F6DAA">
              <w:rPr>
                <w:noProof/>
                <w:sz w:val="20"/>
              </w:rPr>
              <w:t>Rok</w:t>
            </w:r>
          </w:p>
          <w:p w14:paraId="2DDC5FD7" w14:textId="77777777" w:rsidR="007F4C85" w:rsidRPr="004F6DAA" w:rsidRDefault="007F4C85" w:rsidP="00D71412">
            <w:pPr>
              <w:contextualSpacing/>
              <w:jc w:val="center"/>
              <w:rPr>
                <w:noProof/>
                <w:sz w:val="20"/>
              </w:rPr>
            </w:pPr>
            <w:r w:rsidRPr="004F6DAA">
              <w:rPr>
                <w:b/>
                <w:noProof/>
                <w:sz w:val="20"/>
              </w:rPr>
              <w:t>2022</w:t>
            </w:r>
          </w:p>
        </w:tc>
        <w:tc>
          <w:tcPr>
            <w:tcW w:w="868" w:type="dxa"/>
            <w:vAlign w:val="center"/>
          </w:tcPr>
          <w:p w14:paraId="7A559863" w14:textId="77777777" w:rsidR="00B85214" w:rsidRPr="004F6DAA" w:rsidRDefault="007F4C85" w:rsidP="00D71412">
            <w:pPr>
              <w:contextualSpacing/>
              <w:jc w:val="center"/>
              <w:rPr>
                <w:noProof/>
                <w:sz w:val="20"/>
              </w:rPr>
            </w:pPr>
            <w:r w:rsidRPr="004F6DAA">
              <w:rPr>
                <w:noProof/>
                <w:sz w:val="20"/>
              </w:rPr>
              <w:t>Rok</w:t>
            </w:r>
          </w:p>
          <w:p w14:paraId="40C413A3" w14:textId="77777777" w:rsidR="007F4C85" w:rsidRPr="004F6DAA" w:rsidRDefault="007F4C85" w:rsidP="00D71412">
            <w:pPr>
              <w:contextualSpacing/>
              <w:jc w:val="center"/>
              <w:rPr>
                <w:noProof/>
                <w:sz w:val="20"/>
              </w:rPr>
            </w:pPr>
            <w:r w:rsidRPr="004F6DAA">
              <w:rPr>
                <w:b/>
                <w:noProof/>
                <w:sz w:val="20"/>
              </w:rPr>
              <w:t>2023</w:t>
            </w:r>
          </w:p>
        </w:tc>
        <w:tc>
          <w:tcPr>
            <w:tcW w:w="868" w:type="dxa"/>
            <w:vAlign w:val="center"/>
          </w:tcPr>
          <w:p w14:paraId="3D322FDA" w14:textId="77777777" w:rsidR="00B85214" w:rsidRPr="004F6DAA" w:rsidRDefault="007F4C85" w:rsidP="00D71412">
            <w:pPr>
              <w:contextualSpacing/>
              <w:jc w:val="center"/>
              <w:rPr>
                <w:noProof/>
                <w:sz w:val="20"/>
              </w:rPr>
            </w:pPr>
            <w:r w:rsidRPr="004F6DAA">
              <w:rPr>
                <w:noProof/>
                <w:sz w:val="20"/>
              </w:rPr>
              <w:t>Rok</w:t>
            </w:r>
          </w:p>
          <w:p w14:paraId="49629DA7" w14:textId="77777777" w:rsidR="007F4C85" w:rsidRPr="004F6DAA" w:rsidRDefault="007F4C85" w:rsidP="00D71412">
            <w:pPr>
              <w:contextualSpacing/>
              <w:jc w:val="center"/>
              <w:rPr>
                <w:noProof/>
                <w:sz w:val="20"/>
              </w:rPr>
            </w:pPr>
            <w:r w:rsidRPr="004F6DAA">
              <w:rPr>
                <w:b/>
                <w:noProof/>
                <w:sz w:val="20"/>
              </w:rPr>
              <w:t>2024</w:t>
            </w:r>
          </w:p>
        </w:tc>
        <w:tc>
          <w:tcPr>
            <w:tcW w:w="868" w:type="dxa"/>
            <w:vAlign w:val="center"/>
          </w:tcPr>
          <w:p w14:paraId="6746F93D" w14:textId="77777777" w:rsidR="00B85214" w:rsidRPr="004F6DAA" w:rsidRDefault="007F4C85" w:rsidP="00D71412">
            <w:pPr>
              <w:contextualSpacing/>
              <w:jc w:val="center"/>
              <w:rPr>
                <w:noProof/>
                <w:sz w:val="20"/>
              </w:rPr>
            </w:pPr>
            <w:r w:rsidRPr="004F6DAA">
              <w:rPr>
                <w:noProof/>
                <w:sz w:val="20"/>
              </w:rPr>
              <w:t>Rok</w:t>
            </w:r>
          </w:p>
          <w:p w14:paraId="28D496BE" w14:textId="77777777" w:rsidR="007F4C85" w:rsidRPr="004F6DAA" w:rsidRDefault="007F4C85" w:rsidP="00D71412">
            <w:pPr>
              <w:contextualSpacing/>
              <w:jc w:val="center"/>
              <w:rPr>
                <w:noProof/>
                <w:sz w:val="20"/>
              </w:rPr>
            </w:pPr>
            <w:r w:rsidRPr="004F6DAA">
              <w:rPr>
                <w:b/>
                <w:noProof/>
                <w:sz w:val="20"/>
              </w:rPr>
              <w:t>2025</w:t>
            </w:r>
          </w:p>
        </w:tc>
        <w:tc>
          <w:tcPr>
            <w:tcW w:w="868" w:type="dxa"/>
            <w:vAlign w:val="center"/>
          </w:tcPr>
          <w:p w14:paraId="7EA7BAFB" w14:textId="77777777" w:rsidR="00B85214" w:rsidRPr="004F6DAA" w:rsidRDefault="007F4C85" w:rsidP="00D71412">
            <w:pPr>
              <w:contextualSpacing/>
              <w:jc w:val="center"/>
              <w:rPr>
                <w:noProof/>
                <w:sz w:val="20"/>
              </w:rPr>
            </w:pPr>
            <w:r w:rsidRPr="004F6DAA">
              <w:rPr>
                <w:noProof/>
                <w:sz w:val="20"/>
              </w:rPr>
              <w:t>Rok</w:t>
            </w:r>
          </w:p>
          <w:p w14:paraId="03BD25B9" w14:textId="77777777" w:rsidR="007F4C85" w:rsidRPr="004F6DAA" w:rsidRDefault="007F4C85" w:rsidP="00D71412">
            <w:pPr>
              <w:contextualSpacing/>
              <w:jc w:val="center"/>
              <w:rPr>
                <w:noProof/>
                <w:sz w:val="20"/>
              </w:rPr>
            </w:pPr>
            <w:r w:rsidRPr="004F6DAA">
              <w:rPr>
                <w:b/>
                <w:noProof/>
                <w:sz w:val="20"/>
              </w:rPr>
              <w:t>2026</w:t>
            </w:r>
          </w:p>
        </w:tc>
        <w:tc>
          <w:tcPr>
            <w:tcW w:w="899" w:type="dxa"/>
            <w:vAlign w:val="center"/>
          </w:tcPr>
          <w:p w14:paraId="0A5CEB79" w14:textId="77777777" w:rsidR="00B85214" w:rsidRPr="004F6DAA" w:rsidRDefault="007F4C85" w:rsidP="00D71412">
            <w:pPr>
              <w:contextualSpacing/>
              <w:jc w:val="center"/>
              <w:rPr>
                <w:noProof/>
                <w:sz w:val="20"/>
              </w:rPr>
            </w:pPr>
            <w:r w:rsidRPr="004F6DAA">
              <w:rPr>
                <w:noProof/>
                <w:sz w:val="20"/>
              </w:rPr>
              <w:t>Rok</w:t>
            </w:r>
          </w:p>
          <w:p w14:paraId="29C23C74" w14:textId="77777777" w:rsidR="007F4C85" w:rsidRPr="004F6DAA" w:rsidRDefault="007F4C85" w:rsidP="00D71412">
            <w:pPr>
              <w:contextualSpacing/>
              <w:jc w:val="center"/>
              <w:rPr>
                <w:b/>
                <w:noProof/>
                <w:sz w:val="18"/>
              </w:rPr>
            </w:pPr>
            <w:r w:rsidRPr="004F6DAA">
              <w:rPr>
                <w:b/>
                <w:noProof/>
                <w:sz w:val="20"/>
              </w:rPr>
              <w:t>2027</w:t>
            </w:r>
          </w:p>
        </w:tc>
        <w:tc>
          <w:tcPr>
            <w:tcW w:w="1449" w:type="dxa"/>
            <w:vAlign w:val="center"/>
          </w:tcPr>
          <w:p w14:paraId="1B95EA29" w14:textId="77777777" w:rsidR="007F4C85" w:rsidRPr="004F6DAA" w:rsidRDefault="007F4C85" w:rsidP="00992B23">
            <w:pPr>
              <w:jc w:val="center"/>
              <w:rPr>
                <w:b/>
                <w:noProof/>
                <w:sz w:val="20"/>
              </w:rPr>
            </w:pPr>
            <w:r w:rsidRPr="004F6DAA">
              <w:rPr>
                <w:b/>
                <w:noProof/>
                <w:sz w:val="20"/>
              </w:rPr>
              <w:t>OGÓŁEM (2022–2027)</w:t>
            </w:r>
          </w:p>
        </w:tc>
      </w:tr>
      <w:tr w:rsidR="007F4C85" w:rsidRPr="004F6DAA" w14:paraId="4EF37157" w14:textId="77777777" w:rsidTr="00992B23">
        <w:trPr>
          <w:trHeight w:val="213"/>
        </w:trPr>
        <w:tc>
          <w:tcPr>
            <w:tcW w:w="6054" w:type="dxa"/>
            <w:gridSpan w:val="4"/>
            <w:vAlign w:val="center"/>
          </w:tcPr>
          <w:p w14:paraId="2C517F77" w14:textId="77777777" w:rsidR="007F4C85" w:rsidRPr="004F6DAA" w:rsidRDefault="007F4C85" w:rsidP="00992B23">
            <w:pPr>
              <w:spacing w:before="20" w:after="20"/>
              <w:rPr>
                <w:noProof/>
                <w:sz w:val="21"/>
              </w:rPr>
            </w:pPr>
            <w:r w:rsidRPr="004F6DAA">
              <w:rPr>
                <w:noProof/>
                <w:sz w:val="21"/>
              </w:rPr>
              <w:sym w:font="Wingdings" w:char="F09F"/>
            </w:r>
            <w:r w:rsidRPr="004F6DAA">
              <w:rPr>
                <w:noProof/>
              </w:rPr>
              <w:t xml:space="preserve"> Środki operacyjne</w:t>
            </w:r>
            <w:r w:rsidRPr="004F6DAA">
              <w:rPr>
                <w:noProof/>
                <w:sz w:val="21"/>
              </w:rPr>
              <w:t xml:space="preserve"> </w:t>
            </w:r>
          </w:p>
        </w:tc>
        <w:tc>
          <w:tcPr>
            <w:tcW w:w="868" w:type="dxa"/>
          </w:tcPr>
          <w:p w14:paraId="4D93CACD" w14:textId="77777777" w:rsidR="007F4C85" w:rsidRPr="004F6DAA" w:rsidRDefault="007F4C85" w:rsidP="00992B23">
            <w:pPr>
              <w:rPr>
                <w:noProof/>
                <w:sz w:val="20"/>
              </w:rPr>
            </w:pPr>
          </w:p>
        </w:tc>
        <w:tc>
          <w:tcPr>
            <w:tcW w:w="868" w:type="dxa"/>
            <w:vAlign w:val="center"/>
          </w:tcPr>
          <w:p w14:paraId="39D7FAC2" w14:textId="77777777" w:rsidR="007F4C85" w:rsidRPr="004F6DAA" w:rsidRDefault="007F4C85" w:rsidP="00992B23">
            <w:pPr>
              <w:rPr>
                <w:noProof/>
                <w:sz w:val="20"/>
              </w:rPr>
            </w:pPr>
          </w:p>
        </w:tc>
        <w:tc>
          <w:tcPr>
            <w:tcW w:w="868" w:type="dxa"/>
            <w:vAlign w:val="center"/>
          </w:tcPr>
          <w:p w14:paraId="2DBBA79D" w14:textId="77777777" w:rsidR="007F4C85" w:rsidRPr="004F6DAA" w:rsidRDefault="007F4C85" w:rsidP="00992B23">
            <w:pPr>
              <w:rPr>
                <w:noProof/>
                <w:sz w:val="20"/>
              </w:rPr>
            </w:pPr>
          </w:p>
        </w:tc>
        <w:tc>
          <w:tcPr>
            <w:tcW w:w="868" w:type="dxa"/>
            <w:vAlign w:val="center"/>
          </w:tcPr>
          <w:p w14:paraId="131A0249" w14:textId="77777777" w:rsidR="007F4C85" w:rsidRPr="004F6DAA" w:rsidRDefault="007F4C85" w:rsidP="00992B23">
            <w:pPr>
              <w:rPr>
                <w:noProof/>
                <w:sz w:val="20"/>
              </w:rPr>
            </w:pPr>
          </w:p>
        </w:tc>
        <w:tc>
          <w:tcPr>
            <w:tcW w:w="868" w:type="dxa"/>
            <w:vAlign w:val="center"/>
          </w:tcPr>
          <w:p w14:paraId="67D67299" w14:textId="77777777" w:rsidR="007F4C85" w:rsidRPr="004F6DAA" w:rsidRDefault="007F4C85" w:rsidP="00992B23">
            <w:pPr>
              <w:rPr>
                <w:noProof/>
                <w:sz w:val="20"/>
              </w:rPr>
            </w:pPr>
          </w:p>
        </w:tc>
        <w:tc>
          <w:tcPr>
            <w:tcW w:w="899" w:type="dxa"/>
            <w:vAlign w:val="center"/>
          </w:tcPr>
          <w:p w14:paraId="28F74DBF" w14:textId="77777777" w:rsidR="007F4C85" w:rsidRPr="004F6DAA" w:rsidRDefault="007F4C85" w:rsidP="00992B23">
            <w:pPr>
              <w:rPr>
                <w:noProof/>
                <w:sz w:val="20"/>
              </w:rPr>
            </w:pPr>
          </w:p>
        </w:tc>
        <w:tc>
          <w:tcPr>
            <w:tcW w:w="1449" w:type="dxa"/>
            <w:vAlign w:val="center"/>
          </w:tcPr>
          <w:p w14:paraId="326E5D06" w14:textId="77777777" w:rsidR="007F4C85" w:rsidRPr="004F6DAA" w:rsidRDefault="007F4C85" w:rsidP="00992B23">
            <w:pPr>
              <w:rPr>
                <w:b/>
                <w:noProof/>
                <w:sz w:val="20"/>
              </w:rPr>
            </w:pPr>
          </w:p>
        </w:tc>
      </w:tr>
      <w:tr w:rsidR="007F4C85" w:rsidRPr="004F6DAA" w14:paraId="047A54D4" w14:textId="77777777" w:rsidTr="00992B23">
        <w:trPr>
          <w:trHeight w:val="277"/>
        </w:trPr>
        <w:tc>
          <w:tcPr>
            <w:tcW w:w="3960" w:type="dxa"/>
            <w:vMerge w:val="restart"/>
            <w:vAlign w:val="center"/>
          </w:tcPr>
          <w:p w14:paraId="6C4FFF5A" w14:textId="77777777" w:rsidR="007F4C85" w:rsidRPr="004F6DAA" w:rsidRDefault="007F4C85" w:rsidP="00992B23">
            <w:pPr>
              <w:rPr>
                <w:noProof/>
              </w:rPr>
            </w:pPr>
            <w:r w:rsidRPr="004F6DAA">
              <w:rPr>
                <w:noProof/>
              </w:rPr>
              <w:t>09 02 01 – Przyroda</w:t>
            </w:r>
            <w:r w:rsidR="00062BFA" w:rsidRPr="004F6DAA">
              <w:rPr>
                <w:noProof/>
              </w:rPr>
              <w:t xml:space="preserve"> i</w:t>
            </w:r>
            <w:r w:rsidR="00062BFA">
              <w:rPr>
                <w:noProof/>
              </w:rPr>
              <w:t> </w:t>
            </w:r>
            <w:r w:rsidR="00062BFA" w:rsidRPr="004F6DAA">
              <w:rPr>
                <w:noProof/>
              </w:rPr>
              <w:t>róż</w:t>
            </w:r>
            <w:r w:rsidRPr="004F6DAA">
              <w:rPr>
                <w:noProof/>
              </w:rPr>
              <w:t>norodność biologiczna</w:t>
            </w:r>
          </w:p>
        </w:tc>
        <w:tc>
          <w:tcPr>
            <w:tcW w:w="1440" w:type="dxa"/>
            <w:gridSpan w:val="2"/>
            <w:vAlign w:val="center"/>
          </w:tcPr>
          <w:p w14:paraId="54041D59" w14:textId="77777777" w:rsidR="007F4C85" w:rsidRPr="004F6DAA" w:rsidRDefault="007F4C85" w:rsidP="00992B23">
            <w:pPr>
              <w:spacing w:before="20" w:after="20"/>
              <w:rPr>
                <w:noProof/>
                <w:sz w:val="18"/>
              </w:rPr>
            </w:pPr>
            <w:r w:rsidRPr="004F6DAA">
              <w:rPr>
                <w:noProof/>
                <w:sz w:val="18"/>
              </w:rPr>
              <w:t>Środki na zobowiązania</w:t>
            </w:r>
          </w:p>
        </w:tc>
        <w:tc>
          <w:tcPr>
            <w:tcW w:w="654" w:type="dxa"/>
            <w:vAlign w:val="center"/>
          </w:tcPr>
          <w:p w14:paraId="3CE6D0B3" w14:textId="77777777" w:rsidR="007F4C85" w:rsidRPr="004F6DAA" w:rsidRDefault="007F4C85" w:rsidP="00992B23">
            <w:pPr>
              <w:spacing w:before="20" w:after="20"/>
              <w:jc w:val="center"/>
              <w:rPr>
                <w:noProof/>
                <w:sz w:val="14"/>
              </w:rPr>
            </w:pPr>
            <w:r w:rsidRPr="004F6DAA">
              <w:rPr>
                <w:noProof/>
                <w:sz w:val="14"/>
              </w:rPr>
              <w:t>(1a)</w:t>
            </w:r>
          </w:p>
        </w:tc>
        <w:tc>
          <w:tcPr>
            <w:tcW w:w="868" w:type="dxa"/>
          </w:tcPr>
          <w:p w14:paraId="7DE1360B" w14:textId="77777777" w:rsidR="007F4C85" w:rsidRPr="004F6DAA" w:rsidRDefault="007F4C85" w:rsidP="00992B23">
            <w:pPr>
              <w:spacing w:before="20" w:after="20"/>
              <w:jc w:val="right"/>
              <w:rPr>
                <w:noProof/>
                <w:sz w:val="20"/>
              </w:rPr>
            </w:pPr>
            <w:r w:rsidRPr="004F6DAA">
              <w:rPr>
                <w:noProof/>
                <w:sz w:val="20"/>
              </w:rPr>
              <w:t>0,500</w:t>
            </w:r>
          </w:p>
        </w:tc>
        <w:tc>
          <w:tcPr>
            <w:tcW w:w="868" w:type="dxa"/>
            <w:vAlign w:val="center"/>
          </w:tcPr>
          <w:p w14:paraId="43E34E17" w14:textId="77777777" w:rsidR="007F4C85" w:rsidRPr="004F6DAA" w:rsidRDefault="007F4C85" w:rsidP="00992B23">
            <w:pPr>
              <w:spacing w:before="20" w:after="20"/>
              <w:jc w:val="right"/>
              <w:rPr>
                <w:noProof/>
                <w:sz w:val="20"/>
              </w:rPr>
            </w:pPr>
            <w:r w:rsidRPr="004F6DAA">
              <w:rPr>
                <w:noProof/>
                <w:sz w:val="20"/>
              </w:rPr>
              <w:t>1,789</w:t>
            </w:r>
          </w:p>
        </w:tc>
        <w:tc>
          <w:tcPr>
            <w:tcW w:w="868" w:type="dxa"/>
            <w:vAlign w:val="center"/>
          </w:tcPr>
          <w:p w14:paraId="02379935" w14:textId="77777777" w:rsidR="007F4C85" w:rsidRPr="004F6DAA" w:rsidRDefault="007F4C85" w:rsidP="00992B23">
            <w:pPr>
              <w:spacing w:before="20" w:after="20"/>
              <w:jc w:val="right"/>
              <w:rPr>
                <w:noProof/>
                <w:sz w:val="20"/>
              </w:rPr>
            </w:pPr>
            <w:r w:rsidRPr="004F6DAA">
              <w:rPr>
                <w:noProof/>
                <w:sz w:val="20"/>
              </w:rPr>
              <w:t>1,680</w:t>
            </w:r>
          </w:p>
        </w:tc>
        <w:tc>
          <w:tcPr>
            <w:tcW w:w="868" w:type="dxa"/>
            <w:vAlign w:val="center"/>
          </w:tcPr>
          <w:p w14:paraId="29FD395B" w14:textId="77777777" w:rsidR="007F4C85" w:rsidRPr="004F6DAA" w:rsidRDefault="007F4C85" w:rsidP="00992B23">
            <w:pPr>
              <w:spacing w:before="20" w:after="20"/>
              <w:jc w:val="right"/>
              <w:rPr>
                <w:noProof/>
                <w:sz w:val="20"/>
              </w:rPr>
            </w:pPr>
            <w:r w:rsidRPr="004F6DAA">
              <w:rPr>
                <w:noProof/>
                <w:sz w:val="20"/>
              </w:rPr>
              <w:t>1,610</w:t>
            </w:r>
          </w:p>
        </w:tc>
        <w:tc>
          <w:tcPr>
            <w:tcW w:w="868" w:type="dxa"/>
            <w:vAlign w:val="center"/>
          </w:tcPr>
          <w:p w14:paraId="728E2D40" w14:textId="77777777" w:rsidR="007F4C85" w:rsidRPr="004F6DAA" w:rsidRDefault="007F4C85" w:rsidP="00992B23">
            <w:pPr>
              <w:spacing w:before="20" w:after="20"/>
              <w:jc w:val="right"/>
              <w:rPr>
                <w:noProof/>
                <w:sz w:val="20"/>
              </w:rPr>
            </w:pPr>
            <w:r w:rsidRPr="004F6DAA">
              <w:rPr>
                <w:noProof/>
                <w:sz w:val="20"/>
              </w:rPr>
              <w:t>1,890</w:t>
            </w:r>
          </w:p>
        </w:tc>
        <w:tc>
          <w:tcPr>
            <w:tcW w:w="899" w:type="dxa"/>
            <w:vAlign w:val="center"/>
          </w:tcPr>
          <w:p w14:paraId="536AF53F" w14:textId="77777777" w:rsidR="007F4C85" w:rsidRPr="004F6DAA" w:rsidRDefault="007F4C85" w:rsidP="00992B23">
            <w:pPr>
              <w:spacing w:before="20" w:after="20"/>
              <w:jc w:val="right"/>
              <w:rPr>
                <w:noProof/>
                <w:sz w:val="20"/>
              </w:rPr>
            </w:pPr>
            <w:r w:rsidRPr="004F6DAA">
              <w:rPr>
                <w:noProof/>
                <w:sz w:val="20"/>
              </w:rPr>
              <w:t>1,450</w:t>
            </w:r>
          </w:p>
        </w:tc>
        <w:tc>
          <w:tcPr>
            <w:tcW w:w="1449" w:type="dxa"/>
            <w:vAlign w:val="center"/>
          </w:tcPr>
          <w:p w14:paraId="494F5B9C" w14:textId="77777777" w:rsidR="007F4C85" w:rsidRPr="004F6DAA" w:rsidRDefault="007F4C85" w:rsidP="00992B23">
            <w:pPr>
              <w:spacing w:before="20" w:after="20"/>
              <w:jc w:val="right"/>
              <w:rPr>
                <w:b/>
                <w:noProof/>
                <w:sz w:val="20"/>
              </w:rPr>
            </w:pPr>
            <w:r w:rsidRPr="004F6DAA">
              <w:rPr>
                <w:b/>
                <w:noProof/>
                <w:sz w:val="20"/>
              </w:rPr>
              <w:t>8,919</w:t>
            </w:r>
          </w:p>
        </w:tc>
      </w:tr>
      <w:tr w:rsidR="007F4C85" w:rsidRPr="004F6DAA" w14:paraId="065786FA" w14:textId="77777777" w:rsidTr="00992B23">
        <w:tc>
          <w:tcPr>
            <w:tcW w:w="3960" w:type="dxa"/>
            <w:vMerge/>
          </w:tcPr>
          <w:p w14:paraId="641504BB" w14:textId="77777777" w:rsidR="007F4C85" w:rsidRPr="004F6DAA" w:rsidRDefault="007F4C85" w:rsidP="00992B23">
            <w:pPr>
              <w:jc w:val="center"/>
              <w:rPr>
                <w:noProof/>
                <w:sz w:val="20"/>
              </w:rPr>
            </w:pPr>
          </w:p>
        </w:tc>
        <w:tc>
          <w:tcPr>
            <w:tcW w:w="1440" w:type="dxa"/>
            <w:gridSpan w:val="2"/>
            <w:vAlign w:val="center"/>
          </w:tcPr>
          <w:p w14:paraId="15637139" w14:textId="77777777" w:rsidR="007F4C85" w:rsidRPr="004F6DAA" w:rsidRDefault="007F4C85" w:rsidP="00992B23">
            <w:pPr>
              <w:spacing w:before="20" w:after="20"/>
              <w:rPr>
                <w:noProof/>
                <w:sz w:val="18"/>
              </w:rPr>
            </w:pPr>
            <w:r w:rsidRPr="004F6DAA">
              <w:rPr>
                <w:noProof/>
                <w:sz w:val="18"/>
              </w:rPr>
              <w:t>Środki na płatności</w:t>
            </w:r>
          </w:p>
        </w:tc>
        <w:tc>
          <w:tcPr>
            <w:tcW w:w="654" w:type="dxa"/>
            <w:vAlign w:val="center"/>
          </w:tcPr>
          <w:p w14:paraId="22FB51C7" w14:textId="77777777" w:rsidR="007F4C85" w:rsidRPr="004F6DAA" w:rsidRDefault="007F4C85" w:rsidP="00992B23">
            <w:pPr>
              <w:spacing w:before="20" w:after="20"/>
              <w:jc w:val="center"/>
              <w:rPr>
                <w:noProof/>
                <w:sz w:val="14"/>
              </w:rPr>
            </w:pPr>
            <w:r w:rsidRPr="004F6DAA">
              <w:rPr>
                <w:noProof/>
                <w:sz w:val="14"/>
              </w:rPr>
              <w:t>(2a)</w:t>
            </w:r>
          </w:p>
        </w:tc>
        <w:tc>
          <w:tcPr>
            <w:tcW w:w="868" w:type="dxa"/>
          </w:tcPr>
          <w:p w14:paraId="1E7D105E" w14:textId="77777777" w:rsidR="007F4C85" w:rsidRPr="004F6DAA" w:rsidRDefault="007F4C85" w:rsidP="00992B23">
            <w:pPr>
              <w:spacing w:before="20" w:after="20"/>
              <w:jc w:val="right"/>
              <w:rPr>
                <w:noProof/>
                <w:sz w:val="20"/>
              </w:rPr>
            </w:pPr>
            <w:r w:rsidRPr="004F6DAA">
              <w:rPr>
                <w:noProof/>
                <w:sz w:val="20"/>
              </w:rPr>
              <w:t>0,500</w:t>
            </w:r>
          </w:p>
        </w:tc>
        <w:tc>
          <w:tcPr>
            <w:tcW w:w="868" w:type="dxa"/>
            <w:vAlign w:val="center"/>
          </w:tcPr>
          <w:p w14:paraId="3EE9AE28" w14:textId="77777777" w:rsidR="007F4C85" w:rsidRPr="004F6DAA" w:rsidRDefault="007F4C85" w:rsidP="00992B23">
            <w:pPr>
              <w:spacing w:before="20" w:after="20"/>
              <w:jc w:val="right"/>
              <w:rPr>
                <w:noProof/>
                <w:sz w:val="20"/>
              </w:rPr>
            </w:pPr>
            <w:r w:rsidRPr="004F6DAA">
              <w:rPr>
                <w:noProof/>
                <w:sz w:val="20"/>
              </w:rPr>
              <w:t>1,789</w:t>
            </w:r>
          </w:p>
        </w:tc>
        <w:tc>
          <w:tcPr>
            <w:tcW w:w="868" w:type="dxa"/>
            <w:vAlign w:val="center"/>
          </w:tcPr>
          <w:p w14:paraId="25CAFD5D" w14:textId="77777777" w:rsidR="007F4C85" w:rsidRPr="004F6DAA" w:rsidRDefault="007F4C85" w:rsidP="00992B23">
            <w:pPr>
              <w:spacing w:before="20" w:after="20"/>
              <w:jc w:val="right"/>
              <w:rPr>
                <w:noProof/>
                <w:sz w:val="20"/>
              </w:rPr>
            </w:pPr>
            <w:r w:rsidRPr="004F6DAA">
              <w:rPr>
                <w:noProof/>
                <w:sz w:val="20"/>
              </w:rPr>
              <w:t>1,680</w:t>
            </w:r>
          </w:p>
        </w:tc>
        <w:tc>
          <w:tcPr>
            <w:tcW w:w="868" w:type="dxa"/>
            <w:vAlign w:val="center"/>
          </w:tcPr>
          <w:p w14:paraId="7766A18A" w14:textId="77777777" w:rsidR="007F4C85" w:rsidRPr="004F6DAA" w:rsidRDefault="007F4C85" w:rsidP="00992B23">
            <w:pPr>
              <w:spacing w:before="20" w:after="20"/>
              <w:jc w:val="right"/>
              <w:rPr>
                <w:noProof/>
                <w:sz w:val="20"/>
              </w:rPr>
            </w:pPr>
            <w:r w:rsidRPr="004F6DAA">
              <w:rPr>
                <w:noProof/>
                <w:sz w:val="20"/>
              </w:rPr>
              <w:t>1,610</w:t>
            </w:r>
          </w:p>
        </w:tc>
        <w:tc>
          <w:tcPr>
            <w:tcW w:w="868" w:type="dxa"/>
            <w:vAlign w:val="center"/>
          </w:tcPr>
          <w:p w14:paraId="37501349" w14:textId="77777777" w:rsidR="007F4C85" w:rsidRPr="004F6DAA" w:rsidRDefault="007F4C85" w:rsidP="00992B23">
            <w:pPr>
              <w:spacing w:before="20" w:after="20"/>
              <w:jc w:val="right"/>
              <w:rPr>
                <w:noProof/>
                <w:sz w:val="20"/>
              </w:rPr>
            </w:pPr>
            <w:r w:rsidRPr="004F6DAA">
              <w:rPr>
                <w:noProof/>
                <w:sz w:val="20"/>
              </w:rPr>
              <w:t>1,890</w:t>
            </w:r>
          </w:p>
        </w:tc>
        <w:tc>
          <w:tcPr>
            <w:tcW w:w="899" w:type="dxa"/>
            <w:vAlign w:val="center"/>
          </w:tcPr>
          <w:p w14:paraId="16009D95" w14:textId="77777777" w:rsidR="007F4C85" w:rsidRPr="004F6DAA" w:rsidRDefault="007F4C85" w:rsidP="00992B23">
            <w:pPr>
              <w:spacing w:before="20" w:after="20"/>
              <w:jc w:val="right"/>
              <w:rPr>
                <w:noProof/>
                <w:sz w:val="20"/>
              </w:rPr>
            </w:pPr>
            <w:r w:rsidRPr="004F6DAA">
              <w:rPr>
                <w:noProof/>
                <w:sz w:val="20"/>
              </w:rPr>
              <w:t>1,450</w:t>
            </w:r>
          </w:p>
        </w:tc>
        <w:tc>
          <w:tcPr>
            <w:tcW w:w="1449" w:type="dxa"/>
            <w:vAlign w:val="center"/>
          </w:tcPr>
          <w:p w14:paraId="30AA0A3D" w14:textId="77777777" w:rsidR="007F4C85" w:rsidRPr="004F6DAA" w:rsidRDefault="007F4C85" w:rsidP="00992B23">
            <w:pPr>
              <w:spacing w:before="20" w:after="20"/>
              <w:jc w:val="right"/>
              <w:rPr>
                <w:b/>
                <w:noProof/>
                <w:sz w:val="20"/>
              </w:rPr>
            </w:pPr>
            <w:r w:rsidRPr="004F6DAA">
              <w:rPr>
                <w:b/>
                <w:noProof/>
                <w:sz w:val="20"/>
              </w:rPr>
              <w:t>8,919</w:t>
            </w:r>
          </w:p>
        </w:tc>
      </w:tr>
      <w:tr w:rsidR="007F4C85" w:rsidRPr="004F6DAA" w14:paraId="51180710" w14:textId="77777777" w:rsidTr="00992B23">
        <w:trPr>
          <w:trHeight w:val="231"/>
        </w:trPr>
        <w:tc>
          <w:tcPr>
            <w:tcW w:w="6054" w:type="dxa"/>
            <w:gridSpan w:val="4"/>
            <w:vAlign w:val="center"/>
          </w:tcPr>
          <w:p w14:paraId="66E1DCDD" w14:textId="77777777" w:rsidR="007F4C85" w:rsidRPr="004F6DAA" w:rsidRDefault="007F4C85" w:rsidP="00992B23">
            <w:pPr>
              <w:spacing w:before="20" w:after="20"/>
              <w:rPr>
                <w:noProof/>
              </w:rPr>
            </w:pPr>
            <w:r w:rsidRPr="004F6DAA">
              <w:rPr>
                <w:noProof/>
                <w:sz w:val="21"/>
              </w:rPr>
              <w:t>Środki administracyjne finansowane ze środków przydzielonych na określone programy</w:t>
            </w:r>
            <w:r w:rsidRPr="004F6DAA">
              <w:rPr>
                <w:rStyle w:val="Odwoanieprzypisudolnego"/>
                <w:noProof/>
                <w:sz w:val="21"/>
              </w:rPr>
              <w:footnoteReference w:id="60"/>
            </w:r>
            <w:r w:rsidRPr="004F6DAA">
              <w:rPr>
                <w:noProof/>
                <w:sz w:val="21"/>
              </w:rPr>
              <w:t xml:space="preserve"> </w:t>
            </w:r>
          </w:p>
          <w:p w14:paraId="01E30565" w14:textId="77777777" w:rsidR="007F4C85" w:rsidRPr="004F6DAA" w:rsidRDefault="007F4C85" w:rsidP="00992B23">
            <w:pPr>
              <w:spacing w:before="0" w:after="0"/>
              <w:rPr>
                <w:noProof/>
              </w:rPr>
            </w:pPr>
          </w:p>
        </w:tc>
        <w:tc>
          <w:tcPr>
            <w:tcW w:w="868" w:type="dxa"/>
          </w:tcPr>
          <w:p w14:paraId="7D52B7DF" w14:textId="77777777" w:rsidR="007F4C85" w:rsidRPr="004F6DAA" w:rsidRDefault="007F4C85" w:rsidP="00992B23">
            <w:pPr>
              <w:rPr>
                <w:b/>
                <w:noProof/>
                <w:sz w:val="20"/>
              </w:rPr>
            </w:pPr>
          </w:p>
        </w:tc>
        <w:tc>
          <w:tcPr>
            <w:tcW w:w="868" w:type="dxa"/>
            <w:vAlign w:val="center"/>
          </w:tcPr>
          <w:p w14:paraId="6964F174" w14:textId="77777777" w:rsidR="007F4C85" w:rsidRPr="004F6DAA" w:rsidRDefault="007F4C85" w:rsidP="00992B23">
            <w:pPr>
              <w:rPr>
                <w:b/>
                <w:noProof/>
                <w:sz w:val="20"/>
              </w:rPr>
            </w:pPr>
          </w:p>
        </w:tc>
        <w:tc>
          <w:tcPr>
            <w:tcW w:w="868" w:type="dxa"/>
            <w:vAlign w:val="center"/>
          </w:tcPr>
          <w:p w14:paraId="608FE141" w14:textId="77777777" w:rsidR="007F4C85" w:rsidRPr="004F6DAA" w:rsidRDefault="007F4C85" w:rsidP="00992B23">
            <w:pPr>
              <w:rPr>
                <w:b/>
                <w:noProof/>
                <w:sz w:val="20"/>
              </w:rPr>
            </w:pPr>
          </w:p>
        </w:tc>
        <w:tc>
          <w:tcPr>
            <w:tcW w:w="868" w:type="dxa"/>
            <w:vAlign w:val="center"/>
          </w:tcPr>
          <w:p w14:paraId="0AC16CF5" w14:textId="77777777" w:rsidR="007F4C85" w:rsidRPr="004F6DAA" w:rsidRDefault="007F4C85" w:rsidP="00992B23">
            <w:pPr>
              <w:rPr>
                <w:b/>
                <w:noProof/>
                <w:sz w:val="20"/>
              </w:rPr>
            </w:pPr>
          </w:p>
        </w:tc>
        <w:tc>
          <w:tcPr>
            <w:tcW w:w="868" w:type="dxa"/>
            <w:vAlign w:val="center"/>
          </w:tcPr>
          <w:p w14:paraId="397DAD86" w14:textId="77777777" w:rsidR="007F4C85" w:rsidRPr="004F6DAA" w:rsidRDefault="007F4C85" w:rsidP="00992B23">
            <w:pPr>
              <w:rPr>
                <w:b/>
                <w:noProof/>
                <w:sz w:val="20"/>
              </w:rPr>
            </w:pPr>
          </w:p>
        </w:tc>
        <w:tc>
          <w:tcPr>
            <w:tcW w:w="899" w:type="dxa"/>
            <w:vAlign w:val="center"/>
          </w:tcPr>
          <w:p w14:paraId="2576C233" w14:textId="77777777" w:rsidR="007F4C85" w:rsidRPr="004F6DAA" w:rsidRDefault="007F4C85" w:rsidP="00992B23">
            <w:pPr>
              <w:rPr>
                <w:b/>
                <w:noProof/>
                <w:sz w:val="20"/>
              </w:rPr>
            </w:pPr>
          </w:p>
        </w:tc>
        <w:tc>
          <w:tcPr>
            <w:tcW w:w="1449" w:type="dxa"/>
            <w:vAlign w:val="center"/>
          </w:tcPr>
          <w:p w14:paraId="5804F42B" w14:textId="77777777" w:rsidR="007F4C85" w:rsidRPr="004F6DAA" w:rsidRDefault="007F4C85" w:rsidP="00992B23">
            <w:pPr>
              <w:rPr>
                <w:b/>
                <w:noProof/>
                <w:sz w:val="20"/>
              </w:rPr>
            </w:pPr>
          </w:p>
        </w:tc>
      </w:tr>
      <w:tr w:rsidR="007F4C85" w:rsidRPr="004F6DAA" w14:paraId="4BB8F08C" w14:textId="77777777" w:rsidTr="00992B23">
        <w:trPr>
          <w:trHeight w:val="319"/>
        </w:trPr>
        <w:tc>
          <w:tcPr>
            <w:tcW w:w="3960" w:type="dxa"/>
            <w:vAlign w:val="center"/>
          </w:tcPr>
          <w:p w14:paraId="21D3CACE" w14:textId="77777777" w:rsidR="007F4C85" w:rsidRPr="004F6DAA" w:rsidRDefault="007F4C85" w:rsidP="00992B23">
            <w:pPr>
              <w:spacing w:before="60" w:after="60"/>
              <w:rPr>
                <w:noProof/>
              </w:rPr>
            </w:pPr>
            <w:r w:rsidRPr="004F6DAA">
              <w:rPr>
                <w:noProof/>
                <w:sz w:val="20"/>
              </w:rPr>
              <w:t>Linia budżetowa</w:t>
            </w:r>
          </w:p>
        </w:tc>
        <w:tc>
          <w:tcPr>
            <w:tcW w:w="1440" w:type="dxa"/>
            <w:gridSpan w:val="2"/>
            <w:vAlign w:val="center"/>
          </w:tcPr>
          <w:p w14:paraId="5517FA15" w14:textId="77777777" w:rsidR="007F4C85" w:rsidRPr="004F6DAA" w:rsidRDefault="007F4C85" w:rsidP="00992B23">
            <w:pPr>
              <w:spacing w:before="40" w:after="40"/>
              <w:jc w:val="right"/>
              <w:rPr>
                <w:noProof/>
                <w:sz w:val="18"/>
              </w:rPr>
            </w:pPr>
          </w:p>
        </w:tc>
        <w:tc>
          <w:tcPr>
            <w:tcW w:w="654" w:type="dxa"/>
            <w:vAlign w:val="center"/>
          </w:tcPr>
          <w:p w14:paraId="13E1C8C7" w14:textId="77777777" w:rsidR="007F4C85" w:rsidRPr="004F6DAA" w:rsidRDefault="007F4C85" w:rsidP="00992B23">
            <w:pPr>
              <w:spacing w:before="40" w:after="40"/>
              <w:jc w:val="center"/>
              <w:rPr>
                <w:noProof/>
                <w:sz w:val="14"/>
              </w:rPr>
            </w:pPr>
            <w:r w:rsidRPr="004F6DAA">
              <w:rPr>
                <w:noProof/>
                <w:sz w:val="14"/>
              </w:rPr>
              <w:t>(3)</w:t>
            </w:r>
          </w:p>
        </w:tc>
        <w:tc>
          <w:tcPr>
            <w:tcW w:w="868" w:type="dxa"/>
          </w:tcPr>
          <w:p w14:paraId="57E04944" w14:textId="77777777" w:rsidR="007F4C85" w:rsidRPr="004F6DAA" w:rsidRDefault="007F4C85" w:rsidP="00992B23">
            <w:pPr>
              <w:spacing w:before="40" w:after="40"/>
              <w:jc w:val="right"/>
              <w:rPr>
                <w:b/>
                <w:noProof/>
                <w:sz w:val="20"/>
              </w:rPr>
            </w:pPr>
          </w:p>
        </w:tc>
        <w:tc>
          <w:tcPr>
            <w:tcW w:w="868" w:type="dxa"/>
            <w:vAlign w:val="center"/>
          </w:tcPr>
          <w:p w14:paraId="5267A0C6" w14:textId="77777777" w:rsidR="007F4C85" w:rsidRPr="004F6DAA" w:rsidRDefault="007F4C85" w:rsidP="00992B23">
            <w:pPr>
              <w:spacing w:before="40" w:after="40"/>
              <w:jc w:val="right"/>
              <w:rPr>
                <w:b/>
                <w:noProof/>
                <w:sz w:val="20"/>
              </w:rPr>
            </w:pPr>
          </w:p>
        </w:tc>
        <w:tc>
          <w:tcPr>
            <w:tcW w:w="868" w:type="dxa"/>
            <w:vAlign w:val="center"/>
          </w:tcPr>
          <w:p w14:paraId="6C8FBB6C" w14:textId="77777777" w:rsidR="007F4C85" w:rsidRPr="004F6DAA" w:rsidRDefault="007F4C85" w:rsidP="00992B23">
            <w:pPr>
              <w:spacing w:before="40" w:after="40"/>
              <w:jc w:val="right"/>
              <w:rPr>
                <w:b/>
                <w:noProof/>
                <w:sz w:val="20"/>
              </w:rPr>
            </w:pPr>
          </w:p>
        </w:tc>
        <w:tc>
          <w:tcPr>
            <w:tcW w:w="868" w:type="dxa"/>
            <w:vAlign w:val="center"/>
          </w:tcPr>
          <w:p w14:paraId="611602DD" w14:textId="77777777" w:rsidR="007F4C85" w:rsidRPr="004F6DAA" w:rsidRDefault="007F4C85" w:rsidP="00992B23">
            <w:pPr>
              <w:spacing w:before="40" w:after="40"/>
              <w:jc w:val="right"/>
              <w:rPr>
                <w:b/>
                <w:noProof/>
                <w:sz w:val="20"/>
              </w:rPr>
            </w:pPr>
          </w:p>
        </w:tc>
        <w:tc>
          <w:tcPr>
            <w:tcW w:w="868" w:type="dxa"/>
            <w:vAlign w:val="center"/>
          </w:tcPr>
          <w:p w14:paraId="2478B007" w14:textId="77777777" w:rsidR="007F4C85" w:rsidRPr="004F6DAA" w:rsidRDefault="007F4C85" w:rsidP="00992B23">
            <w:pPr>
              <w:spacing w:before="40" w:after="40"/>
              <w:jc w:val="right"/>
              <w:rPr>
                <w:b/>
                <w:noProof/>
                <w:sz w:val="20"/>
              </w:rPr>
            </w:pPr>
          </w:p>
        </w:tc>
        <w:tc>
          <w:tcPr>
            <w:tcW w:w="899" w:type="dxa"/>
            <w:vAlign w:val="center"/>
          </w:tcPr>
          <w:p w14:paraId="4505CAEB" w14:textId="77777777" w:rsidR="007F4C85" w:rsidRPr="004F6DAA" w:rsidRDefault="007F4C85" w:rsidP="00992B23">
            <w:pPr>
              <w:spacing w:before="40" w:after="40"/>
              <w:jc w:val="right"/>
              <w:rPr>
                <w:b/>
                <w:noProof/>
                <w:sz w:val="20"/>
              </w:rPr>
            </w:pPr>
          </w:p>
        </w:tc>
        <w:tc>
          <w:tcPr>
            <w:tcW w:w="1449" w:type="dxa"/>
            <w:vAlign w:val="center"/>
          </w:tcPr>
          <w:p w14:paraId="0A467310" w14:textId="77777777" w:rsidR="007F4C85" w:rsidRPr="004F6DAA" w:rsidRDefault="007F4C85" w:rsidP="00992B23">
            <w:pPr>
              <w:spacing w:before="40" w:after="40"/>
              <w:jc w:val="right"/>
              <w:rPr>
                <w:b/>
                <w:noProof/>
                <w:sz w:val="20"/>
              </w:rPr>
            </w:pPr>
          </w:p>
        </w:tc>
      </w:tr>
      <w:tr w:rsidR="007F4C85" w:rsidRPr="004F6DAA" w14:paraId="431849E5" w14:textId="77777777" w:rsidTr="00992B23">
        <w:tc>
          <w:tcPr>
            <w:tcW w:w="3960" w:type="dxa"/>
            <w:vMerge w:val="restart"/>
            <w:vAlign w:val="center"/>
          </w:tcPr>
          <w:p w14:paraId="10F10C7E" w14:textId="77777777" w:rsidR="007F4C85" w:rsidRPr="004F6DAA" w:rsidRDefault="007F4C85" w:rsidP="00992B23">
            <w:pPr>
              <w:jc w:val="center"/>
              <w:rPr>
                <w:b/>
                <w:noProof/>
              </w:rPr>
            </w:pPr>
            <w:r w:rsidRPr="004F6DAA">
              <w:rPr>
                <w:b/>
                <w:noProof/>
                <w:sz w:val="22"/>
              </w:rPr>
              <w:t>OGÓŁEM środki</w:t>
            </w:r>
            <w:r w:rsidRPr="004F6DAA">
              <w:rPr>
                <w:noProof/>
              </w:rPr>
              <w:t xml:space="preserve"> </w:t>
            </w:r>
            <w:r w:rsidRPr="004F6DAA">
              <w:rPr>
                <w:noProof/>
              </w:rPr>
              <w:br/>
            </w:r>
            <w:r w:rsidRPr="004F6DAA">
              <w:rPr>
                <w:b/>
                <w:noProof/>
                <w:sz w:val="22"/>
              </w:rPr>
              <w:t>dla</w:t>
            </w:r>
            <w:r w:rsidRPr="004F6DAA">
              <w:rPr>
                <w:noProof/>
                <w:sz w:val="22"/>
              </w:rPr>
              <w:t xml:space="preserve"> DG ENV</w:t>
            </w:r>
          </w:p>
        </w:tc>
        <w:tc>
          <w:tcPr>
            <w:tcW w:w="1440" w:type="dxa"/>
            <w:gridSpan w:val="2"/>
            <w:vAlign w:val="center"/>
          </w:tcPr>
          <w:p w14:paraId="0A790B41" w14:textId="77777777" w:rsidR="007F4C85" w:rsidRPr="004F6DAA" w:rsidRDefault="007F4C85" w:rsidP="00992B23">
            <w:pPr>
              <w:rPr>
                <w:noProof/>
                <w:sz w:val="18"/>
              </w:rPr>
            </w:pPr>
            <w:r w:rsidRPr="004F6DAA">
              <w:rPr>
                <w:noProof/>
                <w:sz w:val="18"/>
              </w:rPr>
              <w:t>Środki na zobowiązania</w:t>
            </w:r>
          </w:p>
        </w:tc>
        <w:tc>
          <w:tcPr>
            <w:tcW w:w="654" w:type="dxa"/>
            <w:vAlign w:val="center"/>
          </w:tcPr>
          <w:p w14:paraId="60B1690B" w14:textId="77777777" w:rsidR="007F4C85" w:rsidRPr="004F6DAA" w:rsidRDefault="007F4C85" w:rsidP="00992B23">
            <w:pPr>
              <w:jc w:val="center"/>
              <w:rPr>
                <w:noProof/>
                <w:sz w:val="14"/>
              </w:rPr>
            </w:pPr>
            <w:r w:rsidRPr="004F6DAA">
              <w:rPr>
                <w:noProof/>
                <w:sz w:val="14"/>
              </w:rPr>
              <w:t>=1a+1b+3</w:t>
            </w:r>
          </w:p>
        </w:tc>
        <w:tc>
          <w:tcPr>
            <w:tcW w:w="868" w:type="dxa"/>
            <w:vAlign w:val="center"/>
          </w:tcPr>
          <w:p w14:paraId="1117C030" w14:textId="77777777" w:rsidR="007F4C85" w:rsidRPr="004F6DAA" w:rsidRDefault="007F4C85" w:rsidP="00992B23">
            <w:pPr>
              <w:spacing w:before="20" w:after="20"/>
              <w:jc w:val="right"/>
              <w:rPr>
                <w:noProof/>
                <w:sz w:val="20"/>
              </w:rPr>
            </w:pPr>
            <w:r w:rsidRPr="004F6DAA">
              <w:rPr>
                <w:noProof/>
                <w:sz w:val="20"/>
              </w:rPr>
              <w:t>0,500</w:t>
            </w:r>
          </w:p>
        </w:tc>
        <w:tc>
          <w:tcPr>
            <w:tcW w:w="868" w:type="dxa"/>
            <w:vAlign w:val="center"/>
          </w:tcPr>
          <w:p w14:paraId="5734A836" w14:textId="77777777" w:rsidR="007F4C85" w:rsidRPr="004F6DAA" w:rsidRDefault="007F4C85" w:rsidP="00992B23">
            <w:pPr>
              <w:spacing w:before="20" w:after="20"/>
              <w:jc w:val="right"/>
              <w:rPr>
                <w:noProof/>
                <w:sz w:val="20"/>
              </w:rPr>
            </w:pPr>
            <w:r w:rsidRPr="004F6DAA">
              <w:rPr>
                <w:noProof/>
                <w:sz w:val="20"/>
              </w:rPr>
              <w:t>1,789</w:t>
            </w:r>
          </w:p>
        </w:tc>
        <w:tc>
          <w:tcPr>
            <w:tcW w:w="868" w:type="dxa"/>
            <w:vAlign w:val="center"/>
          </w:tcPr>
          <w:p w14:paraId="1A25F0FE" w14:textId="77777777" w:rsidR="007F4C85" w:rsidRPr="004F6DAA" w:rsidRDefault="007F4C85" w:rsidP="00992B23">
            <w:pPr>
              <w:spacing w:before="20" w:after="20"/>
              <w:jc w:val="right"/>
              <w:rPr>
                <w:noProof/>
                <w:sz w:val="20"/>
              </w:rPr>
            </w:pPr>
            <w:r w:rsidRPr="004F6DAA">
              <w:rPr>
                <w:noProof/>
                <w:sz w:val="20"/>
              </w:rPr>
              <w:t>1,680</w:t>
            </w:r>
          </w:p>
        </w:tc>
        <w:tc>
          <w:tcPr>
            <w:tcW w:w="868" w:type="dxa"/>
            <w:vAlign w:val="center"/>
          </w:tcPr>
          <w:p w14:paraId="3C9AFDCA" w14:textId="77777777" w:rsidR="007F4C85" w:rsidRPr="004F6DAA" w:rsidRDefault="007F4C85" w:rsidP="00992B23">
            <w:pPr>
              <w:spacing w:before="20" w:after="20"/>
              <w:jc w:val="right"/>
              <w:rPr>
                <w:noProof/>
                <w:sz w:val="20"/>
              </w:rPr>
            </w:pPr>
            <w:r w:rsidRPr="004F6DAA">
              <w:rPr>
                <w:noProof/>
                <w:sz w:val="20"/>
              </w:rPr>
              <w:t>1,610</w:t>
            </w:r>
          </w:p>
        </w:tc>
        <w:tc>
          <w:tcPr>
            <w:tcW w:w="868" w:type="dxa"/>
            <w:vAlign w:val="center"/>
          </w:tcPr>
          <w:p w14:paraId="21070D18" w14:textId="77777777" w:rsidR="007F4C85" w:rsidRPr="004F6DAA" w:rsidRDefault="007F4C85" w:rsidP="00992B23">
            <w:pPr>
              <w:spacing w:before="20" w:after="20"/>
              <w:jc w:val="right"/>
              <w:rPr>
                <w:noProof/>
                <w:sz w:val="20"/>
              </w:rPr>
            </w:pPr>
            <w:r w:rsidRPr="004F6DAA">
              <w:rPr>
                <w:noProof/>
                <w:sz w:val="20"/>
              </w:rPr>
              <w:t>1,890</w:t>
            </w:r>
          </w:p>
        </w:tc>
        <w:tc>
          <w:tcPr>
            <w:tcW w:w="899" w:type="dxa"/>
            <w:vAlign w:val="center"/>
          </w:tcPr>
          <w:p w14:paraId="268E1BF9" w14:textId="77777777" w:rsidR="007F4C85" w:rsidRPr="004F6DAA" w:rsidRDefault="007F4C85" w:rsidP="00992B23">
            <w:pPr>
              <w:spacing w:before="20" w:after="20"/>
              <w:jc w:val="right"/>
              <w:rPr>
                <w:noProof/>
                <w:sz w:val="20"/>
              </w:rPr>
            </w:pPr>
            <w:r w:rsidRPr="004F6DAA">
              <w:rPr>
                <w:noProof/>
                <w:sz w:val="20"/>
              </w:rPr>
              <w:t>1,450</w:t>
            </w:r>
          </w:p>
        </w:tc>
        <w:tc>
          <w:tcPr>
            <w:tcW w:w="1449" w:type="dxa"/>
            <w:vAlign w:val="center"/>
          </w:tcPr>
          <w:p w14:paraId="34D3F986" w14:textId="77777777" w:rsidR="007F4C85" w:rsidRPr="004F6DAA" w:rsidRDefault="007F4C85" w:rsidP="00992B23">
            <w:pPr>
              <w:spacing w:before="20" w:after="20"/>
              <w:jc w:val="right"/>
              <w:rPr>
                <w:b/>
                <w:noProof/>
                <w:sz w:val="20"/>
              </w:rPr>
            </w:pPr>
            <w:r w:rsidRPr="004F6DAA">
              <w:rPr>
                <w:b/>
                <w:noProof/>
                <w:sz w:val="20"/>
              </w:rPr>
              <w:t>8,919</w:t>
            </w:r>
          </w:p>
        </w:tc>
      </w:tr>
      <w:tr w:rsidR="007F4C85" w:rsidRPr="004F6DAA" w14:paraId="3C474B41" w14:textId="77777777" w:rsidTr="00992B23">
        <w:tc>
          <w:tcPr>
            <w:tcW w:w="3960" w:type="dxa"/>
            <w:vMerge/>
          </w:tcPr>
          <w:p w14:paraId="15D7A338" w14:textId="77777777" w:rsidR="007F4C85" w:rsidRPr="004F6DAA" w:rsidRDefault="007F4C85" w:rsidP="00992B23">
            <w:pPr>
              <w:rPr>
                <w:noProof/>
                <w:sz w:val="20"/>
              </w:rPr>
            </w:pPr>
          </w:p>
        </w:tc>
        <w:tc>
          <w:tcPr>
            <w:tcW w:w="1440" w:type="dxa"/>
            <w:gridSpan w:val="2"/>
            <w:vAlign w:val="center"/>
          </w:tcPr>
          <w:p w14:paraId="0C9D6AB2" w14:textId="77777777" w:rsidR="007F4C85" w:rsidRPr="004F6DAA" w:rsidRDefault="007F4C85" w:rsidP="00992B23">
            <w:pPr>
              <w:rPr>
                <w:noProof/>
                <w:sz w:val="18"/>
              </w:rPr>
            </w:pPr>
            <w:r w:rsidRPr="004F6DAA">
              <w:rPr>
                <w:noProof/>
                <w:sz w:val="18"/>
              </w:rPr>
              <w:t>Środki na płatności</w:t>
            </w:r>
          </w:p>
        </w:tc>
        <w:tc>
          <w:tcPr>
            <w:tcW w:w="654" w:type="dxa"/>
            <w:vAlign w:val="center"/>
          </w:tcPr>
          <w:p w14:paraId="0E12EFDB" w14:textId="77777777" w:rsidR="007F4C85" w:rsidRPr="004F6DAA" w:rsidRDefault="007F4C85" w:rsidP="00992B23">
            <w:pPr>
              <w:jc w:val="center"/>
              <w:rPr>
                <w:noProof/>
                <w:sz w:val="14"/>
              </w:rPr>
            </w:pPr>
            <w:r w:rsidRPr="004F6DAA">
              <w:rPr>
                <w:noProof/>
                <w:sz w:val="14"/>
              </w:rPr>
              <w:t>=2a+2b</w:t>
            </w:r>
          </w:p>
          <w:p w14:paraId="07885916" w14:textId="77777777" w:rsidR="007F4C85" w:rsidRPr="004F6DAA" w:rsidRDefault="007F4C85" w:rsidP="00992B23">
            <w:pPr>
              <w:jc w:val="center"/>
              <w:rPr>
                <w:noProof/>
                <w:sz w:val="14"/>
              </w:rPr>
            </w:pPr>
            <w:r w:rsidRPr="004F6DAA">
              <w:rPr>
                <w:noProof/>
                <w:sz w:val="14"/>
              </w:rPr>
              <w:t>+3</w:t>
            </w:r>
          </w:p>
        </w:tc>
        <w:tc>
          <w:tcPr>
            <w:tcW w:w="868" w:type="dxa"/>
            <w:vAlign w:val="center"/>
          </w:tcPr>
          <w:p w14:paraId="14CE6122" w14:textId="77777777" w:rsidR="007F4C85" w:rsidRPr="004F6DAA" w:rsidRDefault="007F4C85" w:rsidP="00992B23">
            <w:pPr>
              <w:spacing w:before="20" w:after="20"/>
              <w:jc w:val="right"/>
              <w:rPr>
                <w:noProof/>
                <w:sz w:val="20"/>
              </w:rPr>
            </w:pPr>
            <w:r w:rsidRPr="004F6DAA">
              <w:rPr>
                <w:noProof/>
                <w:sz w:val="20"/>
              </w:rPr>
              <w:t>0,500</w:t>
            </w:r>
          </w:p>
        </w:tc>
        <w:tc>
          <w:tcPr>
            <w:tcW w:w="868" w:type="dxa"/>
            <w:vAlign w:val="center"/>
          </w:tcPr>
          <w:p w14:paraId="4C711B69" w14:textId="77777777" w:rsidR="007F4C85" w:rsidRPr="004F6DAA" w:rsidRDefault="007F4C85" w:rsidP="00992B23">
            <w:pPr>
              <w:spacing w:before="20" w:after="20"/>
              <w:jc w:val="right"/>
              <w:rPr>
                <w:noProof/>
                <w:sz w:val="20"/>
              </w:rPr>
            </w:pPr>
            <w:r w:rsidRPr="004F6DAA">
              <w:rPr>
                <w:noProof/>
                <w:sz w:val="20"/>
              </w:rPr>
              <w:t>1,789</w:t>
            </w:r>
          </w:p>
        </w:tc>
        <w:tc>
          <w:tcPr>
            <w:tcW w:w="868" w:type="dxa"/>
            <w:vAlign w:val="center"/>
          </w:tcPr>
          <w:p w14:paraId="2A355E9E" w14:textId="77777777" w:rsidR="007F4C85" w:rsidRPr="004F6DAA" w:rsidRDefault="007F4C85" w:rsidP="00992B23">
            <w:pPr>
              <w:spacing w:before="20" w:after="20"/>
              <w:jc w:val="right"/>
              <w:rPr>
                <w:noProof/>
                <w:sz w:val="20"/>
              </w:rPr>
            </w:pPr>
            <w:r w:rsidRPr="004F6DAA">
              <w:rPr>
                <w:noProof/>
                <w:sz w:val="20"/>
              </w:rPr>
              <w:t>1,680</w:t>
            </w:r>
          </w:p>
        </w:tc>
        <w:tc>
          <w:tcPr>
            <w:tcW w:w="868" w:type="dxa"/>
            <w:vAlign w:val="center"/>
          </w:tcPr>
          <w:p w14:paraId="5C7B9436" w14:textId="77777777" w:rsidR="007F4C85" w:rsidRPr="004F6DAA" w:rsidRDefault="007F4C85" w:rsidP="00992B23">
            <w:pPr>
              <w:spacing w:before="20" w:after="20"/>
              <w:jc w:val="right"/>
              <w:rPr>
                <w:noProof/>
                <w:sz w:val="20"/>
              </w:rPr>
            </w:pPr>
            <w:r w:rsidRPr="004F6DAA">
              <w:rPr>
                <w:noProof/>
                <w:sz w:val="20"/>
              </w:rPr>
              <w:t>1,610</w:t>
            </w:r>
          </w:p>
        </w:tc>
        <w:tc>
          <w:tcPr>
            <w:tcW w:w="868" w:type="dxa"/>
            <w:vAlign w:val="center"/>
          </w:tcPr>
          <w:p w14:paraId="0BF1BA08" w14:textId="77777777" w:rsidR="007F4C85" w:rsidRPr="004F6DAA" w:rsidRDefault="007F4C85" w:rsidP="00992B23">
            <w:pPr>
              <w:spacing w:before="20" w:after="20"/>
              <w:jc w:val="right"/>
              <w:rPr>
                <w:noProof/>
                <w:sz w:val="20"/>
              </w:rPr>
            </w:pPr>
            <w:r w:rsidRPr="004F6DAA">
              <w:rPr>
                <w:noProof/>
                <w:sz w:val="20"/>
              </w:rPr>
              <w:t>1,890</w:t>
            </w:r>
          </w:p>
        </w:tc>
        <w:tc>
          <w:tcPr>
            <w:tcW w:w="899" w:type="dxa"/>
            <w:vAlign w:val="center"/>
          </w:tcPr>
          <w:p w14:paraId="537A7349" w14:textId="77777777" w:rsidR="007F4C85" w:rsidRPr="004F6DAA" w:rsidRDefault="007F4C85" w:rsidP="00992B23">
            <w:pPr>
              <w:spacing w:before="20" w:after="20"/>
              <w:jc w:val="right"/>
              <w:rPr>
                <w:noProof/>
                <w:sz w:val="20"/>
              </w:rPr>
            </w:pPr>
            <w:r w:rsidRPr="004F6DAA">
              <w:rPr>
                <w:noProof/>
                <w:sz w:val="20"/>
              </w:rPr>
              <w:t>1,450</w:t>
            </w:r>
          </w:p>
        </w:tc>
        <w:tc>
          <w:tcPr>
            <w:tcW w:w="1449" w:type="dxa"/>
            <w:vAlign w:val="center"/>
          </w:tcPr>
          <w:p w14:paraId="1BA5A212" w14:textId="77777777" w:rsidR="007F4C85" w:rsidRPr="004F6DAA" w:rsidRDefault="007F4C85" w:rsidP="00992B23">
            <w:pPr>
              <w:spacing w:before="20" w:after="20"/>
              <w:jc w:val="right"/>
              <w:rPr>
                <w:b/>
                <w:noProof/>
                <w:sz w:val="20"/>
              </w:rPr>
            </w:pPr>
            <w:r w:rsidRPr="004F6DAA">
              <w:rPr>
                <w:b/>
                <w:noProof/>
                <w:sz w:val="20"/>
              </w:rPr>
              <w:t>8,919</w:t>
            </w:r>
          </w:p>
        </w:tc>
      </w:tr>
    </w:tbl>
    <w:p w14:paraId="161ED7BB" w14:textId="77777777" w:rsidR="00EA24A1" w:rsidRPr="004F6DAA" w:rsidRDefault="00EA24A1">
      <w:pPr>
        <w:rPr>
          <w:noProof/>
        </w:rPr>
      </w:pPr>
      <w:r w:rsidRPr="004F6DAA">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93"/>
        <w:gridCol w:w="47"/>
        <w:gridCol w:w="654"/>
        <w:gridCol w:w="868"/>
        <w:gridCol w:w="868"/>
        <w:gridCol w:w="868"/>
        <w:gridCol w:w="868"/>
        <w:gridCol w:w="868"/>
        <w:gridCol w:w="899"/>
        <w:gridCol w:w="1449"/>
      </w:tblGrid>
      <w:tr w:rsidR="00EA24A1" w:rsidRPr="004F6DAA" w14:paraId="5FD96A43" w14:textId="77777777" w:rsidTr="00EA24A1">
        <w:tc>
          <w:tcPr>
            <w:tcW w:w="3960" w:type="dxa"/>
            <w:vAlign w:val="center"/>
          </w:tcPr>
          <w:p w14:paraId="3846CF9D" w14:textId="77777777" w:rsidR="00EA24A1" w:rsidRPr="004F6DAA" w:rsidRDefault="00EA24A1" w:rsidP="00EA24A1">
            <w:pPr>
              <w:jc w:val="center"/>
              <w:rPr>
                <w:noProof/>
              </w:rPr>
            </w:pPr>
            <w:r w:rsidRPr="004F6DAA">
              <w:rPr>
                <w:noProof/>
                <w:sz w:val="22"/>
              </w:rPr>
              <w:t xml:space="preserve">Dyrekcja Generalna: </w:t>
            </w:r>
            <w:r w:rsidRPr="004F6DAA">
              <w:rPr>
                <w:b/>
                <w:noProof/>
                <w:sz w:val="22"/>
              </w:rPr>
              <w:t>DG TAXUD</w:t>
            </w:r>
          </w:p>
        </w:tc>
        <w:tc>
          <w:tcPr>
            <w:tcW w:w="1393" w:type="dxa"/>
          </w:tcPr>
          <w:p w14:paraId="0F979A19" w14:textId="77777777" w:rsidR="00EA24A1" w:rsidRPr="004F6DAA" w:rsidRDefault="00EA24A1" w:rsidP="00EA24A1">
            <w:pPr>
              <w:rPr>
                <w:noProof/>
                <w:sz w:val="20"/>
              </w:rPr>
            </w:pPr>
          </w:p>
        </w:tc>
        <w:tc>
          <w:tcPr>
            <w:tcW w:w="701" w:type="dxa"/>
            <w:gridSpan w:val="2"/>
          </w:tcPr>
          <w:p w14:paraId="45FF5F50" w14:textId="77777777" w:rsidR="00EA24A1" w:rsidRPr="004F6DAA" w:rsidRDefault="00EA24A1" w:rsidP="00EA24A1">
            <w:pPr>
              <w:jc w:val="center"/>
              <w:rPr>
                <w:noProof/>
                <w:sz w:val="20"/>
              </w:rPr>
            </w:pPr>
          </w:p>
        </w:tc>
        <w:tc>
          <w:tcPr>
            <w:tcW w:w="868" w:type="dxa"/>
            <w:vAlign w:val="center"/>
          </w:tcPr>
          <w:p w14:paraId="70F85CAC" w14:textId="77777777" w:rsidR="00EA24A1" w:rsidRPr="004F6DAA" w:rsidRDefault="00EA24A1" w:rsidP="00EA24A1">
            <w:pPr>
              <w:contextualSpacing/>
              <w:jc w:val="center"/>
              <w:rPr>
                <w:noProof/>
                <w:sz w:val="20"/>
              </w:rPr>
            </w:pPr>
            <w:r w:rsidRPr="004F6DAA">
              <w:rPr>
                <w:noProof/>
                <w:sz w:val="20"/>
              </w:rPr>
              <w:t>Rok</w:t>
            </w:r>
          </w:p>
          <w:p w14:paraId="03081FCF" w14:textId="77777777" w:rsidR="00EA24A1" w:rsidRPr="004F6DAA" w:rsidRDefault="00EA24A1" w:rsidP="00EA24A1">
            <w:pPr>
              <w:contextualSpacing/>
              <w:jc w:val="center"/>
              <w:rPr>
                <w:noProof/>
                <w:sz w:val="20"/>
              </w:rPr>
            </w:pPr>
            <w:r w:rsidRPr="004F6DAA">
              <w:rPr>
                <w:b/>
                <w:noProof/>
                <w:sz w:val="20"/>
              </w:rPr>
              <w:t>2022</w:t>
            </w:r>
          </w:p>
        </w:tc>
        <w:tc>
          <w:tcPr>
            <w:tcW w:w="868" w:type="dxa"/>
            <w:vAlign w:val="center"/>
          </w:tcPr>
          <w:p w14:paraId="69B8FC46" w14:textId="77777777" w:rsidR="00EA24A1" w:rsidRPr="004F6DAA" w:rsidRDefault="00EA24A1" w:rsidP="00EA24A1">
            <w:pPr>
              <w:contextualSpacing/>
              <w:jc w:val="center"/>
              <w:rPr>
                <w:noProof/>
                <w:sz w:val="20"/>
              </w:rPr>
            </w:pPr>
            <w:r w:rsidRPr="004F6DAA">
              <w:rPr>
                <w:noProof/>
                <w:sz w:val="20"/>
              </w:rPr>
              <w:t>Rok</w:t>
            </w:r>
          </w:p>
          <w:p w14:paraId="78B2EC7C" w14:textId="77777777" w:rsidR="00EA24A1" w:rsidRPr="004F6DAA" w:rsidRDefault="00EA24A1" w:rsidP="00EA24A1">
            <w:pPr>
              <w:contextualSpacing/>
              <w:jc w:val="center"/>
              <w:rPr>
                <w:noProof/>
                <w:sz w:val="20"/>
              </w:rPr>
            </w:pPr>
            <w:r w:rsidRPr="004F6DAA">
              <w:rPr>
                <w:b/>
                <w:noProof/>
                <w:sz w:val="20"/>
              </w:rPr>
              <w:t>2023</w:t>
            </w:r>
          </w:p>
        </w:tc>
        <w:tc>
          <w:tcPr>
            <w:tcW w:w="868" w:type="dxa"/>
            <w:vAlign w:val="center"/>
          </w:tcPr>
          <w:p w14:paraId="032746D7" w14:textId="77777777" w:rsidR="00EA24A1" w:rsidRPr="004F6DAA" w:rsidRDefault="00EA24A1" w:rsidP="00EA24A1">
            <w:pPr>
              <w:contextualSpacing/>
              <w:jc w:val="center"/>
              <w:rPr>
                <w:noProof/>
                <w:sz w:val="20"/>
              </w:rPr>
            </w:pPr>
            <w:r w:rsidRPr="004F6DAA">
              <w:rPr>
                <w:noProof/>
                <w:sz w:val="20"/>
              </w:rPr>
              <w:t>Rok</w:t>
            </w:r>
          </w:p>
          <w:p w14:paraId="14D547E7" w14:textId="77777777" w:rsidR="00EA24A1" w:rsidRPr="004F6DAA" w:rsidRDefault="00EA24A1" w:rsidP="00EA24A1">
            <w:pPr>
              <w:contextualSpacing/>
              <w:jc w:val="center"/>
              <w:rPr>
                <w:noProof/>
                <w:sz w:val="20"/>
              </w:rPr>
            </w:pPr>
            <w:r w:rsidRPr="004F6DAA">
              <w:rPr>
                <w:b/>
                <w:noProof/>
                <w:sz w:val="20"/>
              </w:rPr>
              <w:t>2024</w:t>
            </w:r>
          </w:p>
        </w:tc>
        <w:tc>
          <w:tcPr>
            <w:tcW w:w="868" w:type="dxa"/>
            <w:vAlign w:val="center"/>
          </w:tcPr>
          <w:p w14:paraId="55341953" w14:textId="77777777" w:rsidR="00EA24A1" w:rsidRPr="004F6DAA" w:rsidRDefault="00EA24A1" w:rsidP="001E16B3">
            <w:pPr>
              <w:contextualSpacing/>
              <w:jc w:val="center"/>
              <w:rPr>
                <w:noProof/>
                <w:sz w:val="20"/>
              </w:rPr>
            </w:pPr>
            <w:r w:rsidRPr="004F6DAA">
              <w:rPr>
                <w:noProof/>
                <w:sz w:val="20"/>
              </w:rPr>
              <w:t>Rok</w:t>
            </w:r>
          </w:p>
          <w:p w14:paraId="4ABC5CAB" w14:textId="77777777" w:rsidR="00EA24A1" w:rsidRPr="004F6DAA" w:rsidRDefault="00EA24A1" w:rsidP="001E16B3">
            <w:pPr>
              <w:contextualSpacing/>
              <w:jc w:val="center"/>
              <w:rPr>
                <w:noProof/>
                <w:sz w:val="20"/>
              </w:rPr>
            </w:pPr>
            <w:r w:rsidRPr="004F6DAA">
              <w:rPr>
                <w:b/>
                <w:noProof/>
                <w:sz w:val="20"/>
              </w:rPr>
              <w:t>2025</w:t>
            </w:r>
          </w:p>
        </w:tc>
        <w:tc>
          <w:tcPr>
            <w:tcW w:w="868" w:type="dxa"/>
            <w:vAlign w:val="center"/>
          </w:tcPr>
          <w:p w14:paraId="373BEBF5" w14:textId="77777777" w:rsidR="00EA24A1" w:rsidRPr="004F6DAA" w:rsidRDefault="00EA24A1" w:rsidP="001E16B3">
            <w:pPr>
              <w:contextualSpacing/>
              <w:jc w:val="center"/>
              <w:rPr>
                <w:noProof/>
                <w:sz w:val="20"/>
              </w:rPr>
            </w:pPr>
            <w:r w:rsidRPr="004F6DAA">
              <w:rPr>
                <w:noProof/>
                <w:sz w:val="20"/>
              </w:rPr>
              <w:t>Rok</w:t>
            </w:r>
          </w:p>
          <w:p w14:paraId="10D7D5B2" w14:textId="77777777" w:rsidR="00EA24A1" w:rsidRPr="004F6DAA" w:rsidRDefault="00EA24A1" w:rsidP="001E16B3">
            <w:pPr>
              <w:contextualSpacing/>
              <w:jc w:val="center"/>
              <w:rPr>
                <w:noProof/>
                <w:sz w:val="20"/>
              </w:rPr>
            </w:pPr>
            <w:r w:rsidRPr="004F6DAA">
              <w:rPr>
                <w:b/>
                <w:noProof/>
                <w:sz w:val="20"/>
              </w:rPr>
              <w:t>2026</w:t>
            </w:r>
          </w:p>
        </w:tc>
        <w:tc>
          <w:tcPr>
            <w:tcW w:w="899" w:type="dxa"/>
            <w:vAlign w:val="center"/>
          </w:tcPr>
          <w:p w14:paraId="432DD047" w14:textId="77777777" w:rsidR="00EA24A1" w:rsidRPr="004F6DAA" w:rsidRDefault="00EA24A1" w:rsidP="001E16B3">
            <w:pPr>
              <w:contextualSpacing/>
              <w:jc w:val="center"/>
              <w:rPr>
                <w:noProof/>
                <w:sz w:val="20"/>
              </w:rPr>
            </w:pPr>
            <w:r w:rsidRPr="004F6DAA">
              <w:rPr>
                <w:noProof/>
                <w:sz w:val="20"/>
              </w:rPr>
              <w:t>Rok</w:t>
            </w:r>
          </w:p>
          <w:p w14:paraId="4F9BF9A0" w14:textId="77777777" w:rsidR="00EA24A1" w:rsidRPr="004F6DAA" w:rsidRDefault="00EA24A1" w:rsidP="001E16B3">
            <w:pPr>
              <w:contextualSpacing/>
              <w:jc w:val="center"/>
              <w:rPr>
                <w:b/>
                <w:noProof/>
                <w:sz w:val="18"/>
              </w:rPr>
            </w:pPr>
            <w:r w:rsidRPr="004F6DAA">
              <w:rPr>
                <w:b/>
                <w:noProof/>
                <w:sz w:val="20"/>
              </w:rPr>
              <w:t xml:space="preserve">2027 </w:t>
            </w:r>
          </w:p>
        </w:tc>
        <w:tc>
          <w:tcPr>
            <w:tcW w:w="1449" w:type="dxa"/>
            <w:vAlign w:val="center"/>
          </w:tcPr>
          <w:p w14:paraId="2DC4540E" w14:textId="77777777" w:rsidR="00EA24A1" w:rsidRPr="004F6DAA" w:rsidRDefault="00EA24A1" w:rsidP="00EA24A1">
            <w:pPr>
              <w:jc w:val="center"/>
              <w:rPr>
                <w:b/>
                <w:noProof/>
                <w:sz w:val="20"/>
              </w:rPr>
            </w:pPr>
            <w:r w:rsidRPr="004F6DAA">
              <w:rPr>
                <w:b/>
                <w:noProof/>
                <w:sz w:val="20"/>
              </w:rPr>
              <w:t>OGÓŁEM (2022–2027)</w:t>
            </w:r>
          </w:p>
        </w:tc>
      </w:tr>
      <w:tr w:rsidR="007F4C85" w:rsidRPr="004F6DAA" w14:paraId="00BF220F" w14:textId="77777777" w:rsidTr="00992B23">
        <w:trPr>
          <w:trHeight w:val="213"/>
        </w:trPr>
        <w:tc>
          <w:tcPr>
            <w:tcW w:w="6054" w:type="dxa"/>
            <w:gridSpan w:val="4"/>
            <w:vAlign w:val="center"/>
          </w:tcPr>
          <w:p w14:paraId="32CE69A0" w14:textId="77777777" w:rsidR="007F4C85" w:rsidRPr="004F6DAA" w:rsidRDefault="007F4C85" w:rsidP="00992B23">
            <w:pPr>
              <w:spacing w:before="20" w:after="20"/>
              <w:rPr>
                <w:noProof/>
                <w:sz w:val="21"/>
              </w:rPr>
            </w:pPr>
            <w:r w:rsidRPr="004F6DAA">
              <w:rPr>
                <w:noProof/>
                <w:sz w:val="21"/>
              </w:rPr>
              <w:sym w:font="Wingdings" w:char="F09F"/>
            </w:r>
            <w:r w:rsidRPr="004F6DAA">
              <w:rPr>
                <w:noProof/>
              </w:rPr>
              <w:t xml:space="preserve"> Środki operacyjne</w:t>
            </w:r>
            <w:r w:rsidRPr="004F6DAA">
              <w:rPr>
                <w:noProof/>
                <w:sz w:val="21"/>
              </w:rPr>
              <w:t xml:space="preserve"> </w:t>
            </w:r>
          </w:p>
        </w:tc>
        <w:tc>
          <w:tcPr>
            <w:tcW w:w="868" w:type="dxa"/>
          </w:tcPr>
          <w:p w14:paraId="33B6FE6F" w14:textId="77777777" w:rsidR="007F4C85" w:rsidRPr="004F6DAA" w:rsidRDefault="007F4C85" w:rsidP="00992B23">
            <w:pPr>
              <w:rPr>
                <w:noProof/>
                <w:sz w:val="20"/>
              </w:rPr>
            </w:pPr>
          </w:p>
        </w:tc>
        <w:tc>
          <w:tcPr>
            <w:tcW w:w="868" w:type="dxa"/>
            <w:vAlign w:val="center"/>
          </w:tcPr>
          <w:p w14:paraId="0E4BC3F7" w14:textId="77777777" w:rsidR="007F4C85" w:rsidRPr="004F6DAA" w:rsidRDefault="007F4C85" w:rsidP="00992B23">
            <w:pPr>
              <w:rPr>
                <w:noProof/>
                <w:sz w:val="20"/>
              </w:rPr>
            </w:pPr>
          </w:p>
        </w:tc>
        <w:tc>
          <w:tcPr>
            <w:tcW w:w="868" w:type="dxa"/>
            <w:vAlign w:val="center"/>
          </w:tcPr>
          <w:p w14:paraId="0BA993D4" w14:textId="77777777" w:rsidR="007F4C85" w:rsidRPr="004F6DAA" w:rsidRDefault="007F4C85" w:rsidP="00992B23">
            <w:pPr>
              <w:rPr>
                <w:noProof/>
                <w:sz w:val="20"/>
              </w:rPr>
            </w:pPr>
          </w:p>
        </w:tc>
        <w:tc>
          <w:tcPr>
            <w:tcW w:w="868" w:type="dxa"/>
            <w:vAlign w:val="center"/>
          </w:tcPr>
          <w:p w14:paraId="0398EF3B" w14:textId="77777777" w:rsidR="007F4C85" w:rsidRPr="004F6DAA" w:rsidRDefault="007F4C85" w:rsidP="00992B23">
            <w:pPr>
              <w:rPr>
                <w:noProof/>
                <w:sz w:val="20"/>
              </w:rPr>
            </w:pPr>
          </w:p>
        </w:tc>
        <w:tc>
          <w:tcPr>
            <w:tcW w:w="868" w:type="dxa"/>
            <w:vAlign w:val="center"/>
          </w:tcPr>
          <w:p w14:paraId="1D1E5B4A" w14:textId="77777777" w:rsidR="007F4C85" w:rsidRPr="004F6DAA" w:rsidRDefault="007F4C85" w:rsidP="00992B23">
            <w:pPr>
              <w:rPr>
                <w:noProof/>
                <w:sz w:val="20"/>
              </w:rPr>
            </w:pPr>
          </w:p>
        </w:tc>
        <w:tc>
          <w:tcPr>
            <w:tcW w:w="899" w:type="dxa"/>
            <w:vAlign w:val="center"/>
          </w:tcPr>
          <w:p w14:paraId="30A0E9D8" w14:textId="77777777" w:rsidR="007F4C85" w:rsidRPr="004F6DAA" w:rsidRDefault="007F4C85" w:rsidP="00992B23">
            <w:pPr>
              <w:rPr>
                <w:noProof/>
                <w:sz w:val="20"/>
              </w:rPr>
            </w:pPr>
          </w:p>
        </w:tc>
        <w:tc>
          <w:tcPr>
            <w:tcW w:w="1449" w:type="dxa"/>
            <w:vAlign w:val="center"/>
          </w:tcPr>
          <w:p w14:paraId="2837D3A5" w14:textId="77777777" w:rsidR="007F4C85" w:rsidRPr="004F6DAA" w:rsidRDefault="007F4C85" w:rsidP="00992B23">
            <w:pPr>
              <w:rPr>
                <w:b/>
                <w:noProof/>
                <w:sz w:val="20"/>
              </w:rPr>
            </w:pPr>
          </w:p>
        </w:tc>
      </w:tr>
      <w:tr w:rsidR="007F4C85" w:rsidRPr="004F6DAA" w14:paraId="41C6AEA0" w14:textId="77777777" w:rsidTr="00992B23">
        <w:trPr>
          <w:trHeight w:val="277"/>
        </w:trPr>
        <w:tc>
          <w:tcPr>
            <w:tcW w:w="3960" w:type="dxa"/>
            <w:vMerge w:val="restart"/>
            <w:vAlign w:val="center"/>
          </w:tcPr>
          <w:p w14:paraId="3F8A4702" w14:textId="77777777" w:rsidR="007F4C85" w:rsidRPr="004F6DAA" w:rsidRDefault="007F4C85" w:rsidP="00992B23">
            <w:pPr>
              <w:rPr>
                <w:noProof/>
              </w:rPr>
            </w:pPr>
            <w:r w:rsidRPr="004F6DAA">
              <w:rPr>
                <w:noProof/>
              </w:rPr>
              <w:t>09 02 01 – Przyroda</w:t>
            </w:r>
            <w:r w:rsidR="00062BFA" w:rsidRPr="004F6DAA">
              <w:rPr>
                <w:noProof/>
              </w:rPr>
              <w:t xml:space="preserve"> i</w:t>
            </w:r>
            <w:r w:rsidR="00062BFA">
              <w:rPr>
                <w:noProof/>
              </w:rPr>
              <w:t> </w:t>
            </w:r>
            <w:r w:rsidR="00062BFA" w:rsidRPr="004F6DAA">
              <w:rPr>
                <w:noProof/>
              </w:rPr>
              <w:t>róż</w:t>
            </w:r>
            <w:r w:rsidRPr="004F6DAA">
              <w:rPr>
                <w:noProof/>
              </w:rPr>
              <w:t>norodność biologiczna</w:t>
            </w:r>
          </w:p>
        </w:tc>
        <w:tc>
          <w:tcPr>
            <w:tcW w:w="1440" w:type="dxa"/>
            <w:gridSpan w:val="2"/>
            <w:vAlign w:val="center"/>
          </w:tcPr>
          <w:p w14:paraId="36D2DBFD" w14:textId="77777777" w:rsidR="007F4C85" w:rsidRPr="004F6DAA" w:rsidRDefault="007F4C85" w:rsidP="00992B23">
            <w:pPr>
              <w:spacing w:before="20" w:after="20"/>
              <w:rPr>
                <w:noProof/>
                <w:sz w:val="18"/>
              </w:rPr>
            </w:pPr>
            <w:r w:rsidRPr="004F6DAA">
              <w:rPr>
                <w:noProof/>
                <w:sz w:val="18"/>
              </w:rPr>
              <w:t>Środki na zobowiązania</w:t>
            </w:r>
          </w:p>
        </w:tc>
        <w:tc>
          <w:tcPr>
            <w:tcW w:w="654" w:type="dxa"/>
            <w:vAlign w:val="center"/>
          </w:tcPr>
          <w:p w14:paraId="524E4A0F" w14:textId="77777777" w:rsidR="007F4C85" w:rsidRPr="004F6DAA" w:rsidRDefault="007F4C85" w:rsidP="00992B23">
            <w:pPr>
              <w:spacing w:before="20" w:after="20"/>
              <w:jc w:val="center"/>
              <w:rPr>
                <w:noProof/>
                <w:sz w:val="14"/>
              </w:rPr>
            </w:pPr>
            <w:r w:rsidRPr="004F6DAA">
              <w:rPr>
                <w:noProof/>
                <w:sz w:val="14"/>
              </w:rPr>
              <w:t>(1a)</w:t>
            </w:r>
          </w:p>
        </w:tc>
        <w:tc>
          <w:tcPr>
            <w:tcW w:w="868" w:type="dxa"/>
          </w:tcPr>
          <w:p w14:paraId="207BF06D" w14:textId="77777777" w:rsidR="007F4C85" w:rsidRPr="004F6DAA" w:rsidRDefault="007F4C85" w:rsidP="00992B23">
            <w:pPr>
              <w:spacing w:before="20" w:after="20"/>
              <w:jc w:val="center"/>
              <w:rPr>
                <w:noProof/>
                <w:sz w:val="20"/>
              </w:rPr>
            </w:pPr>
            <w:r w:rsidRPr="004F6DAA">
              <w:rPr>
                <w:noProof/>
                <w:sz w:val="20"/>
              </w:rPr>
              <w:t>-</w:t>
            </w:r>
          </w:p>
        </w:tc>
        <w:tc>
          <w:tcPr>
            <w:tcW w:w="868" w:type="dxa"/>
          </w:tcPr>
          <w:p w14:paraId="4DC34A4E" w14:textId="77777777" w:rsidR="007F4C85" w:rsidRPr="004F6DAA" w:rsidRDefault="007F4C85" w:rsidP="00992B23">
            <w:pPr>
              <w:spacing w:before="20" w:after="20"/>
              <w:jc w:val="right"/>
              <w:rPr>
                <w:noProof/>
                <w:sz w:val="20"/>
              </w:rPr>
            </w:pPr>
            <w:r w:rsidRPr="004F6DAA">
              <w:rPr>
                <w:noProof/>
                <w:sz w:val="20"/>
              </w:rPr>
              <w:t>0,150</w:t>
            </w:r>
          </w:p>
        </w:tc>
        <w:tc>
          <w:tcPr>
            <w:tcW w:w="868" w:type="dxa"/>
          </w:tcPr>
          <w:p w14:paraId="580681D4" w14:textId="77777777" w:rsidR="007F4C85" w:rsidRPr="004F6DAA" w:rsidRDefault="007F4C85" w:rsidP="00992B23">
            <w:pPr>
              <w:spacing w:before="20" w:after="20"/>
              <w:jc w:val="right"/>
              <w:rPr>
                <w:noProof/>
                <w:sz w:val="20"/>
              </w:rPr>
            </w:pPr>
            <w:r w:rsidRPr="004F6DAA">
              <w:rPr>
                <w:noProof/>
                <w:sz w:val="20"/>
              </w:rPr>
              <w:t>0,300</w:t>
            </w:r>
          </w:p>
        </w:tc>
        <w:tc>
          <w:tcPr>
            <w:tcW w:w="868" w:type="dxa"/>
          </w:tcPr>
          <w:p w14:paraId="0CAF86A6" w14:textId="77777777" w:rsidR="007F4C85" w:rsidRPr="004F6DAA" w:rsidRDefault="007F4C85" w:rsidP="00992B23">
            <w:pPr>
              <w:spacing w:before="20" w:after="20"/>
              <w:jc w:val="right"/>
              <w:rPr>
                <w:noProof/>
                <w:sz w:val="20"/>
              </w:rPr>
            </w:pPr>
            <w:r w:rsidRPr="004F6DAA">
              <w:rPr>
                <w:noProof/>
                <w:sz w:val="20"/>
              </w:rPr>
              <w:t>0,250</w:t>
            </w:r>
          </w:p>
        </w:tc>
        <w:tc>
          <w:tcPr>
            <w:tcW w:w="868" w:type="dxa"/>
          </w:tcPr>
          <w:p w14:paraId="44CD3F9C" w14:textId="77777777" w:rsidR="007F4C85" w:rsidRPr="004F6DAA" w:rsidRDefault="007F4C85" w:rsidP="00992B23">
            <w:pPr>
              <w:spacing w:before="20" w:after="20"/>
              <w:jc w:val="right"/>
              <w:rPr>
                <w:noProof/>
                <w:sz w:val="20"/>
              </w:rPr>
            </w:pPr>
            <w:r w:rsidRPr="004F6DAA">
              <w:rPr>
                <w:noProof/>
                <w:sz w:val="20"/>
              </w:rPr>
              <w:t>0,125</w:t>
            </w:r>
          </w:p>
        </w:tc>
        <w:tc>
          <w:tcPr>
            <w:tcW w:w="899" w:type="dxa"/>
          </w:tcPr>
          <w:p w14:paraId="110E0B15" w14:textId="77777777" w:rsidR="007F4C85" w:rsidRPr="004F6DAA" w:rsidRDefault="007F4C85" w:rsidP="00992B23">
            <w:pPr>
              <w:spacing w:before="20" w:after="20"/>
              <w:jc w:val="right"/>
              <w:rPr>
                <w:noProof/>
                <w:sz w:val="20"/>
              </w:rPr>
            </w:pPr>
            <w:r w:rsidRPr="004F6DAA">
              <w:rPr>
                <w:noProof/>
                <w:sz w:val="20"/>
              </w:rPr>
              <w:t>0,125</w:t>
            </w:r>
          </w:p>
        </w:tc>
        <w:tc>
          <w:tcPr>
            <w:tcW w:w="1449" w:type="dxa"/>
            <w:vAlign w:val="center"/>
          </w:tcPr>
          <w:p w14:paraId="62CBDC13" w14:textId="77777777" w:rsidR="007F4C85" w:rsidRPr="004F6DAA" w:rsidRDefault="007F4C85" w:rsidP="00992B23">
            <w:pPr>
              <w:spacing w:before="20" w:after="20"/>
              <w:jc w:val="right"/>
              <w:rPr>
                <w:b/>
                <w:noProof/>
                <w:sz w:val="20"/>
              </w:rPr>
            </w:pPr>
            <w:r w:rsidRPr="004F6DAA">
              <w:rPr>
                <w:noProof/>
                <w:sz w:val="20"/>
              </w:rPr>
              <w:t>0,950</w:t>
            </w:r>
          </w:p>
        </w:tc>
      </w:tr>
      <w:tr w:rsidR="007F4C85" w:rsidRPr="004F6DAA" w14:paraId="69013BDE" w14:textId="77777777" w:rsidTr="00992B23">
        <w:tc>
          <w:tcPr>
            <w:tcW w:w="3960" w:type="dxa"/>
            <w:vMerge/>
          </w:tcPr>
          <w:p w14:paraId="7E261546" w14:textId="77777777" w:rsidR="007F4C85" w:rsidRPr="004F6DAA" w:rsidRDefault="007F4C85" w:rsidP="00992B23">
            <w:pPr>
              <w:jc w:val="center"/>
              <w:rPr>
                <w:noProof/>
                <w:sz w:val="20"/>
              </w:rPr>
            </w:pPr>
          </w:p>
        </w:tc>
        <w:tc>
          <w:tcPr>
            <w:tcW w:w="1440" w:type="dxa"/>
            <w:gridSpan w:val="2"/>
            <w:vAlign w:val="center"/>
          </w:tcPr>
          <w:p w14:paraId="160B26E1" w14:textId="77777777" w:rsidR="007F4C85" w:rsidRPr="004F6DAA" w:rsidRDefault="007F4C85" w:rsidP="00992B23">
            <w:pPr>
              <w:spacing w:before="20" w:after="20"/>
              <w:rPr>
                <w:noProof/>
                <w:sz w:val="18"/>
              </w:rPr>
            </w:pPr>
            <w:r w:rsidRPr="004F6DAA">
              <w:rPr>
                <w:noProof/>
                <w:sz w:val="18"/>
              </w:rPr>
              <w:t>Środki na płatności</w:t>
            </w:r>
          </w:p>
        </w:tc>
        <w:tc>
          <w:tcPr>
            <w:tcW w:w="654" w:type="dxa"/>
            <w:vAlign w:val="center"/>
          </w:tcPr>
          <w:p w14:paraId="44DF305F" w14:textId="77777777" w:rsidR="007F4C85" w:rsidRPr="004F6DAA" w:rsidRDefault="007F4C85" w:rsidP="00992B23">
            <w:pPr>
              <w:spacing w:before="20" w:after="20"/>
              <w:jc w:val="center"/>
              <w:rPr>
                <w:noProof/>
                <w:sz w:val="14"/>
              </w:rPr>
            </w:pPr>
            <w:r w:rsidRPr="004F6DAA">
              <w:rPr>
                <w:noProof/>
                <w:sz w:val="14"/>
              </w:rPr>
              <w:t>(2a)</w:t>
            </w:r>
          </w:p>
        </w:tc>
        <w:tc>
          <w:tcPr>
            <w:tcW w:w="868" w:type="dxa"/>
          </w:tcPr>
          <w:p w14:paraId="414F93EA" w14:textId="77777777" w:rsidR="007F4C85" w:rsidRPr="004F6DAA" w:rsidRDefault="007F4C85" w:rsidP="00992B23">
            <w:pPr>
              <w:spacing w:before="20" w:after="20"/>
              <w:jc w:val="center"/>
              <w:rPr>
                <w:noProof/>
                <w:sz w:val="20"/>
              </w:rPr>
            </w:pPr>
            <w:r w:rsidRPr="004F6DAA">
              <w:rPr>
                <w:noProof/>
                <w:sz w:val="20"/>
              </w:rPr>
              <w:t>-</w:t>
            </w:r>
          </w:p>
        </w:tc>
        <w:tc>
          <w:tcPr>
            <w:tcW w:w="868" w:type="dxa"/>
          </w:tcPr>
          <w:p w14:paraId="24EA44F6" w14:textId="77777777" w:rsidR="007F4C85" w:rsidRPr="004F6DAA" w:rsidRDefault="007F4C85" w:rsidP="00992B23">
            <w:pPr>
              <w:spacing w:before="20" w:after="20"/>
              <w:jc w:val="right"/>
              <w:rPr>
                <w:noProof/>
                <w:sz w:val="20"/>
              </w:rPr>
            </w:pPr>
            <w:r w:rsidRPr="004F6DAA">
              <w:rPr>
                <w:noProof/>
                <w:sz w:val="20"/>
              </w:rPr>
              <w:t>0,150</w:t>
            </w:r>
          </w:p>
        </w:tc>
        <w:tc>
          <w:tcPr>
            <w:tcW w:w="868" w:type="dxa"/>
          </w:tcPr>
          <w:p w14:paraId="4A6459BF" w14:textId="77777777" w:rsidR="007F4C85" w:rsidRPr="004F6DAA" w:rsidRDefault="007F4C85" w:rsidP="00992B23">
            <w:pPr>
              <w:spacing w:before="20" w:after="20"/>
              <w:jc w:val="right"/>
              <w:rPr>
                <w:noProof/>
                <w:sz w:val="20"/>
              </w:rPr>
            </w:pPr>
            <w:r w:rsidRPr="004F6DAA">
              <w:rPr>
                <w:noProof/>
                <w:sz w:val="20"/>
              </w:rPr>
              <w:t>0,300</w:t>
            </w:r>
          </w:p>
        </w:tc>
        <w:tc>
          <w:tcPr>
            <w:tcW w:w="868" w:type="dxa"/>
          </w:tcPr>
          <w:p w14:paraId="06D3E010" w14:textId="77777777" w:rsidR="007F4C85" w:rsidRPr="004F6DAA" w:rsidRDefault="007F4C85" w:rsidP="00992B23">
            <w:pPr>
              <w:spacing w:before="20" w:after="20"/>
              <w:jc w:val="right"/>
              <w:rPr>
                <w:noProof/>
                <w:sz w:val="20"/>
              </w:rPr>
            </w:pPr>
            <w:r w:rsidRPr="004F6DAA">
              <w:rPr>
                <w:noProof/>
                <w:sz w:val="20"/>
              </w:rPr>
              <w:t>0,250</w:t>
            </w:r>
          </w:p>
        </w:tc>
        <w:tc>
          <w:tcPr>
            <w:tcW w:w="868" w:type="dxa"/>
          </w:tcPr>
          <w:p w14:paraId="094779F7" w14:textId="77777777" w:rsidR="007F4C85" w:rsidRPr="004F6DAA" w:rsidRDefault="007F4C85" w:rsidP="00992B23">
            <w:pPr>
              <w:spacing w:before="20" w:after="20"/>
              <w:jc w:val="right"/>
              <w:rPr>
                <w:noProof/>
                <w:sz w:val="20"/>
              </w:rPr>
            </w:pPr>
            <w:r w:rsidRPr="004F6DAA">
              <w:rPr>
                <w:noProof/>
                <w:sz w:val="20"/>
              </w:rPr>
              <w:t>0,125</w:t>
            </w:r>
          </w:p>
        </w:tc>
        <w:tc>
          <w:tcPr>
            <w:tcW w:w="899" w:type="dxa"/>
          </w:tcPr>
          <w:p w14:paraId="161EBC65" w14:textId="77777777" w:rsidR="007F4C85" w:rsidRPr="004F6DAA" w:rsidRDefault="007F4C85" w:rsidP="00992B23">
            <w:pPr>
              <w:spacing w:before="20" w:after="20"/>
              <w:jc w:val="right"/>
              <w:rPr>
                <w:noProof/>
                <w:sz w:val="20"/>
              </w:rPr>
            </w:pPr>
            <w:r w:rsidRPr="004F6DAA">
              <w:rPr>
                <w:noProof/>
                <w:sz w:val="20"/>
              </w:rPr>
              <w:t>0,125</w:t>
            </w:r>
          </w:p>
        </w:tc>
        <w:tc>
          <w:tcPr>
            <w:tcW w:w="1449" w:type="dxa"/>
            <w:vAlign w:val="center"/>
          </w:tcPr>
          <w:p w14:paraId="342E22FE" w14:textId="77777777" w:rsidR="007F4C85" w:rsidRPr="004F6DAA" w:rsidRDefault="007F4C85" w:rsidP="00992B23">
            <w:pPr>
              <w:spacing w:before="20" w:after="20"/>
              <w:jc w:val="right"/>
              <w:rPr>
                <w:b/>
                <w:noProof/>
                <w:sz w:val="20"/>
              </w:rPr>
            </w:pPr>
            <w:r w:rsidRPr="004F6DAA">
              <w:rPr>
                <w:noProof/>
                <w:sz w:val="20"/>
              </w:rPr>
              <w:t>0,950</w:t>
            </w:r>
          </w:p>
        </w:tc>
      </w:tr>
      <w:tr w:rsidR="007F4C85" w:rsidRPr="004F6DAA" w14:paraId="586C5632" w14:textId="77777777" w:rsidTr="00992B23">
        <w:trPr>
          <w:trHeight w:val="231"/>
        </w:trPr>
        <w:tc>
          <w:tcPr>
            <w:tcW w:w="6054" w:type="dxa"/>
            <w:gridSpan w:val="4"/>
            <w:vAlign w:val="center"/>
          </w:tcPr>
          <w:p w14:paraId="6F62AC6E" w14:textId="77777777" w:rsidR="007F4C85" w:rsidRPr="004F6DAA" w:rsidRDefault="007F4C85" w:rsidP="00992B23">
            <w:pPr>
              <w:spacing w:before="20" w:after="20"/>
              <w:rPr>
                <w:noProof/>
              </w:rPr>
            </w:pPr>
            <w:r w:rsidRPr="004F6DAA">
              <w:rPr>
                <w:noProof/>
                <w:sz w:val="21"/>
              </w:rPr>
              <w:t>Środki administracyjne finansowane ze środków przydzielonych na określone programy</w:t>
            </w:r>
            <w:r w:rsidRPr="004F6DAA">
              <w:rPr>
                <w:rStyle w:val="Odwoanieprzypisudolnego"/>
                <w:noProof/>
                <w:sz w:val="21"/>
              </w:rPr>
              <w:footnoteReference w:id="61"/>
            </w:r>
            <w:r w:rsidRPr="004F6DAA">
              <w:rPr>
                <w:noProof/>
                <w:sz w:val="21"/>
              </w:rPr>
              <w:t xml:space="preserve"> </w:t>
            </w:r>
          </w:p>
          <w:p w14:paraId="377DF0AC" w14:textId="77777777" w:rsidR="007F4C85" w:rsidRPr="004F6DAA" w:rsidRDefault="007F4C85" w:rsidP="00992B23">
            <w:pPr>
              <w:spacing w:before="0" w:after="0"/>
              <w:rPr>
                <w:noProof/>
              </w:rPr>
            </w:pPr>
          </w:p>
        </w:tc>
        <w:tc>
          <w:tcPr>
            <w:tcW w:w="868" w:type="dxa"/>
          </w:tcPr>
          <w:p w14:paraId="7586C1EF" w14:textId="77777777" w:rsidR="007F4C85" w:rsidRPr="004F6DAA" w:rsidRDefault="007F4C85" w:rsidP="00992B23">
            <w:pPr>
              <w:rPr>
                <w:b/>
                <w:noProof/>
                <w:sz w:val="20"/>
              </w:rPr>
            </w:pPr>
          </w:p>
        </w:tc>
        <w:tc>
          <w:tcPr>
            <w:tcW w:w="868" w:type="dxa"/>
            <w:vAlign w:val="center"/>
          </w:tcPr>
          <w:p w14:paraId="4DCAEAA7" w14:textId="77777777" w:rsidR="007F4C85" w:rsidRPr="004F6DAA" w:rsidRDefault="007F4C85" w:rsidP="00992B23">
            <w:pPr>
              <w:rPr>
                <w:b/>
                <w:noProof/>
                <w:sz w:val="20"/>
              </w:rPr>
            </w:pPr>
          </w:p>
        </w:tc>
        <w:tc>
          <w:tcPr>
            <w:tcW w:w="868" w:type="dxa"/>
            <w:vAlign w:val="center"/>
          </w:tcPr>
          <w:p w14:paraId="7C98FA2E" w14:textId="77777777" w:rsidR="007F4C85" w:rsidRPr="004F6DAA" w:rsidRDefault="007F4C85" w:rsidP="00992B23">
            <w:pPr>
              <w:rPr>
                <w:b/>
                <w:noProof/>
                <w:sz w:val="20"/>
              </w:rPr>
            </w:pPr>
          </w:p>
        </w:tc>
        <w:tc>
          <w:tcPr>
            <w:tcW w:w="868" w:type="dxa"/>
            <w:vAlign w:val="center"/>
          </w:tcPr>
          <w:p w14:paraId="13C2BE09" w14:textId="77777777" w:rsidR="007F4C85" w:rsidRPr="004F6DAA" w:rsidRDefault="007F4C85" w:rsidP="00992B23">
            <w:pPr>
              <w:rPr>
                <w:b/>
                <w:noProof/>
                <w:sz w:val="20"/>
              </w:rPr>
            </w:pPr>
          </w:p>
        </w:tc>
        <w:tc>
          <w:tcPr>
            <w:tcW w:w="868" w:type="dxa"/>
            <w:vAlign w:val="center"/>
          </w:tcPr>
          <w:p w14:paraId="3101148B" w14:textId="77777777" w:rsidR="007F4C85" w:rsidRPr="004F6DAA" w:rsidRDefault="007F4C85" w:rsidP="00992B23">
            <w:pPr>
              <w:rPr>
                <w:b/>
                <w:noProof/>
                <w:sz w:val="20"/>
              </w:rPr>
            </w:pPr>
          </w:p>
        </w:tc>
        <w:tc>
          <w:tcPr>
            <w:tcW w:w="899" w:type="dxa"/>
            <w:vAlign w:val="center"/>
          </w:tcPr>
          <w:p w14:paraId="117DF7F5" w14:textId="77777777" w:rsidR="007F4C85" w:rsidRPr="004F6DAA" w:rsidRDefault="007F4C85" w:rsidP="00992B23">
            <w:pPr>
              <w:rPr>
                <w:b/>
                <w:noProof/>
                <w:sz w:val="20"/>
              </w:rPr>
            </w:pPr>
          </w:p>
        </w:tc>
        <w:tc>
          <w:tcPr>
            <w:tcW w:w="1449" w:type="dxa"/>
            <w:vAlign w:val="center"/>
          </w:tcPr>
          <w:p w14:paraId="289E3537" w14:textId="77777777" w:rsidR="007F4C85" w:rsidRPr="004F6DAA" w:rsidRDefault="007F4C85" w:rsidP="00992B23">
            <w:pPr>
              <w:rPr>
                <w:b/>
                <w:noProof/>
                <w:sz w:val="20"/>
              </w:rPr>
            </w:pPr>
          </w:p>
        </w:tc>
      </w:tr>
      <w:tr w:rsidR="007F4C85" w:rsidRPr="004F6DAA" w14:paraId="4B3391E0" w14:textId="77777777" w:rsidTr="00992B23">
        <w:trPr>
          <w:trHeight w:val="319"/>
        </w:trPr>
        <w:tc>
          <w:tcPr>
            <w:tcW w:w="3960" w:type="dxa"/>
            <w:vAlign w:val="center"/>
          </w:tcPr>
          <w:p w14:paraId="4F33A67D" w14:textId="77777777" w:rsidR="007F4C85" w:rsidRPr="004F6DAA" w:rsidRDefault="007F4C85" w:rsidP="00992B23">
            <w:pPr>
              <w:spacing w:before="60" w:after="60"/>
              <w:rPr>
                <w:noProof/>
              </w:rPr>
            </w:pPr>
            <w:r w:rsidRPr="004F6DAA">
              <w:rPr>
                <w:noProof/>
                <w:sz w:val="20"/>
              </w:rPr>
              <w:t>Linia budżetowa</w:t>
            </w:r>
          </w:p>
        </w:tc>
        <w:tc>
          <w:tcPr>
            <w:tcW w:w="1440" w:type="dxa"/>
            <w:gridSpan w:val="2"/>
            <w:vAlign w:val="center"/>
          </w:tcPr>
          <w:p w14:paraId="0B86D996" w14:textId="77777777" w:rsidR="007F4C85" w:rsidRPr="004F6DAA" w:rsidRDefault="007F4C85" w:rsidP="00992B23">
            <w:pPr>
              <w:spacing w:before="40" w:after="40"/>
              <w:jc w:val="right"/>
              <w:rPr>
                <w:noProof/>
                <w:sz w:val="18"/>
              </w:rPr>
            </w:pPr>
          </w:p>
        </w:tc>
        <w:tc>
          <w:tcPr>
            <w:tcW w:w="654" w:type="dxa"/>
            <w:vAlign w:val="center"/>
          </w:tcPr>
          <w:p w14:paraId="4F56109B" w14:textId="77777777" w:rsidR="007F4C85" w:rsidRPr="004F6DAA" w:rsidRDefault="007F4C85" w:rsidP="00992B23">
            <w:pPr>
              <w:spacing w:before="40" w:after="40"/>
              <w:jc w:val="center"/>
              <w:rPr>
                <w:noProof/>
                <w:sz w:val="14"/>
              </w:rPr>
            </w:pPr>
            <w:r w:rsidRPr="004F6DAA">
              <w:rPr>
                <w:noProof/>
                <w:sz w:val="14"/>
              </w:rPr>
              <w:t>(3)</w:t>
            </w:r>
          </w:p>
        </w:tc>
        <w:tc>
          <w:tcPr>
            <w:tcW w:w="868" w:type="dxa"/>
          </w:tcPr>
          <w:p w14:paraId="33C7DE3B" w14:textId="77777777" w:rsidR="007F4C85" w:rsidRPr="004F6DAA" w:rsidRDefault="007F4C85" w:rsidP="00992B23">
            <w:pPr>
              <w:spacing w:before="40" w:after="40"/>
              <w:jc w:val="right"/>
              <w:rPr>
                <w:b/>
                <w:noProof/>
                <w:sz w:val="20"/>
              </w:rPr>
            </w:pPr>
          </w:p>
        </w:tc>
        <w:tc>
          <w:tcPr>
            <w:tcW w:w="868" w:type="dxa"/>
            <w:vAlign w:val="center"/>
          </w:tcPr>
          <w:p w14:paraId="15A541B2" w14:textId="77777777" w:rsidR="007F4C85" w:rsidRPr="004F6DAA" w:rsidRDefault="007F4C85" w:rsidP="00992B23">
            <w:pPr>
              <w:spacing w:before="40" w:after="40"/>
              <w:jc w:val="right"/>
              <w:rPr>
                <w:b/>
                <w:noProof/>
                <w:sz w:val="20"/>
              </w:rPr>
            </w:pPr>
          </w:p>
        </w:tc>
        <w:tc>
          <w:tcPr>
            <w:tcW w:w="868" w:type="dxa"/>
            <w:vAlign w:val="center"/>
          </w:tcPr>
          <w:p w14:paraId="7FD60F58" w14:textId="77777777" w:rsidR="007F4C85" w:rsidRPr="004F6DAA" w:rsidRDefault="007F4C85" w:rsidP="00992B23">
            <w:pPr>
              <w:spacing w:before="40" w:after="40"/>
              <w:jc w:val="right"/>
              <w:rPr>
                <w:b/>
                <w:noProof/>
                <w:sz w:val="20"/>
              </w:rPr>
            </w:pPr>
          </w:p>
        </w:tc>
        <w:tc>
          <w:tcPr>
            <w:tcW w:w="868" w:type="dxa"/>
            <w:vAlign w:val="center"/>
          </w:tcPr>
          <w:p w14:paraId="5217A053" w14:textId="77777777" w:rsidR="007F4C85" w:rsidRPr="004F6DAA" w:rsidRDefault="007F4C85" w:rsidP="00992B23">
            <w:pPr>
              <w:spacing w:before="40" w:after="40"/>
              <w:jc w:val="right"/>
              <w:rPr>
                <w:b/>
                <w:noProof/>
                <w:sz w:val="20"/>
              </w:rPr>
            </w:pPr>
          </w:p>
        </w:tc>
        <w:tc>
          <w:tcPr>
            <w:tcW w:w="868" w:type="dxa"/>
            <w:vAlign w:val="center"/>
          </w:tcPr>
          <w:p w14:paraId="6F6E65A5" w14:textId="77777777" w:rsidR="007F4C85" w:rsidRPr="004F6DAA" w:rsidRDefault="007F4C85" w:rsidP="00992B23">
            <w:pPr>
              <w:spacing w:before="40" w:after="40"/>
              <w:jc w:val="right"/>
              <w:rPr>
                <w:b/>
                <w:noProof/>
                <w:sz w:val="20"/>
              </w:rPr>
            </w:pPr>
          </w:p>
        </w:tc>
        <w:tc>
          <w:tcPr>
            <w:tcW w:w="899" w:type="dxa"/>
            <w:vAlign w:val="center"/>
          </w:tcPr>
          <w:p w14:paraId="793E4E71" w14:textId="77777777" w:rsidR="007F4C85" w:rsidRPr="004F6DAA" w:rsidRDefault="007F4C85" w:rsidP="00992B23">
            <w:pPr>
              <w:spacing w:before="40" w:after="40"/>
              <w:jc w:val="right"/>
              <w:rPr>
                <w:b/>
                <w:noProof/>
                <w:sz w:val="20"/>
              </w:rPr>
            </w:pPr>
          </w:p>
        </w:tc>
        <w:tc>
          <w:tcPr>
            <w:tcW w:w="1449" w:type="dxa"/>
            <w:vAlign w:val="center"/>
          </w:tcPr>
          <w:p w14:paraId="66544DA5" w14:textId="77777777" w:rsidR="007F4C85" w:rsidRPr="004F6DAA" w:rsidRDefault="007F4C85" w:rsidP="00992B23">
            <w:pPr>
              <w:spacing w:before="40" w:after="40"/>
              <w:jc w:val="right"/>
              <w:rPr>
                <w:b/>
                <w:noProof/>
                <w:sz w:val="20"/>
              </w:rPr>
            </w:pPr>
          </w:p>
        </w:tc>
      </w:tr>
      <w:tr w:rsidR="007F4C85" w:rsidRPr="004F6DAA" w14:paraId="45A845D3" w14:textId="77777777" w:rsidTr="00992B23">
        <w:tc>
          <w:tcPr>
            <w:tcW w:w="3960" w:type="dxa"/>
            <w:vMerge w:val="restart"/>
            <w:vAlign w:val="center"/>
          </w:tcPr>
          <w:p w14:paraId="14701D89" w14:textId="77777777" w:rsidR="00ED2B63" w:rsidRPr="004F6DAA" w:rsidRDefault="007F4C85" w:rsidP="00992B23">
            <w:pPr>
              <w:contextualSpacing/>
              <w:jc w:val="center"/>
              <w:rPr>
                <w:b/>
                <w:noProof/>
                <w:sz w:val="22"/>
              </w:rPr>
            </w:pPr>
            <w:r w:rsidRPr="004F6DAA">
              <w:rPr>
                <w:b/>
                <w:noProof/>
                <w:sz w:val="22"/>
              </w:rPr>
              <w:t>OGÓŁEM środki</w:t>
            </w:r>
          </w:p>
          <w:p w14:paraId="2C29DE79" w14:textId="77777777" w:rsidR="007F4C85" w:rsidRPr="004F6DAA" w:rsidRDefault="007F4C85" w:rsidP="00992B23">
            <w:pPr>
              <w:contextualSpacing/>
              <w:jc w:val="center"/>
              <w:rPr>
                <w:b/>
                <w:noProof/>
              </w:rPr>
            </w:pPr>
            <w:r w:rsidRPr="004F6DAA">
              <w:rPr>
                <w:b/>
                <w:noProof/>
                <w:sz w:val="22"/>
              </w:rPr>
              <w:t>dla</w:t>
            </w:r>
            <w:r w:rsidRPr="004F6DAA">
              <w:rPr>
                <w:noProof/>
                <w:sz w:val="22"/>
              </w:rPr>
              <w:t xml:space="preserve"> DG TAXUD</w:t>
            </w:r>
          </w:p>
        </w:tc>
        <w:tc>
          <w:tcPr>
            <w:tcW w:w="1440" w:type="dxa"/>
            <w:gridSpan w:val="2"/>
            <w:vAlign w:val="center"/>
          </w:tcPr>
          <w:p w14:paraId="5D48894B" w14:textId="77777777" w:rsidR="007F4C85" w:rsidRPr="004F6DAA" w:rsidRDefault="007F4C85" w:rsidP="00992B23">
            <w:pPr>
              <w:rPr>
                <w:noProof/>
                <w:sz w:val="18"/>
              </w:rPr>
            </w:pPr>
            <w:r w:rsidRPr="004F6DAA">
              <w:rPr>
                <w:noProof/>
                <w:sz w:val="18"/>
              </w:rPr>
              <w:t>Środki na zobowiązania</w:t>
            </w:r>
          </w:p>
        </w:tc>
        <w:tc>
          <w:tcPr>
            <w:tcW w:w="654" w:type="dxa"/>
            <w:vAlign w:val="center"/>
          </w:tcPr>
          <w:p w14:paraId="42C7EB12" w14:textId="77777777" w:rsidR="007F4C85" w:rsidRPr="004F6DAA" w:rsidRDefault="007F4C85" w:rsidP="00992B23">
            <w:pPr>
              <w:jc w:val="center"/>
              <w:rPr>
                <w:noProof/>
                <w:sz w:val="14"/>
              </w:rPr>
            </w:pPr>
            <w:r w:rsidRPr="004F6DAA">
              <w:rPr>
                <w:noProof/>
                <w:sz w:val="14"/>
              </w:rPr>
              <w:t>=1a+1b+3</w:t>
            </w:r>
          </w:p>
        </w:tc>
        <w:tc>
          <w:tcPr>
            <w:tcW w:w="868" w:type="dxa"/>
          </w:tcPr>
          <w:p w14:paraId="0A91EFCD" w14:textId="77777777" w:rsidR="007F4C85" w:rsidRPr="004F6DAA" w:rsidRDefault="007F4C85" w:rsidP="00992B23">
            <w:pPr>
              <w:spacing w:before="20" w:after="20"/>
              <w:jc w:val="center"/>
              <w:rPr>
                <w:noProof/>
                <w:sz w:val="20"/>
              </w:rPr>
            </w:pPr>
            <w:r w:rsidRPr="004F6DAA">
              <w:rPr>
                <w:noProof/>
                <w:sz w:val="20"/>
              </w:rPr>
              <w:t>-</w:t>
            </w:r>
          </w:p>
        </w:tc>
        <w:tc>
          <w:tcPr>
            <w:tcW w:w="868" w:type="dxa"/>
          </w:tcPr>
          <w:p w14:paraId="1BA95248" w14:textId="77777777" w:rsidR="007F4C85" w:rsidRPr="004F6DAA" w:rsidRDefault="007F4C85" w:rsidP="00992B23">
            <w:pPr>
              <w:spacing w:before="20" w:after="20"/>
              <w:jc w:val="right"/>
              <w:rPr>
                <w:noProof/>
                <w:sz w:val="20"/>
              </w:rPr>
            </w:pPr>
            <w:r w:rsidRPr="004F6DAA">
              <w:rPr>
                <w:noProof/>
                <w:sz w:val="20"/>
              </w:rPr>
              <w:t>0,150</w:t>
            </w:r>
          </w:p>
        </w:tc>
        <w:tc>
          <w:tcPr>
            <w:tcW w:w="868" w:type="dxa"/>
          </w:tcPr>
          <w:p w14:paraId="49C66095" w14:textId="77777777" w:rsidR="007F4C85" w:rsidRPr="004F6DAA" w:rsidRDefault="007F4C85" w:rsidP="00992B23">
            <w:pPr>
              <w:spacing w:before="20" w:after="20"/>
              <w:jc w:val="right"/>
              <w:rPr>
                <w:noProof/>
                <w:sz w:val="20"/>
              </w:rPr>
            </w:pPr>
            <w:r w:rsidRPr="004F6DAA">
              <w:rPr>
                <w:noProof/>
                <w:sz w:val="20"/>
              </w:rPr>
              <w:t>0,300</w:t>
            </w:r>
          </w:p>
        </w:tc>
        <w:tc>
          <w:tcPr>
            <w:tcW w:w="868" w:type="dxa"/>
          </w:tcPr>
          <w:p w14:paraId="5A741875" w14:textId="77777777" w:rsidR="007F4C85" w:rsidRPr="004F6DAA" w:rsidRDefault="007F4C85" w:rsidP="00992B23">
            <w:pPr>
              <w:spacing w:before="20" w:after="20"/>
              <w:jc w:val="right"/>
              <w:rPr>
                <w:noProof/>
                <w:sz w:val="20"/>
              </w:rPr>
            </w:pPr>
            <w:r w:rsidRPr="004F6DAA">
              <w:rPr>
                <w:noProof/>
                <w:sz w:val="20"/>
              </w:rPr>
              <w:t>0,250</w:t>
            </w:r>
          </w:p>
        </w:tc>
        <w:tc>
          <w:tcPr>
            <w:tcW w:w="868" w:type="dxa"/>
          </w:tcPr>
          <w:p w14:paraId="32DB22A9" w14:textId="77777777" w:rsidR="007F4C85" w:rsidRPr="004F6DAA" w:rsidRDefault="007F4C85" w:rsidP="00992B23">
            <w:pPr>
              <w:spacing w:before="20" w:after="20"/>
              <w:jc w:val="right"/>
              <w:rPr>
                <w:noProof/>
                <w:sz w:val="20"/>
              </w:rPr>
            </w:pPr>
            <w:r w:rsidRPr="004F6DAA">
              <w:rPr>
                <w:noProof/>
                <w:sz w:val="20"/>
              </w:rPr>
              <w:t>0,125</w:t>
            </w:r>
          </w:p>
        </w:tc>
        <w:tc>
          <w:tcPr>
            <w:tcW w:w="899" w:type="dxa"/>
          </w:tcPr>
          <w:p w14:paraId="1BCD854A" w14:textId="77777777" w:rsidR="007F4C85" w:rsidRPr="004F6DAA" w:rsidRDefault="007F4C85" w:rsidP="00992B23">
            <w:pPr>
              <w:spacing w:before="20" w:after="20"/>
              <w:jc w:val="right"/>
              <w:rPr>
                <w:noProof/>
                <w:sz w:val="20"/>
              </w:rPr>
            </w:pPr>
            <w:r w:rsidRPr="004F6DAA">
              <w:rPr>
                <w:noProof/>
                <w:sz w:val="20"/>
              </w:rPr>
              <w:t>0,125</w:t>
            </w:r>
          </w:p>
        </w:tc>
        <w:tc>
          <w:tcPr>
            <w:tcW w:w="1449" w:type="dxa"/>
            <w:vAlign w:val="center"/>
          </w:tcPr>
          <w:p w14:paraId="367F1DD5" w14:textId="77777777" w:rsidR="007F4C85" w:rsidRPr="004F6DAA" w:rsidRDefault="007F4C85" w:rsidP="00992B23">
            <w:pPr>
              <w:spacing w:before="20" w:after="20"/>
              <w:jc w:val="right"/>
              <w:rPr>
                <w:b/>
                <w:noProof/>
                <w:sz w:val="20"/>
              </w:rPr>
            </w:pPr>
            <w:r w:rsidRPr="004F6DAA">
              <w:rPr>
                <w:noProof/>
                <w:sz w:val="20"/>
              </w:rPr>
              <w:t>0,950</w:t>
            </w:r>
          </w:p>
        </w:tc>
      </w:tr>
      <w:tr w:rsidR="007F4C85" w:rsidRPr="004F6DAA" w14:paraId="218267C3" w14:textId="77777777" w:rsidTr="00992B23">
        <w:tc>
          <w:tcPr>
            <w:tcW w:w="3960" w:type="dxa"/>
            <w:vMerge/>
          </w:tcPr>
          <w:p w14:paraId="638B9A80" w14:textId="77777777" w:rsidR="007F4C85" w:rsidRPr="004F6DAA" w:rsidRDefault="007F4C85" w:rsidP="00992B23">
            <w:pPr>
              <w:rPr>
                <w:noProof/>
                <w:sz w:val="20"/>
              </w:rPr>
            </w:pPr>
          </w:p>
        </w:tc>
        <w:tc>
          <w:tcPr>
            <w:tcW w:w="1440" w:type="dxa"/>
            <w:gridSpan w:val="2"/>
            <w:vAlign w:val="center"/>
          </w:tcPr>
          <w:p w14:paraId="7DB2FB16" w14:textId="77777777" w:rsidR="007F4C85" w:rsidRPr="004F6DAA" w:rsidRDefault="007F4C85" w:rsidP="00992B23">
            <w:pPr>
              <w:rPr>
                <w:noProof/>
                <w:sz w:val="18"/>
              </w:rPr>
            </w:pPr>
            <w:r w:rsidRPr="004F6DAA">
              <w:rPr>
                <w:noProof/>
                <w:sz w:val="18"/>
              </w:rPr>
              <w:t>Środki na płatności</w:t>
            </w:r>
          </w:p>
        </w:tc>
        <w:tc>
          <w:tcPr>
            <w:tcW w:w="654" w:type="dxa"/>
            <w:vAlign w:val="center"/>
          </w:tcPr>
          <w:p w14:paraId="56576BFC" w14:textId="77777777" w:rsidR="007F4C85" w:rsidRPr="004F6DAA" w:rsidRDefault="007F4C85" w:rsidP="00992B23">
            <w:pPr>
              <w:jc w:val="center"/>
              <w:rPr>
                <w:noProof/>
                <w:sz w:val="14"/>
              </w:rPr>
            </w:pPr>
            <w:r w:rsidRPr="004F6DAA">
              <w:rPr>
                <w:noProof/>
                <w:sz w:val="14"/>
              </w:rPr>
              <w:t>=2a+2b</w:t>
            </w:r>
          </w:p>
          <w:p w14:paraId="72D67916" w14:textId="77777777" w:rsidR="007F4C85" w:rsidRPr="004F6DAA" w:rsidRDefault="007F4C85" w:rsidP="00992B23">
            <w:pPr>
              <w:jc w:val="center"/>
              <w:rPr>
                <w:noProof/>
                <w:sz w:val="14"/>
              </w:rPr>
            </w:pPr>
            <w:r w:rsidRPr="004F6DAA">
              <w:rPr>
                <w:noProof/>
                <w:sz w:val="14"/>
              </w:rPr>
              <w:t>+3</w:t>
            </w:r>
          </w:p>
        </w:tc>
        <w:tc>
          <w:tcPr>
            <w:tcW w:w="868" w:type="dxa"/>
          </w:tcPr>
          <w:p w14:paraId="28F03954" w14:textId="77777777" w:rsidR="007F4C85" w:rsidRPr="004F6DAA" w:rsidRDefault="007F4C85" w:rsidP="00992B23">
            <w:pPr>
              <w:spacing w:before="20" w:after="20"/>
              <w:jc w:val="center"/>
              <w:rPr>
                <w:noProof/>
                <w:sz w:val="20"/>
              </w:rPr>
            </w:pPr>
            <w:r w:rsidRPr="004F6DAA">
              <w:rPr>
                <w:noProof/>
                <w:sz w:val="20"/>
              </w:rPr>
              <w:t>-</w:t>
            </w:r>
          </w:p>
        </w:tc>
        <w:tc>
          <w:tcPr>
            <w:tcW w:w="868" w:type="dxa"/>
          </w:tcPr>
          <w:p w14:paraId="22D41A91" w14:textId="77777777" w:rsidR="007F4C85" w:rsidRPr="004F6DAA" w:rsidRDefault="007F4C85" w:rsidP="00992B23">
            <w:pPr>
              <w:spacing w:before="20" w:after="20"/>
              <w:jc w:val="right"/>
              <w:rPr>
                <w:noProof/>
                <w:sz w:val="20"/>
              </w:rPr>
            </w:pPr>
            <w:r w:rsidRPr="004F6DAA">
              <w:rPr>
                <w:noProof/>
                <w:sz w:val="20"/>
              </w:rPr>
              <w:t>0,150</w:t>
            </w:r>
          </w:p>
        </w:tc>
        <w:tc>
          <w:tcPr>
            <w:tcW w:w="868" w:type="dxa"/>
          </w:tcPr>
          <w:p w14:paraId="3E0BF85B" w14:textId="77777777" w:rsidR="007F4C85" w:rsidRPr="004F6DAA" w:rsidRDefault="007F4C85" w:rsidP="00992B23">
            <w:pPr>
              <w:spacing w:before="20" w:after="20"/>
              <w:jc w:val="right"/>
              <w:rPr>
                <w:noProof/>
                <w:sz w:val="20"/>
              </w:rPr>
            </w:pPr>
            <w:r w:rsidRPr="004F6DAA">
              <w:rPr>
                <w:noProof/>
                <w:sz w:val="20"/>
              </w:rPr>
              <w:t>0,300</w:t>
            </w:r>
          </w:p>
        </w:tc>
        <w:tc>
          <w:tcPr>
            <w:tcW w:w="868" w:type="dxa"/>
          </w:tcPr>
          <w:p w14:paraId="6C438011" w14:textId="77777777" w:rsidR="007F4C85" w:rsidRPr="004F6DAA" w:rsidRDefault="007F4C85" w:rsidP="00992B23">
            <w:pPr>
              <w:spacing w:before="20" w:after="20"/>
              <w:jc w:val="right"/>
              <w:rPr>
                <w:noProof/>
                <w:sz w:val="20"/>
              </w:rPr>
            </w:pPr>
            <w:r w:rsidRPr="004F6DAA">
              <w:rPr>
                <w:noProof/>
                <w:sz w:val="20"/>
              </w:rPr>
              <w:t>0,250</w:t>
            </w:r>
          </w:p>
        </w:tc>
        <w:tc>
          <w:tcPr>
            <w:tcW w:w="868" w:type="dxa"/>
          </w:tcPr>
          <w:p w14:paraId="7494F12D" w14:textId="77777777" w:rsidR="007F4C85" w:rsidRPr="004F6DAA" w:rsidRDefault="007F4C85" w:rsidP="00992B23">
            <w:pPr>
              <w:spacing w:before="20" w:after="20"/>
              <w:jc w:val="right"/>
              <w:rPr>
                <w:noProof/>
                <w:sz w:val="20"/>
              </w:rPr>
            </w:pPr>
            <w:r w:rsidRPr="004F6DAA">
              <w:rPr>
                <w:noProof/>
                <w:sz w:val="20"/>
              </w:rPr>
              <w:t>0,125</w:t>
            </w:r>
          </w:p>
        </w:tc>
        <w:tc>
          <w:tcPr>
            <w:tcW w:w="899" w:type="dxa"/>
          </w:tcPr>
          <w:p w14:paraId="10F545DC" w14:textId="77777777" w:rsidR="007F4C85" w:rsidRPr="004F6DAA" w:rsidRDefault="007F4C85" w:rsidP="00992B23">
            <w:pPr>
              <w:spacing w:before="20" w:after="20"/>
              <w:jc w:val="right"/>
              <w:rPr>
                <w:noProof/>
                <w:sz w:val="20"/>
              </w:rPr>
            </w:pPr>
            <w:r w:rsidRPr="004F6DAA">
              <w:rPr>
                <w:noProof/>
                <w:sz w:val="20"/>
              </w:rPr>
              <w:t>0,125</w:t>
            </w:r>
          </w:p>
        </w:tc>
        <w:tc>
          <w:tcPr>
            <w:tcW w:w="1449" w:type="dxa"/>
            <w:vAlign w:val="center"/>
          </w:tcPr>
          <w:p w14:paraId="2C85BBCD" w14:textId="77777777" w:rsidR="007F4C85" w:rsidRPr="004F6DAA" w:rsidRDefault="007F4C85" w:rsidP="00992B23">
            <w:pPr>
              <w:spacing w:before="20" w:after="20"/>
              <w:jc w:val="right"/>
              <w:rPr>
                <w:b/>
                <w:noProof/>
                <w:sz w:val="20"/>
              </w:rPr>
            </w:pPr>
            <w:r w:rsidRPr="004F6DAA">
              <w:rPr>
                <w:noProof/>
                <w:sz w:val="20"/>
              </w:rPr>
              <w:t>0,950</w:t>
            </w:r>
          </w:p>
        </w:tc>
      </w:tr>
    </w:tbl>
    <w:p w14:paraId="22D377D6" w14:textId="77777777" w:rsidR="007F4C85" w:rsidRPr="004F6DAA" w:rsidRDefault="007F4C85" w:rsidP="007F4C85">
      <w:pPr>
        <w:rPr>
          <w:noProof/>
        </w:rPr>
      </w:pPr>
      <w:r w:rsidRPr="004F6DAA">
        <w:rPr>
          <w:noProof/>
        </w:rPr>
        <w:t xml:space="preserve"> </w:t>
      </w:r>
      <w:r w:rsidRPr="004F6DAA">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7F4C85" w:rsidRPr="004F6DAA" w14:paraId="381A9B2F" w14:textId="77777777" w:rsidTr="00992B23">
        <w:trPr>
          <w:trHeight w:val="277"/>
        </w:trPr>
        <w:tc>
          <w:tcPr>
            <w:tcW w:w="3960" w:type="dxa"/>
            <w:vMerge w:val="restart"/>
            <w:vAlign w:val="center"/>
          </w:tcPr>
          <w:p w14:paraId="25A917F9" w14:textId="77777777" w:rsidR="007F4C85" w:rsidRPr="004F6DAA" w:rsidRDefault="007F4C85" w:rsidP="00992B23">
            <w:pPr>
              <w:spacing w:before="20" w:after="20"/>
              <w:rPr>
                <w:noProof/>
              </w:rPr>
            </w:pPr>
            <w:r w:rsidRPr="004F6DAA">
              <w:rPr>
                <w:noProof/>
              </w:rPr>
              <w:br w:type="page"/>
            </w:r>
            <w:r w:rsidRPr="004F6DAA">
              <w:rPr>
                <w:noProof/>
                <w:sz w:val="21"/>
              </w:rPr>
              <w:sym w:font="Wingdings" w:char="F09F"/>
            </w:r>
            <w:r w:rsidRPr="004F6DAA">
              <w:rPr>
                <w:noProof/>
              </w:rPr>
              <w:t xml:space="preserve"> OGÓŁEM środki operacyjne</w:t>
            </w:r>
            <w:r w:rsidRPr="004F6DAA">
              <w:rPr>
                <w:noProof/>
                <w:sz w:val="21"/>
              </w:rPr>
              <w:t xml:space="preserve"> </w:t>
            </w:r>
          </w:p>
        </w:tc>
        <w:tc>
          <w:tcPr>
            <w:tcW w:w="1440" w:type="dxa"/>
            <w:vAlign w:val="center"/>
          </w:tcPr>
          <w:p w14:paraId="63096D04" w14:textId="77777777" w:rsidR="007F4C85" w:rsidRPr="004F6DAA" w:rsidRDefault="007F4C85" w:rsidP="00992B23">
            <w:pPr>
              <w:spacing w:beforeLines="20" w:before="48" w:afterLines="20" w:after="48"/>
              <w:rPr>
                <w:noProof/>
                <w:sz w:val="18"/>
              </w:rPr>
            </w:pPr>
            <w:r w:rsidRPr="004F6DAA">
              <w:rPr>
                <w:noProof/>
                <w:sz w:val="18"/>
              </w:rPr>
              <w:t>Środki na zobowiązania</w:t>
            </w:r>
          </w:p>
        </w:tc>
        <w:tc>
          <w:tcPr>
            <w:tcW w:w="654" w:type="dxa"/>
            <w:vAlign w:val="center"/>
          </w:tcPr>
          <w:p w14:paraId="7BA8302E" w14:textId="77777777" w:rsidR="007F4C85" w:rsidRPr="004F6DAA" w:rsidRDefault="007F4C85" w:rsidP="00992B23">
            <w:pPr>
              <w:spacing w:beforeLines="20" w:before="48" w:afterLines="20" w:after="48"/>
              <w:jc w:val="center"/>
              <w:rPr>
                <w:noProof/>
                <w:sz w:val="14"/>
              </w:rPr>
            </w:pPr>
            <w:r w:rsidRPr="004F6DAA">
              <w:rPr>
                <w:noProof/>
                <w:sz w:val="14"/>
              </w:rPr>
              <w:t>(4)</w:t>
            </w:r>
          </w:p>
        </w:tc>
        <w:tc>
          <w:tcPr>
            <w:tcW w:w="868" w:type="dxa"/>
          </w:tcPr>
          <w:p w14:paraId="7E4D4CF8" w14:textId="77777777" w:rsidR="007F4C85" w:rsidRPr="004F6DAA" w:rsidRDefault="007F4C85" w:rsidP="00992B23">
            <w:pPr>
              <w:spacing w:before="20" w:after="20"/>
              <w:jc w:val="right"/>
              <w:rPr>
                <w:noProof/>
                <w:sz w:val="20"/>
              </w:rPr>
            </w:pPr>
          </w:p>
        </w:tc>
        <w:tc>
          <w:tcPr>
            <w:tcW w:w="868" w:type="dxa"/>
            <w:vAlign w:val="center"/>
          </w:tcPr>
          <w:p w14:paraId="768EB476" w14:textId="77777777" w:rsidR="007F4C85" w:rsidRPr="004F6DAA" w:rsidRDefault="007F4C85" w:rsidP="00992B23">
            <w:pPr>
              <w:spacing w:before="20" w:after="20"/>
              <w:jc w:val="right"/>
              <w:rPr>
                <w:noProof/>
                <w:sz w:val="20"/>
              </w:rPr>
            </w:pPr>
          </w:p>
        </w:tc>
        <w:tc>
          <w:tcPr>
            <w:tcW w:w="868" w:type="dxa"/>
            <w:vAlign w:val="center"/>
          </w:tcPr>
          <w:p w14:paraId="5BAE0222" w14:textId="77777777" w:rsidR="007F4C85" w:rsidRPr="004F6DAA" w:rsidRDefault="007F4C85" w:rsidP="00992B23">
            <w:pPr>
              <w:spacing w:before="20" w:after="20"/>
              <w:jc w:val="right"/>
              <w:rPr>
                <w:noProof/>
                <w:sz w:val="20"/>
              </w:rPr>
            </w:pPr>
          </w:p>
        </w:tc>
        <w:tc>
          <w:tcPr>
            <w:tcW w:w="868" w:type="dxa"/>
            <w:vAlign w:val="center"/>
          </w:tcPr>
          <w:p w14:paraId="3D94C884" w14:textId="77777777" w:rsidR="007F4C85" w:rsidRPr="004F6DAA" w:rsidRDefault="007F4C85" w:rsidP="00992B23">
            <w:pPr>
              <w:spacing w:before="20" w:after="20"/>
              <w:jc w:val="right"/>
              <w:rPr>
                <w:noProof/>
                <w:sz w:val="20"/>
              </w:rPr>
            </w:pPr>
          </w:p>
        </w:tc>
        <w:tc>
          <w:tcPr>
            <w:tcW w:w="868" w:type="dxa"/>
            <w:vAlign w:val="center"/>
          </w:tcPr>
          <w:p w14:paraId="0FDD3497" w14:textId="77777777" w:rsidR="007F4C85" w:rsidRPr="004F6DAA" w:rsidRDefault="007F4C85" w:rsidP="00992B23">
            <w:pPr>
              <w:spacing w:before="20" w:after="20"/>
              <w:jc w:val="right"/>
              <w:rPr>
                <w:noProof/>
                <w:sz w:val="20"/>
              </w:rPr>
            </w:pPr>
          </w:p>
        </w:tc>
        <w:tc>
          <w:tcPr>
            <w:tcW w:w="868" w:type="dxa"/>
            <w:vAlign w:val="center"/>
          </w:tcPr>
          <w:p w14:paraId="34374705" w14:textId="77777777" w:rsidR="007F4C85" w:rsidRPr="004F6DAA" w:rsidRDefault="007F4C85" w:rsidP="00992B23">
            <w:pPr>
              <w:spacing w:before="20" w:after="20"/>
              <w:jc w:val="right"/>
              <w:rPr>
                <w:noProof/>
                <w:sz w:val="20"/>
              </w:rPr>
            </w:pPr>
          </w:p>
        </w:tc>
        <w:tc>
          <w:tcPr>
            <w:tcW w:w="1777" w:type="dxa"/>
            <w:vAlign w:val="center"/>
          </w:tcPr>
          <w:p w14:paraId="47AC4D34" w14:textId="77777777" w:rsidR="007F4C85" w:rsidRPr="004F6DAA" w:rsidRDefault="007F4C85" w:rsidP="00992B23">
            <w:pPr>
              <w:spacing w:before="20" w:after="20"/>
              <w:jc w:val="right"/>
              <w:rPr>
                <w:b/>
                <w:noProof/>
                <w:sz w:val="20"/>
              </w:rPr>
            </w:pPr>
          </w:p>
        </w:tc>
      </w:tr>
      <w:tr w:rsidR="007F4C85" w:rsidRPr="004F6DAA" w14:paraId="5C226963" w14:textId="77777777" w:rsidTr="00992B23">
        <w:tc>
          <w:tcPr>
            <w:tcW w:w="3960" w:type="dxa"/>
            <w:vMerge/>
          </w:tcPr>
          <w:p w14:paraId="6FC02500" w14:textId="77777777" w:rsidR="007F4C85" w:rsidRPr="004F6DAA" w:rsidRDefault="007F4C85" w:rsidP="00992B23">
            <w:pPr>
              <w:jc w:val="center"/>
              <w:rPr>
                <w:noProof/>
                <w:sz w:val="20"/>
              </w:rPr>
            </w:pPr>
          </w:p>
        </w:tc>
        <w:tc>
          <w:tcPr>
            <w:tcW w:w="1440" w:type="dxa"/>
            <w:vAlign w:val="center"/>
          </w:tcPr>
          <w:p w14:paraId="3958636B" w14:textId="77777777" w:rsidR="007F4C85" w:rsidRPr="004F6DAA" w:rsidRDefault="007F4C85" w:rsidP="00992B23">
            <w:pPr>
              <w:spacing w:beforeLines="20" w:before="48" w:afterLines="20" w:after="48"/>
              <w:rPr>
                <w:noProof/>
                <w:sz w:val="18"/>
              </w:rPr>
            </w:pPr>
            <w:r w:rsidRPr="004F6DAA">
              <w:rPr>
                <w:noProof/>
                <w:sz w:val="18"/>
              </w:rPr>
              <w:t>Środki na płatności</w:t>
            </w:r>
          </w:p>
        </w:tc>
        <w:tc>
          <w:tcPr>
            <w:tcW w:w="654" w:type="dxa"/>
            <w:vAlign w:val="center"/>
          </w:tcPr>
          <w:p w14:paraId="0EEAC170" w14:textId="77777777" w:rsidR="007F4C85" w:rsidRPr="004F6DAA" w:rsidRDefault="007F4C85" w:rsidP="00992B23">
            <w:pPr>
              <w:spacing w:beforeLines="20" w:before="48" w:afterLines="20" w:after="48"/>
              <w:jc w:val="center"/>
              <w:rPr>
                <w:noProof/>
                <w:sz w:val="14"/>
              </w:rPr>
            </w:pPr>
            <w:r w:rsidRPr="004F6DAA">
              <w:rPr>
                <w:noProof/>
                <w:sz w:val="14"/>
              </w:rPr>
              <w:t>(5)</w:t>
            </w:r>
          </w:p>
        </w:tc>
        <w:tc>
          <w:tcPr>
            <w:tcW w:w="868" w:type="dxa"/>
          </w:tcPr>
          <w:p w14:paraId="5F0B96B0" w14:textId="77777777" w:rsidR="007F4C85" w:rsidRPr="004F6DAA" w:rsidRDefault="007F4C85" w:rsidP="00992B23">
            <w:pPr>
              <w:spacing w:before="20" w:after="20"/>
              <w:jc w:val="right"/>
              <w:rPr>
                <w:noProof/>
                <w:sz w:val="20"/>
              </w:rPr>
            </w:pPr>
          </w:p>
        </w:tc>
        <w:tc>
          <w:tcPr>
            <w:tcW w:w="868" w:type="dxa"/>
            <w:vAlign w:val="center"/>
          </w:tcPr>
          <w:p w14:paraId="5AA0D632" w14:textId="77777777" w:rsidR="007F4C85" w:rsidRPr="004F6DAA" w:rsidRDefault="007F4C85" w:rsidP="00992B23">
            <w:pPr>
              <w:spacing w:before="20" w:after="20"/>
              <w:jc w:val="right"/>
              <w:rPr>
                <w:noProof/>
                <w:sz w:val="20"/>
              </w:rPr>
            </w:pPr>
          </w:p>
        </w:tc>
        <w:tc>
          <w:tcPr>
            <w:tcW w:w="868" w:type="dxa"/>
            <w:vAlign w:val="center"/>
          </w:tcPr>
          <w:p w14:paraId="67462A75" w14:textId="77777777" w:rsidR="007F4C85" w:rsidRPr="004F6DAA" w:rsidRDefault="007F4C85" w:rsidP="00992B23">
            <w:pPr>
              <w:spacing w:before="20" w:after="20"/>
              <w:jc w:val="right"/>
              <w:rPr>
                <w:noProof/>
                <w:sz w:val="20"/>
              </w:rPr>
            </w:pPr>
          </w:p>
        </w:tc>
        <w:tc>
          <w:tcPr>
            <w:tcW w:w="868" w:type="dxa"/>
            <w:vAlign w:val="center"/>
          </w:tcPr>
          <w:p w14:paraId="09D7B2BC" w14:textId="77777777" w:rsidR="007F4C85" w:rsidRPr="004F6DAA" w:rsidRDefault="007F4C85" w:rsidP="00992B23">
            <w:pPr>
              <w:spacing w:before="20" w:after="20"/>
              <w:jc w:val="right"/>
              <w:rPr>
                <w:noProof/>
                <w:sz w:val="20"/>
              </w:rPr>
            </w:pPr>
          </w:p>
        </w:tc>
        <w:tc>
          <w:tcPr>
            <w:tcW w:w="868" w:type="dxa"/>
            <w:vAlign w:val="center"/>
          </w:tcPr>
          <w:p w14:paraId="32F07CD0" w14:textId="77777777" w:rsidR="007F4C85" w:rsidRPr="004F6DAA" w:rsidRDefault="007F4C85" w:rsidP="00992B23">
            <w:pPr>
              <w:spacing w:before="20" w:after="20"/>
              <w:jc w:val="right"/>
              <w:rPr>
                <w:noProof/>
                <w:sz w:val="20"/>
              </w:rPr>
            </w:pPr>
          </w:p>
        </w:tc>
        <w:tc>
          <w:tcPr>
            <w:tcW w:w="868" w:type="dxa"/>
            <w:vAlign w:val="center"/>
          </w:tcPr>
          <w:p w14:paraId="4EF0F8F9" w14:textId="77777777" w:rsidR="007F4C85" w:rsidRPr="004F6DAA" w:rsidRDefault="007F4C85" w:rsidP="00992B23">
            <w:pPr>
              <w:spacing w:before="20" w:after="20"/>
              <w:jc w:val="right"/>
              <w:rPr>
                <w:noProof/>
                <w:sz w:val="20"/>
              </w:rPr>
            </w:pPr>
          </w:p>
        </w:tc>
        <w:tc>
          <w:tcPr>
            <w:tcW w:w="1777" w:type="dxa"/>
            <w:vAlign w:val="center"/>
          </w:tcPr>
          <w:p w14:paraId="0D8C5841" w14:textId="77777777" w:rsidR="007F4C85" w:rsidRPr="004F6DAA" w:rsidRDefault="007F4C85" w:rsidP="00992B23">
            <w:pPr>
              <w:spacing w:before="20" w:after="20"/>
              <w:jc w:val="right"/>
              <w:rPr>
                <w:b/>
                <w:noProof/>
                <w:sz w:val="20"/>
              </w:rPr>
            </w:pPr>
          </w:p>
        </w:tc>
      </w:tr>
      <w:tr w:rsidR="007F4C85" w:rsidRPr="004F6DAA" w14:paraId="43F97E2A" w14:textId="77777777" w:rsidTr="00992B23">
        <w:trPr>
          <w:trHeight w:val="533"/>
        </w:trPr>
        <w:tc>
          <w:tcPr>
            <w:tcW w:w="5400" w:type="dxa"/>
            <w:gridSpan w:val="2"/>
            <w:vAlign w:val="center"/>
          </w:tcPr>
          <w:p w14:paraId="2F31E883" w14:textId="77777777" w:rsidR="007F4C85" w:rsidRPr="004F6DAA" w:rsidRDefault="007F4C85" w:rsidP="00992B23">
            <w:pPr>
              <w:spacing w:beforeLines="20" w:before="48" w:afterLines="20" w:after="48"/>
              <w:rPr>
                <w:noProof/>
              </w:rPr>
            </w:pPr>
            <w:r w:rsidRPr="004F6DAA">
              <w:rPr>
                <w:noProof/>
                <w:sz w:val="21"/>
              </w:rPr>
              <w:sym w:font="Wingdings" w:char="F09F"/>
            </w:r>
            <w:r w:rsidRPr="004F6DAA">
              <w:rPr>
                <w:noProof/>
              </w:rPr>
              <w:t xml:space="preserve"> OGÓŁEM środki administracyjne finansowane ze środków przydzielonych na określone programy</w:t>
            </w:r>
            <w:r w:rsidRPr="004F6DAA">
              <w:rPr>
                <w:noProof/>
                <w:sz w:val="21"/>
              </w:rPr>
              <w:t xml:space="preserve"> </w:t>
            </w:r>
          </w:p>
        </w:tc>
        <w:tc>
          <w:tcPr>
            <w:tcW w:w="654" w:type="dxa"/>
            <w:vAlign w:val="center"/>
          </w:tcPr>
          <w:p w14:paraId="28B1B27F" w14:textId="77777777" w:rsidR="007F4C85" w:rsidRPr="004F6DAA" w:rsidRDefault="007F4C85" w:rsidP="00992B23">
            <w:pPr>
              <w:spacing w:beforeLines="20" w:before="48" w:afterLines="20" w:after="48"/>
              <w:jc w:val="center"/>
              <w:rPr>
                <w:noProof/>
                <w:sz w:val="14"/>
              </w:rPr>
            </w:pPr>
            <w:r w:rsidRPr="004F6DAA">
              <w:rPr>
                <w:noProof/>
                <w:sz w:val="14"/>
              </w:rPr>
              <w:t>(6)</w:t>
            </w:r>
          </w:p>
        </w:tc>
        <w:tc>
          <w:tcPr>
            <w:tcW w:w="868" w:type="dxa"/>
          </w:tcPr>
          <w:p w14:paraId="441981DC" w14:textId="77777777" w:rsidR="007F4C85" w:rsidRPr="004F6DAA" w:rsidRDefault="007F4C85" w:rsidP="00992B23">
            <w:pPr>
              <w:spacing w:before="20" w:after="20"/>
              <w:jc w:val="right"/>
              <w:rPr>
                <w:b/>
                <w:noProof/>
                <w:sz w:val="20"/>
              </w:rPr>
            </w:pPr>
          </w:p>
        </w:tc>
        <w:tc>
          <w:tcPr>
            <w:tcW w:w="868" w:type="dxa"/>
            <w:vAlign w:val="center"/>
          </w:tcPr>
          <w:p w14:paraId="2197B8F4" w14:textId="77777777" w:rsidR="007F4C85" w:rsidRPr="004F6DAA" w:rsidRDefault="007F4C85" w:rsidP="00992B23">
            <w:pPr>
              <w:spacing w:before="20" w:after="20"/>
              <w:jc w:val="right"/>
              <w:rPr>
                <w:b/>
                <w:noProof/>
                <w:sz w:val="20"/>
              </w:rPr>
            </w:pPr>
          </w:p>
        </w:tc>
        <w:tc>
          <w:tcPr>
            <w:tcW w:w="868" w:type="dxa"/>
            <w:vAlign w:val="center"/>
          </w:tcPr>
          <w:p w14:paraId="549F2EEC" w14:textId="77777777" w:rsidR="007F4C85" w:rsidRPr="004F6DAA" w:rsidRDefault="007F4C85" w:rsidP="00992B23">
            <w:pPr>
              <w:spacing w:before="20" w:after="20"/>
              <w:jc w:val="right"/>
              <w:rPr>
                <w:b/>
                <w:noProof/>
                <w:sz w:val="20"/>
              </w:rPr>
            </w:pPr>
          </w:p>
        </w:tc>
        <w:tc>
          <w:tcPr>
            <w:tcW w:w="868" w:type="dxa"/>
            <w:vAlign w:val="center"/>
          </w:tcPr>
          <w:p w14:paraId="79D7FC1B" w14:textId="77777777" w:rsidR="007F4C85" w:rsidRPr="004F6DAA" w:rsidRDefault="007F4C85" w:rsidP="00992B23">
            <w:pPr>
              <w:spacing w:before="20" w:after="20"/>
              <w:jc w:val="right"/>
              <w:rPr>
                <w:b/>
                <w:noProof/>
                <w:sz w:val="20"/>
              </w:rPr>
            </w:pPr>
          </w:p>
        </w:tc>
        <w:tc>
          <w:tcPr>
            <w:tcW w:w="868" w:type="dxa"/>
            <w:vAlign w:val="center"/>
          </w:tcPr>
          <w:p w14:paraId="6DEF98FC" w14:textId="77777777" w:rsidR="007F4C85" w:rsidRPr="004F6DAA" w:rsidRDefault="007F4C85" w:rsidP="00992B23">
            <w:pPr>
              <w:spacing w:before="20" w:after="20"/>
              <w:jc w:val="right"/>
              <w:rPr>
                <w:b/>
                <w:noProof/>
                <w:sz w:val="20"/>
              </w:rPr>
            </w:pPr>
          </w:p>
        </w:tc>
        <w:tc>
          <w:tcPr>
            <w:tcW w:w="868" w:type="dxa"/>
            <w:vAlign w:val="center"/>
          </w:tcPr>
          <w:p w14:paraId="1BCCDB15" w14:textId="77777777" w:rsidR="007F4C85" w:rsidRPr="004F6DAA" w:rsidRDefault="007F4C85" w:rsidP="00992B23">
            <w:pPr>
              <w:spacing w:before="20" w:after="20"/>
              <w:jc w:val="right"/>
              <w:rPr>
                <w:b/>
                <w:noProof/>
                <w:sz w:val="20"/>
              </w:rPr>
            </w:pPr>
          </w:p>
        </w:tc>
        <w:tc>
          <w:tcPr>
            <w:tcW w:w="1777" w:type="dxa"/>
            <w:vAlign w:val="center"/>
          </w:tcPr>
          <w:p w14:paraId="1CFD7EE3" w14:textId="77777777" w:rsidR="007F4C85" w:rsidRPr="004F6DAA" w:rsidRDefault="007F4C85" w:rsidP="00992B23">
            <w:pPr>
              <w:spacing w:before="20" w:after="20"/>
              <w:jc w:val="right"/>
              <w:rPr>
                <w:b/>
                <w:noProof/>
                <w:sz w:val="20"/>
              </w:rPr>
            </w:pPr>
          </w:p>
        </w:tc>
      </w:tr>
      <w:tr w:rsidR="007F4C85" w:rsidRPr="004F6DAA" w14:paraId="64AEF8E9" w14:textId="77777777" w:rsidTr="00992B23">
        <w:tc>
          <w:tcPr>
            <w:tcW w:w="3960" w:type="dxa"/>
            <w:vMerge w:val="restart"/>
            <w:shd w:val="thinDiagStripe" w:color="C0C0C0" w:fill="auto"/>
            <w:vAlign w:val="center"/>
          </w:tcPr>
          <w:p w14:paraId="5569F7D5" w14:textId="77777777" w:rsidR="00ED2B63" w:rsidRPr="004F6DAA" w:rsidRDefault="00ED2B63" w:rsidP="000557B7">
            <w:pPr>
              <w:contextualSpacing/>
              <w:jc w:val="center"/>
              <w:rPr>
                <w:b/>
                <w:noProof/>
                <w:sz w:val="22"/>
              </w:rPr>
            </w:pPr>
            <w:r w:rsidRPr="004F6DAA">
              <w:rPr>
                <w:b/>
                <w:noProof/>
                <w:sz w:val="22"/>
              </w:rPr>
              <w:t>OGÓŁEM środki</w:t>
            </w:r>
          </w:p>
          <w:p w14:paraId="5D5599C4" w14:textId="77777777" w:rsidR="00ED2B63" w:rsidRPr="004F6DAA" w:rsidRDefault="007F4C85" w:rsidP="000557B7">
            <w:pPr>
              <w:contextualSpacing/>
              <w:jc w:val="center"/>
              <w:rPr>
                <w:b/>
                <w:noProof/>
                <w:sz w:val="22"/>
              </w:rPr>
            </w:pPr>
            <w:r w:rsidRPr="004F6DAA">
              <w:rPr>
                <w:b/>
                <w:noProof/>
                <w:sz w:val="22"/>
              </w:rPr>
              <w:t>na DZIAŁ 3</w:t>
            </w:r>
          </w:p>
          <w:p w14:paraId="37F8E9EB" w14:textId="77777777" w:rsidR="007F4C85" w:rsidRPr="004F6DAA" w:rsidRDefault="007F4C85" w:rsidP="000557B7">
            <w:pPr>
              <w:contextualSpacing/>
              <w:jc w:val="center"/>
              <w:rPr>
                <w:b/>
                <w:noProof/>
              </w:rPr>
            </w:pPr>
            <w:r w:rsidRPr="004F6DAA">
              <w:rPr>
                <w:noProof/>
                <w:sz w:val="22"/>
              </w:rPr>
              <w:t>wieloletnich ram finansowych</w:t>
            </w:r>
          </w:p>
        </w:tc>
        <w:tc>
          <w:tcPr>
            <w:tcW w:w="1440" w:type="dxa"/>
            <w:vAlign w:val="center"/>
          </w:tcPr>
          <w:p w14:paraId="63329D8F" w14:textId="77777777" w:rsidR="007F4C85" w:rsidRPr="004F6DAA" w:rsidRDefault="007F4C85" w:rsidP="00992B23">
            <w:pPr>
              <w:rPr>
                <w:noProof/>
                <w:sz w:val="18"/>
              </w:rPr>
            </w:pPr>
            <w:r w:rsidRPr="004F6DAA">
              <w:rPr>
                <w:noProof/>
                <w:sz w:val="18"/>
              </w:rPr>
              <w:t>Środki na zobowiązania</w:t>
            </w:r>
          </w:p>
        </w:tc>
        <w:tc>
          <w:tcPr>
            <w:tcW w:w="654" w:type="dxa"/>
            <w:vAlign w:val="center"/>
          </w:tcPr>
          <w:p w14:paraId="27D351D7" w14:textId="77777777" w:rsidR="007F4C85" w:rsidRPr="004F6DAA" w:rsidRDefault="007F4C85" w:rsidP="00992B23">
            <w:pPr>
              <w:jc w:val="center"/>
              <w:rPr>
                <w:noProof/>
                <w:sz w:val="14"/>
              </w:rPr>
            </w:pPr>
            <w:r w:rsidRPr="004F6DAA">
              <w:rPr>
                <w:noProof/>
                <w:sz w:val="14"/>
              </w:rPr>
              <w:t>=4+ 6</w:t>
            </w:r>
          </w:p>
        </w:tc>
        <w:tc>
          <w:tcPr>
            <w:tcW w:w="868" w:type="dxa"/>
            <w:vAlign w:val="center"/>
          </w:tcPr>
          <w:p w14:paraId="70F7653E" w14:textId="77777777" w:rsidR="007F4C85" w:rsidRPr="004F6DAA" w:rsidRDefault="007F4C85" w:rsidP="00992B23">
            <w:pPr>
              <w:spacing w:before="20" w:after="20"/>
              <w:jc w:val="right"/>
              <w:rPr>
                <w:noProof/>
                <w:sz w:val="20"/>
              </w:rPr>
            </w:pPr>
            <w:r w:rsidRPr="004F6DAA">
              <w:rPr>
                <w:noProof/>
                <w:sz w:val="20"/>
              </w:rPr>
              <w:t>0,500</w:t>
            </w:r>
          </w:p>
        </w:tc>
        <w:tc>
          <w:tcPr>
            <w:tcW w:w="868" w:type="dxa"/>
            <w:vAlign w:val="center"/>
          </w:tcPr>
          <w:p w14:paraId="5DF3E7F1" w14:textId="77777777" w:rsidR="007F4C85" w:rsidRPr="004F6DAA" w:rsidRDefault="007F4C85" w:rsidP="00992B23">
            <w:pPr>
              <w:spacing w:before="20" w:after="20"/>
              <w:jc w:val="right"/>
              <w:rPr>
                <w:noProof/>
                <w:sz w:val="20"/>
              </w:rPr>
            </w:pPr>
            <w:r w:rsidRPr="004F6DAA">
              <w:rPr>
                <w:noProof/>
                <w:sz w:val="20"/>
              </w:rPr>
              <w:t>1,939</w:t>
            </w:r>
          </w:p>
        </w:tc>
        <w:tc>
          <w:tcPr>
            <w:tcW w:w="868" w:type="dxa"/>
            <w:vAlign w:val="center"/>
          </w:tcPr>
          <w:p w14:paraId="71160275" w14:textId="77777777" w:rsidR="007F4C85" w:rsidRPr="004F6DAA" w:rsidRDefault="007F4C85" w:rsidP="00992B23">
            <w:pPr>
              <w:spacing w:before="20" w:after="20"/>
              <w:jc w:val="right"/>
              <w:rPr>
                <w:noProof/>
                <w:sz w:val="20"/>
              </w:rPr>
            </w:pPr>
            <w:r w:rsidRPr="004F6DAA">
              <w:rPr>
                <w:noProof/>
                <w:sz w:val="20"/>
              </w:rPr>
              <w:t>1,980</w:t>
            </w:r>
          </w:p>
        </w:tc>
        <w:tc>
          <w:tcPr>
            <w:tcW w:w="868" w:type="dxa"/>
            <w:vAlign w:val="center"/>
          </w:tcPr>
          <w:p w14:paraId="746930A5" w14:textId="77777777" w:rsidR="007F4C85" w:rsidRPr="004F6DAA" w:rsidRDefault="007F4C85" w:rsidP="00992B23">
            <w:pPr>
              <w:spacing w:before="20" w:after="20"/>
              <w:jc w:val="right"/>
              <w:rPr>
                <w:noProof/>
                <w:sz w:val="20"/>
              </w:rPr>
            </w:pPr>
            <w:r w:rsidRPr="004F6DAA">
              <w:rPr>
                <w:noProof/>
                <w:sz w:val="20"/>
              </w:rPr>
              <w:t>1,860</w:t>
            </w:r>
          </w:p>
        </w:tc>
        <w:tc>
          <w:tcPr>
            <w:tcW w:w="868" w:type="dxa"/>
            <w:vAlign w:val="center"/>
          </w:tcPr>
          <w:p w14:paraId="027C2ABF" w14:textId="77777777" w:rsidR="007F4C85" w:rsidRPr="004F6DAA" w:rsidRDefault="007F4C85" w:rsidP="00992B23">
            <w:pPr>
              <w:spacing w:before="20" w:after="20"/>
              <w:jc w:val="right"/>
              <w:rPr>
                <w:noProof/>
                <w:sz w:val="20"/>
              </w:rPr>
            </w:pPr>
            <w:r w:rsidRPr="004F6DAA">
              <w:rPr>
                <w:noProof/>
                <w:sz w:val="20"/>
              </w:rPr>
              <w:t>2,015</w:t>
            </w:r>
          </w:p>
        </w:tc>
        <w:tc>
          <w:tcPr>
            <w:tcW w:w="868" w:type="dxa"/>
            <w:vAlign w:val="center"/>
          </w:tcPr>
          <w:p w14:paraId="70809E27" w14:textId="77777777" w:rsidR="007F4C85" w:rsidRPr="004F6DAA" w:rsidRDefault="007F4C85" w:rsidP="00992B23">
            <w:pPr>
              <w:spacing w:before="20" w:after="20"/>
              <w:jc w:val="right"/>
              <w:rPr>
                <w:noProof/>
                <w:sz w:val="20"/>
              </w:rPr>
            </w:pPr>
            <w:r w:rsidRPr="004F6DAA">
              <w:rPr>
                <w:noProof/>
                <w:sz w:val="20"/>
              </w:rPr>
              <w:t>1,575</w:t>
            </w:r>
          </w:p>
        </w:tc>
        <w:tc>
          <w:tcPr>
            <w:tcW w:w="1777" w:type="dxa"/>
            <w:vAlign w:val="center"/>
          </w:tcPr>
          <w:p w14:paraId="114023ED" w14:textId="77777777" w:rsidR="007F4C85" w:rsidRPr="004F6DAA" w:rsidRDefault="007F4C85" w:rsidP="00992B23">
            <w:pPr>
              <w:spacing w:before="20" w:after="20"/>
              <w:jc w:val="right"/>
              <w:rPr>
                <w:b/>
                <w:noProof/>
                <w:sz w:val="20"/>
              </w:rPr>
            </w:pPr>
            <w:r w:rsidRPr="004F6DAA">
              <w:rPr>
                <w:b/>
                <w:noProof/>
                <w:sz w:val="20"/>
              </w:rPr>
              <w:t>9,869</w:t>
            </w:r>
          </w:p>
        </w:tc>
      </w:tr>
      <w:tr w:rsidR="007F4C85" w:rsidRPr="004F6DAA" w14:paraId="1D355D75" w14:textId="77777777" w:rsidTr="00992B23">
        <w:tc>
          <w:tcPr>
            <w:tcW w:w="3960" w:type="dxa"/>
            <w:vMerge/>
            <w:shd w:val="thinDiagStripe" w:color="C0C0C0" w:fill="auto"/>
          </w:tcPr>
          <w:p w14:paraId="278FFD3B" w14:textId="77777777" w:rsidR="007F4C85" w:rsidRPr="004F6DAA" w:rsidRDefault="007F4C85" w:rsidP="00992B23">
            <w:pPr>
              <w:rPr>
                <w:noProof/>
                <w:sz w:val="20"/>
              </w:rPr>
            </w:pPr>
          </w:p>
        </w:tc>
        <w:tc>
          <w:tcPr>
            <w:tcW w:w="1440" w:type="dxa"/>
            <w:vAlign w:val="center"/>
          </w:tcPr>
          <w:p w14:paraId="59F27A34" w14:textId="77777777" w:rsidR="007F4C85" w:rsidRPr="004F6DAA" w:rsidRDefault="007F4C85" w:rsidP="00992B23">
            <w:pPr>
              <w:rPr>
                <w:noProof/>
                <w:sz w:val="18"/>
              </w:rPr>
            </w:pPr>
            <w:r w:rsidRPr="004F6DAA">
              <w:rPr>
                <w:noProof/>
                <w:sz w:val="18"/>
              </w:rPr>
              <w:t>Środki na płatności</w:t>
            </w:r>
          </w:p>
        </w:tc>
        <w:tc>
          <w:tcPr>
            <w:tcW w:w="654" w:type="dxa"/>
            <w:vAlign w:val="center"/>
          </w:tcPr>
          <w:p w14:paraId="4646F874" w14:textId="77777777" w:rsidR="007F4C85" w:rsidRPr="004F6DAA" w:rsidRDefault="007F4C85" w:rsidP="00992B23">
            <w:pPr>
              <w:jc w:val="center"/>
              <w:rPr>
                <w:noProof/>
                <w:sz w:val="14"/>
              </w:rPr>
            </w:pPr>
            <w:r w:rsidRPr="004F6DAA">
              <w:rPr>
                <w:noProof/>
                <w:sz w:val="14"/>
              </w:rPr>
              <w:t>=5+ 6</w:t>
            </w:r>
          </w:p>
        </w:tc>
        <w:tc>
          <w:tcPr>
            <w:tcW w:w="868" w:type="dxa"/>
            <w:vAlign w:val="center"/>
          </w:tcPr>
          <w:p w14:paraId="2BB652A2" w14:textId="77777777" w:rsidR="007F4C85" w:rsidRPr="004F6DAA" w:rsidRDefault="007F4C85" w:rsidP="00992B23">
            <w:pPr>
              <w:spacing w:before="20" w:after="20"/>
              <w:jc w:val="right"/>
              <w:rPr>
                <w:noProof/>
                <w:sz w:val="20"/>
              </w:rPr>
            </w:pPr>
            <w:r w:rsidRPr="004F6DAA">
              <w:rPr>
                <w:noProof/>
                <w:sz w:val="20"/>
              </w:rPr>
              <w:t>0,500</w:t>
            </w:r>
          </w:p>
        </w:tc>
        <w:tc>
          <w:tcPr>
            <w:tcW w:w="868" w:type="dxa"/>
            <w:vAlign w:val="center"/>
          </w:tcPr>
          <w:p w14:paraId="0C8CD830" w14:textId="77777777" w:rsidR="007F4C85" w:rsidRPr="004F6DAA" w:rsidRDefault="007F4C85" w:rsidP="00992B23">
            <w:pPr>
              <w:spacing w:before="20" w:after="20"/>
              <w:jc w:val="right"/>
              <w:rPr>
                <w:noProof/>
                <w:sz w:val="20"/>
              </w:rPr>
            </w:pPr>
            <w:r w:rsidRPr="004F6DAA">
              <w:rPr>
                <w:noProof/>
                <w:sz w:val="20"/>
              </w:rPr>
              <w:t>1,939</w:t>
            </w:r>
          </w:p>
        </w:tc>
        <w:tc>
          <w:tcPr>
            <w:tcW w:w="868" w:type="dxa"/>
            <w:vAlign w:val="center"/>
          </w:tcPr>
          <w:p w14:paraId="124E59EB" w14:textId="77777777" w:rsidR="007F4C85" w:rsidRPr="004F6DAA" w:rsidRDefault="007F4C85" w:rsidP="00992B23">
            <w:pPr>
              <w:spacing w:before="20" w:after="20"/>
              <w:jc w:val="right"/>
              <w:rPr>
                <w:noProof/>
                <w:sz w:val="20"/>
              </w:rPr>
            </w:pPr>
            <w:r w:rsidRPr="004F6DAA">
              <w:rPr>
                <w:noProof/>
                <w:sz w:val="20"/>
              </w:rPr>
              <w:t>1,980</w:t>
            </w:r>
          </w:p>
        </w:tc>
        <w:tc>
          <w:tcPr>
            <w:tcW w:w="868" w:type="dxa"/>
            <w:vAlign w:val="center"/>
          </w:tcPr>
          <w:p w14:paraId="62DC53DA" w14:textId="77777777" w:rsidR="007F4C85" w:rsidRPr="004F6DAA" w:rsidRDefault="007F4C85" w:rsidP="00992B23">
            <w:pPr>
              <w:spacing w:before="20" w:after="20"/>
              <w:jc w:val="right"/>
              <w:rPr>
                <w:noProof/>
                <w:sz w:val="20"/>
              </w:rPr>
            </w:pPr>
            <w:r w:rsidRPr="004F6DAA">
              <w:rPr>
                <w:noProof/>
                <w:sz w:val="20"/>
              </w:rPr>
              <w:t>1,860</w:t>
            </w:r>
          </w:p>
        </w:tc>
        <w:tc>
          <w:tcPr>
            <w:tcW w:w="868" w:type="dxa"/>
            <w:vAlign w:val="center"/>
          </w:tcPr>
          <w:p w14:paraId="3989B6F9" w14:textId="77777777" w:rsidR="007F4C85" w:rsidRPr="004F6DAA" w:rsidRDefault="007F4C85" w:rsidP="00992B23">
            <w:pPr>
              <w:spacing w:before="20" w:after="20"/>
              <w:jc w:val="right"/>
              <w:rPr>
                <w:noProof/>
                <w:sz w:val="20"/>
              </w:rPr>
            </w:pPr>
            <w:r w:rsidRPr="004F6DAA">
              <w:rPr>
                <w:noProof/>
                <w:sz w:val="20"/>
              </w:rPr>
              <w:t>2,015</w:t>
            </w:r>
          </w:p>
        </w:tc>
        <w:tc>
          <w:tcPr>
            <w:tcW w:w="868" w:type="dxa"/>
            <w:vAlign w:val="center"/>
          </w:tcPr>
          <w:p w14:paraId="733D540F" w14:textId="77777777" w:rsidR="007F4C85" w:rsidRPr="004F6DAA" w:rsidRDefault="007F4C85" w:rsidP="00992B23">
            <w:pPr>
              <w:spacing w:before="20" w:after="20"/>
              <w:jc w:val="right"/>
              <w:rPr>
                <w:noProof/>
                <w:sz w:val="20"/>
              </w:rPr>
            </w:pPr>
            <w:r w:rsidRPr="004F6DAA">
              <w:rPr>
                <w:noProof/>
                <w:sz w:val="20"/>
              </w:rPr>
              <w:t>1,575</w:t>
            </w:r>
          </w:p>
        </w:tc>
        <w:tc>
          <w:tcPr>
            <w:tcW w:w="1777" w:type="dxa"/>
            <w:vAlign w:val="center"/>
          </w:tcPr>
          <w:p w14:paraId="12CEA8FB" w14:textId="77777777" w:rsidR="007F4C85" w:rsidRPr="004F6DAA" w:rsidRDefault="007F4C85" w:rsidP="00992B23">
            <w:pPr>
              <w:spacing w:before="20" w:after="20"/>
              <w:jc w:val="right"/>
              <w:rPr>
                <w:b/>
                <w:noProof/>
                <w:sz w:val="20"/>
              </w:rPr>
            </w:pPr>
            <w:r w:rsidRPr="004F6DAA">
              <w:rPr>
                <w:b/>
                <w:noProof/>
                <w:sz w:val="20"/>
              </w:rPr>
              <w:t>9,869</w:t>
            </w:r>
          </w:p>
        </w:tc>
      </w:tr>
    </w:tbl>
    <w:p w14:paraId="234F14CB" w14:textId="77777777" w:rsidR="007F4C85" w:rsidRPr="004F6DAA" w:rsidRDefault="007F4C85" w:rsidP="007F4C85">
      <w:pPr>
        <w:rPr>
          <w:noProof/>
          <w:sz w:val="22"/>
        </w:rPr>
      </w:pPr>
      <w:r w:rsidRPr="004F6DAA">
        <w:rPr>
          <w:noProof/>
        </w:rPr>
        <w:br w:type="page"/>
      </w:r>
      <w:r w:rsidRPr="004F6DAA">
        <w:rPr>
          <w:noProof/>
          <w:sz w:val="22"/>
        </w:rPr>
        <w:t>Kwota ujęta powyżej będzie potrzebna na wsparcie różnych zadań wykonawczych związanych</w:t>
      </w:r>
      <w:r w:rsidR="00062BFA" w:rsidRPr="004F6DAA">
        <w:rPr>
          <w:noProof/>
          <w:sz w:val="22"/>
        </w:rPr>
        <w:t xml:space="preserve"> z</w:t>
      </w:r>
      <w:r w:rsidR="00062BFA">
        <w:rPr>
          <w:noProof/>
          <w:sz w:val="22"/>
        </w:rPr>
        <w:t> </w:t>
      </w:r>
      <w:r w:rsidR="00062BFA" w:rsidRPr="004F6DAA">
        <w:rPr>
          <w:noProof/>
          <w:sz w:val="22"/>
        </w:rPr>
        <w:t>prz</w:t>
      </w:r>
      <w:r w:rsidRPr="004F6DAA">
        <w:rPr>
          <w:noProof/>
          <w:sz w:val="22"/>
        </w:rPr>
        <w:t xml:space="preserve">episami prawnymi, które będą realizowane przez DG ENV. </w:t>
      </w:r>
    </w:p>
    <w:p w14:paraId="2BDD6792" w14:textId="77777777" w:rsidR="007F4C85" w:rsidRPr="004F6DAA" w:rsidRDefault="007F4C85" w:rsidP="007F4C85">
      <w:pPr>
        <w:rPr>
          <w:noProof/>
          <w:sz w:val="22"/>
        </w:rPr>
      </w:pPr>
      <w:r w:rsidRPr="004F6DAA">
        <w:rPr>
          <w:noProof/>
          <w:sz w:val="22"/>
        </w:rPr>
        <w:t>Działania będące przedmiotem zamówienia obejmują zlecenie badania wspierającego pierwszy przegląd zakresu produktów (zapisanego</w:t>
      </w:r>
      <w:r w:rsidR="00062BFA" w:rsidRPr="004F6DAA">
        <w:rPr>
          <w:noProof/>
          <w:sz w:val="22"/>
        </w:rPr>
        <w:t xml:space="preserve"> w</w:t>
      </w:r>
      <w:r w:rsidR="00062BFA">
        <w:rPr>
          <w:noProof/>
          <w:sz w:val="22"/>
        </w:rPr>
        <w:t> </w:t>
      </w:r>
      <w:r w:rsidR="00062BFA" w:rsidRPr="004F6DAA">
        <w:rPr>
          <w:noProof/>
          <w:sz w:val="22"/>
        </w:rPr>
        <w:t>bud</w:t>
      </w:r>
      <w:r w:rsidRPr="004F6DAA">
        <w:rPr>
          <w:noProof/>
          <w:sz w:val="22"/>
        </w:rPr>
        <w:t xml:space="preserve">żecie </w:t>
      </w:r>
      <w:r w:rsidRPr="00062BFA">
        <w:rPr>
          <w:noProof/>
          <w:sz w:val="22"/>
        </w:rPr>
        <w:t>na</w:t>
      </w:r>
      <w:r w:rsidR="00062BFA" w:rsidRPr="00062BFA">
        <w:rPr>
          <w:noProof/>
          <w:sz w:val="22"/>
        </w:rPr>
        <w:t> </w:t>
      </w:r>
      <w:r w:rsidRPr="00062BFA">
        <w:rPr>
          <w:noProof/>
          <w:sz w:val="22"/>
        </w:rPr>
        <w:t>2</w:t>
      </w:r>
      <w:r w:rsidRPr="004F6DAA">
        <w:rPr>
          <w:noProof/>
          <w:sz w:val="22"/>
        </w:rPr>
        <w:t>0</w:t>
      </w:r>
      <w:r w:rsidRPr="00062BFA">
        <w:rPr>
          <w:noProof/>
          <w:sz w:val="22"/>
        </w:rPr>
        <w:t>22</w:t>
      </w:r>
      <w:r w:rsidR="00062BFA" w:rsidRPr="00062BFA">
        <w:rPr>
          <w:noProof/>
          <w:sz w:val="22"/>
        </w:rPr>
        <w:t> </w:t>
      </w:r>
      <w:r w:rsidRPr="00062BFA">
        <w:rPr>
          <w:noProof/>
          <w:sz w:val="22"/>
        </w:rPr>
        <w:t>r.</w:t>
      </w:r>
      <w:r w:rsidRPr="004F6DAA">
        <w:rPr>
          <w:noProof/>
          <w:sz w:val="22"/>
        </w:rPr>
        <w:t>), badania wspierającego pierwszą ocenę rozporządzenia (zapisanego</w:t>
      </w:r>
      <w:r w:rsidR="00062BFA" w:rsidRPr="004F6DAA">
        <w:rPr>
          <w:noProof/>
          <w:sz w:val="22"/>
        </w:rPr>
        <w:t xml:space="preserve"> w</w:t>
      </w:r>
      <w:r w:rsidR="00062BFA">
        <w:rPr>
          <w:noProof/>
          <w:sz w:val="22"/>
        </w:rPr>
        <w:t> </w:t>
      </w:r>
      <w:r w:rsidR="00062BFA" w:rsidRPr="004F6DAA">
        <w:rPr>
          <w:noProof/>
          <w:sz w:val="22"/>
        </w:rPr>
        <w:t>bud</w:t>
      </w:r>
      <w:r w:rsidRPr="004F6DAA">
        <w:rPr>
          <w:noProof/>
          <w:sz w:val="22"/>
        </w:rPr>
        <w:t xml:space="preserve">żecie </w:t>
      </w:r>
      <w:r w:rsidRPr="00062BFA">
        <w:rPr>
          <w:noProof/>
          <w:sz w:val="22"/>
        </w:rPr>
        <w:t>na</w:t>
      </w:r>
      <w:r w:rsidR="00062BFA" w:rsidRPr="00062BFA">
        <w:rPr>
          <w:noProof/>
          <w:sz w:val="22"/>
        </w:rPr>
        <w:t> </w:t>
      </w:r>
      <w:r w:rsidRPr="00062BFA">
        <w:rPr>
          <w:noProof/>
          <w:sz w:val="22"/>
        </w:rPr>
        <w:t>2</w:t>
      </w:r>
      <w:r w:rsidRPr="004F6DAA">
        <w:rPr>
          <w:noProof/>
          <w:sz w:val="22"/>
        </w:rPr>
        <w:t>0</w:t>
      </w:r>
      <w:r w:rsidRPr="00062BFA">
        <w:rPr>
          <w:noProof/>
          <w:sz w:val="22"/>
        </w:rPr>
        <w:t>26</w:t>
      </w:r>
      <w:r w:rsidR="00062BFA" w:rsidRPr="00062BFA">
        <w:rPr>
          <w:noProof/>
          <w:sz w:val="22"/>
        </w:rPr>
        <w:t> </w:t>
      </w:r>
      <w:r w:rsidRPr="00062BFA">
        <w:rPr>
          <w:noProof/>
          <w:sz w:val="22"/>
        </w:rPr>
        <w:t>r.</w:t>
      </w:r>
      <w:r w:rsidRPr="004F6DAA">
        <w:rPr>
          <w:noProof/>
          <w:sz w:val="22"/>
        </w:rPr>
        <w:t>) oraz umowę</w:t>
      </w:r>
      <w:r w:rsidR="00062BFA" w:rsidRPr="004F6DAA">
        <w:rPr>
          <w:noProof/>
          <w:sz w:val="22"/>
        </w:rPr>
        <w:t xml:space="preserve"> w</w:t>
      </w:r>
      <w:r w:rsidR="00062BFA">
        <w:rPr>
          <w:noProof/>
          <w:sz w:val="22"/>
        </w:rPr>
        <w:t> </w:t>
      </w:r>
      <w:r w:rsidR="00062BFA" w:rsidRPr="004F6DAA">
        <w:rPr>
          <w:noProof/>
          <w:sz w:val="22"/>
        </w:rPr>
        <w:t>spr</w:t>
      </w:r>
      <w:r w:rsidRPr="004F6DAA">
        <w:rPr>
          <w:noProof/>
          <w:sz w:val="22"/>
        </w:rPr>
        <w:t>awie wsparcia na rzecz ogólnego wykonania rozporządzenia (której koszty są równomiernie rozłożone</w:t>
      </w:r>
      <w:r w:rsidR="00062BFA" w:rsidRPr="004F6DAA">
        <w:rPr>
          <w:noProof/>
          <w:sz w:val="22"/>
        </w:rPr>
        <w:t xml:space="preserve"> w</w:t>
      </w:r>
      <w:r w:rsidR="00062BFA">
        <w:rPr>
          <w:noProof/>
          <w:sz w:val="22"/>
        </w:rPr>
        <w:t> </w:t>
      </w:r>
      <w:r w:rsidR="00062BFA" w:rsidRPr="004F6DAA">
        <w:rPr>
          <w:noProof/>
          <w:sz w:val="22"/>
        </w:rPr>
        <w:t>bud</w:t>
      </w:r>
      <w:r w:rsidRPr="004F6DAA">
        <w:rPr>
          <w:noProof/>
          <w:sz w:val="22"/>
        </w:rPr>
        <w:t>żecie na pierwszych pięć lat funkcjonowania).</w:t>
      </w:r>
    </w:p>
    <w:p w14:paraId="67DB0BE0" w14:textId="77777777" w:rsidR="007F4C85" w:rsidRPr="004F6DAA" w:rsidRDefault="007F4C85" w:rsidP="007F4C85">
      <w:pPr>
        <w:rPr>
          <w:noProof/>
          <w:sz w:val="22"/>
        </w:rPr>
      </w:pPr>
      <w:r w:rsidRPr="004F6DAA">
        <w:rPr>
          <w:noProof/>
          <w:sz w:val="22"/>
        </w:rPr>
        <w:t>Ponadto do tej kategorii wstępnie włączono dwa inne działania, które mogłyby być realizowane</w:t>
      </w:r>
      <w:r w:rsidR="00062BFA" w:rsidRPr="004F6DAA">
        <w:rPr>
          <w:noProof/>
          <w:sz w:val="22"/>
        </w:rPr>
        <w:t xml:space="preserve"> w</w:t>
      </w:r>
      <w:r w:rsidR="00062BFA">
        <w:rPr>
          <w:noProof/>
          <w:sz w:val="22"/>
        </w:rPr>
        <w:t> </w:t>
      </w:r>
      <w:r w:rsidR="00062BFA" w:rsidRPr="004F6DAA">
        <w:rPr>
          <w:noProof/>
          <w:sz w:val="22"/>
        </w:rPr>
        <w:t>ram</w:t>
      </w:r>
      <w:r w:rsidRPr="004F6DAA">
        <w:rPr>
          <w:noProof/>
          <w:sz w:val="22"/>
        </w:rPr>
        <w:t>ach umowy zewnętrznej albo porozumień administracyjnych ze służbami Komisji. Obejmują one opracowanie</w:t>
      </w:r>
      <w:r w:rsidR="00062BFA" w:rsidRPr="004F6DAA">
        <w:rPr>
          <w:noProof/>
          <w:sz w:val="22"/>
        </w:rPr>
        <w:t xml:space="preserve"> i</w:t>
      </w:r>
      <w:r w:rsidR="00062BFA">
        <w:rPr>
          <w:noProof/>
          <w:sz w:val="22"/>
        </w:rPr>
        <w:t> </w:t>
      </w:r>
      <w:r w:rsidR="00062BFA" w:rsidRPr="004F6DAA">
        <w:rPr>
          <w:noProof/>
          <w:sz w:val="22"/>
        </w:rPr>
        <w:t>fun</w:t>
      </w:r>
      <w:r w:rsidRPr="004F6DAA">
        <w:rPr>
          <w:noProof/>
          <w:sz w:val="22"/>
        </w:rPr>
        <w:t>kcjonowanie systemu informacyjnego oraz opracowanie</w:t>
      </w:r>
      <w:r w:rsidR="00062BFA" w:rsidRPr="004F6DAA">
        <w:rPr>
          <w:noProof/>
          <w:sz w:val="22"/>
        </w:rPr>
        <w:t xml:space="preserve"> i</w:t>
      </w:r>
      <w:r w:rsidR="00062BFA">
        <w:rPr>
          <w:noProof/>
          <w:sz w:val="22"/>
        </w:rPr>
        <w:t> </w:t>
      </w:r>
      <w:r w:rsidR="00062BFA" w:rsidRPr="004F6DAA">
        <w:rPr>
          <w:noProof/>
          <w:sz w:val="22"/>
        </w:rPr>
        <w:t>fun</w:t>
      </w:r>
      <w:r w:rsidRPr="004F6DAA">
        <w:rPr>
          <w:noProof/>
          <w:sz w:val="22"/>
        </w:rPr>
        <w:t>kcjonowanie systemu wskaźników dla poszczególnych krajów. Obydwa te działania zapisano</w:t>
      </w:r>
      <w:r w:rsidR="00062BFA" w:rsidRPr="004F6DAA">
        <w:rPr>
          <w:noProof/>
          <w:sz w:val="22"/>
        </w:rPr>
        <w:t xml:space="preserve"> w</w:t>
      </w:r>
      <w:r w:rsidR="00062BFA">
        <w:rPr>
          <w:noProof/>
          <w:sz w:val="22"/>
        </w:rPr>
        <w:t> </w:t>
      </w:r>
      <w:r w:rsidR="00062BFA" w:rsidRPr="004F6DAA">
        <w:rPr>
          <w:noProof/>
          <w:sz w:val="22"/>
        </w:rPr>
        <w:t>bud</w:t>
      </w:r>
      <w:r w:rsidRPr="004F6DAA">
        <w:rPr>
          <w:noProof/>
          <w:sz w:val="22"/>
        </w:rPr>
        <w:t>żecie na okres pierwszych pięciu lat funkcjonowania.</w:t>
      </w:r>
    </w:p>
    <w:p w14:paraId="59638749" w14:textId="77777777" w:rsidR="007F4C85" w:rsidRPr="004F6DAA" w:rsidRDefault="007F4C85" w:rsidP="007F4C85">
      <w:pPr>
        <w:rPr>
          <w:noProof/>
          <w:sz w:val="22"/>
        </w:rPr>
      </w:pPr>
      <w:r w:rsidRPr="004F6DAA">
        <w:rPr>
          <w:noProof/>
          <w:sz w:val="22"/>
        </w:rPr>
        <w:t>Uwzględniono także określone kwoty na pokrycie kosztów rozwoju technologii informacyjnych oraz utrzymania elektronicznych interfejsów między krajowymi systemami celnymi</w:t>
      </w:r>
      <w:r w:rsidR="00062BFA" w:rsidRPr="004F6DAA">
        <w:rPr>
          <w:noProof/>
          <w:sz w:val="22"/>
        </w:rPr>
        <w:t xml:space="preserve"> a</w:t>
      </w:r>
      <w:r w:rsidR="00062BFA">
        <w:rPr>
          <w:noProof/>
          <w:sz w:val="22"/>
        </w:rPr>
        <w:t> </w:t>
      </w:r>
      <w:r w:rsidR="00062BFA" w:rsidRPr="004F6DAA">
        <w:rPr>
          <w:noProof/>
          <w:sz w:val="22"/>
        </w:rPr>
        <w:t>sys</w:t>
      </w:r>
      <w:r w:rsidRPr="004F6DAA">
        <w:rPr>
          <w:noProof/>
          <w:sz w:val="22"/>
        </w:rPr>
        <w:t>temem informacyjnym</w:t>
      </w:r>
      <w:r w:rsidR="00062BFA" w:rsidRPr="004F6DAA">
        <w:rPr>
          <w:noProof/>
          <w:sz w:val="22"/>
        </w:rPr>
        <w:t xml:space="preserve"> w</w:t>
      </w:r>
      <w:r w:rsidR="00062BFA">
        <w:rPr>
          <w:noProof/>
          <w:sz w:val="22"/>
        </w:rPr>
        <w:t> </w:t>
      </w:r>
      <w:r w:rsidR="00062BFA" w:rsidRPr="004F6DAA">
        <w:rPr>
          <w:noProof/>
          <w:sz w:val="22"/>
        </w:rPr>
        <w:t>zak</w:t>
      </w:r>
      <w:r w:rsidRPr="004F6DAA">
        <w:rPr>
          <w:noProof/>
          <w:sz w:val="22"/>
        </w:rPr>
        <w:t>resie wymiany informacji między organami celnymi</w:t>
      </w:r>
      <w:r w:rsidR="00062BFA" w:rsidRPr="004F6DAA">
        <w:rPr>
          <w:noProof/>
          <w:sz w:val="22"/>
        </w:rPr>
        <w:t xml:space="preserve"> a</w:t>
      </w:r>
      <w:r w:rsidR="00062BFA">
        <w:rPr>
          <w:noProof/>
          <w:sz w:val="22"/>
        </w:rPr>
        <w:t> </w:t>
      </w:r>
      <w:r w:rsidR="00062BFA" w:rsidRPr="004F6DAA">
        <w:rPr>
          <w:noProof/>
          <w:sz w:val="22"/>
        </w:rPr>
        <w:t>wła</w:t>
      </w:r>
      <w:r w:rsidRPr="004F6DAA">
        <w:rPr>
          <w:noProof/>
          <w:sz w:val="22"/>
        </w:rPr>
        <w:t>ściwymi organami. Są one uwzględnione jako część całkowitego kosztu systemu informacyjnego.</w:t>
      </w:r>
    </w:p>
    <w:p w14:paraId="5A49DF79" w14:textId="77777777" w:rsidR="007F4C85" w:rsidRPr="004F6DAA" w:rsidRDefault="007F4C85" w:rsidP="007F4C85">
      <w:pPr>
        <w:jc w:val="left"/>
        <w:rPr>
          <w:noProof/>
          <w:sz w:val="22"/>
        </w:rPr>
      </w:pPr>
    </w:p>
    <w:tbl>
      <w:tblPr>
        <w:tblW w:w="13941" w:type="dxa"/>
        <w:tblInd w:w="118" w:type="dxa"/>
        <w:tblLook w:val="04A0" w:firstRow="1" w:lastRow="0" w:firstColumn="1" w:lastColumn="0" w:noHBand="0" w:noVBand="1"/>
      </w:tblPr>
      <w:tblGrid>
        <w:gridCol w:w="2944"/>
        <w:gridCol w:w="5733"/>
        <w:gridCol w:w="716"/>
        <w:gridCol w:w="716"/>
        <w:gridCol w:w="716"/>
        <w:gridCol w:w="716"/>
        <w:gridCol w:w="716"/>
        <w:gridCol w:w="716"/>
        <w:gridCol w:w="1129"/>
      </w:tblGrid>
      <w:tr w:rsidR="007F4C85" w:rsidRPr="004F6DAA" w14:paraId="5F17D559" w14:textId="77777777" w:rsidTr="000A1BEE">
        <w:trPr>
          <w:trHeight w:val="300"/>
        </w:trPr>
        <w:tc>
          <w:tcPr>
            <w:tcW w:w="13941" w:type="dxa"/>
            <w:gridSpan w:val="9"/>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0F0AA2" w14:textId="77777777" w:rsidR="007F4C85" w:rsidRPr="004F6DAA" w:rsidRDefault="007F4C85" w:rsidP="00992B23">
            <w:pPr>
              <w:spacing w:before="0" w:after="0"/>
              <w:jc w:val="center"/>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Wszystkie koszty</w:t>
            </w:r>
            <w:r w:rsidR="00062BFA" w:rsidRPr="004F6DAA">
              <w:rPr>
                <w:rFonts w:asciiTheme="majorBidi" w:hAnsiTheme="majorBidi"/>
                <w:b/>
                <w:bCs/>
                <w:noProof/>
                <w:color w:val="000000"/>
                <w:sz w:val="20"/>
                <w:szCs w:val="20"/>
              </w:rPr>
              <w:t xml:space="preserve"> z</w:t>
            </w:r>
            <w:r w:rsidR="00062BFA">
              <w:rPr>
                <w:rFonts w:asciiTheme="majorBidi" w:hAnsiTheme="majorBidi"/>
                <w:b/>
                <w:bCs/>
                <w:noProof/>
                <w:color w:val="000000"/>
                <w:sz w:val="20"/>
                <w:szCs w:val="20"/>
              </w:rPr>
              <w:t> </w:t>
            </w:r>
            <w:r w:rsidR="00062BFA" w:rsidRPr="004F6DAA">
              <w:rPr>
                <w:rFonts w:asciiTheme="majorBidi" w:hAnsiTheme="majorBidi"/>
                <w:b/>
                <w:bCs/>
                <w:noProof/>
                <w:color w:val="000000"/>
                <w:sz w:val="20"/>
                <w:szCs w:val="20"/>
              </w:rPr>
              <w:t>wyj</w:t>
            </w:r>
            <w:r w:rsidRPr="004F6DAA">
              <w:rPr>
                <w:rFonts w:asciiTheme="majorBidi" w:hAnsiTheme="majorBidi"/>
                <w:b/>
                <w:bCs/>
                <w:noProof/>
                <w:color w:val="000000"/>
                <w:sz w:val="20"/>
                <w:szCs w:val="20"/>
              </w:rPr>
              <w:t>ątkiem kosztów kadrowych</w:t>
            </w:r>
            <w:r w:rsidR="00062BFA" w:rsidRPr="004F6DAA">
              <w:rPr>
                <w:rFonts w:asciiTheme="majorBidi" w:hAnsiTheme="majorBidi"/>
                <w:b/>
                <w:bCs/>
                <w:noProof/>
                <w:color w:val="000000"/>
                <w:sz w:val="20"/>
                <w:szCs w:val="20"/>
              </w:rPr>
              <w:t xml:space="preserve"> i</w:t>
            </w:r>
            <w:r w:rsidR="00062BFA">
              <w:rPr>
                <w:rFonts w:asciiTheme="majorBidi" w:hAnsiTheme="majorBidi"/>
                <w:b/>
                <w:bCs/>
                <w:noProof/>
                <w:color w:val="000000"/>
                <w:sz w:val="20"/>
                <w:szCs w:val="20"/>
              </w:rPr>
              <w:t> </w:t>
            </w:r>
            <w:r w:rsidR="00062BFA" w:rsidRPr="004F6DAA">
              <w:rPr>
                <w:rFonts w:asciiTheme="majorBidi" w:hAnsiTheme="majorBidi"/>
                <w:b/>
                <w:bCs/>
                <w:noProof/>
                <w:color w:val="000000"/>
                <w:sz w:val="20"/>
                <w:szCs w:val="20"/>
              </w:rPr>
              <w:t>adm</w:t>
            </w:r>
            <w:r w:rsidRPr="004F6DAA">
              <w:rPr>
                <w:rFonts w:asciiTheme="majorBidi" w:hAnsiTheme="majorBidi"/>
                <w:b/>
                <w:bCs/>
                <w:noProof/>
                <w:color w:val="000000"/>
                <w:sz w:val="20"/>
                <w:szCs w:val="20"/>
              </w:rPr>
              <w:t>inistracyjnych</w:t>
            </w:r>
          </w:p>
        </w:tc>
      </w:tr>
      <w:tr w:rsidR="007F4C85" w:rsidRPr="004F6DAA" w14:paraId="2C39BAF7" w14:textId="77777777" w:rsidTr="000A1BEE">
        <w:trPr>
          <w:trHeight w:val="300"/>
        </w:trPr>
        <w:tc>
          <w:tcPr>
            <w:tcW w:w="2974" w:type="dxa"/>
            <w:tcBorders>
              <w:top w:val="nil"/>
              <w:left w:val="single" w:sz="8" w:space="0" w:color="auto"/>
              <w:bottom w:val="single" w:sz="4" w:space="0" w:color="auto"/>
              <w:right w:val="nil"/>
            </w:tcBorders>
            <w:shd w:val="clear" w:color="auto" w:fill="auto"/>
            <w:noWrap/>
            <w:vAlign w:val="bottom"/>
            <w:hideMark/>
          </w:tcPr>
          <w:p w14:paraId="306091C6" w14:textId="77777777" w:rsidR="007F4C85" w:rsidRPr="004F6DAA" w:rsidRDefault="007F4C85" w:rsidP="00992B23">
            <w:pPr>
              <w:spacing w:before="0" w:after="0"/>
              <w:jc w:val="center"/>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Zadania</w:t>
            </w:r>
          </w:p>
        </w:tc>
        <w:tc>
          <w:tcPr>
            <w:tcW w:w="5794" w:type="dxa"/>
            <w:tcBorders>
              <w:top w:val="nil"/>
              <w:left w:val="nil"/>
              <w:bottom w:val="single" w:sz="4" w:space="0" w:color="auto"/>
              <w:right w:val="nil"/>
            </w:tcBorders>
            <w:shd w:val="clear" w:color="auto" w:fill="auto"/>
            <w:noWrap/>
            <w:vAlign w:val="bottom"/>
            <w:hideMark/>
          </w:tcPr>
          <w:p w14:paraId="03C515A0" w14:textId="77777777" w:rsidR="007F4C85" w:rsidRPr="004F6DAA" w:rsidRDefault="007F4C85" w:rsidP="00992B23">
            <w:pPr>
              <w:spacing w:before="0" w:after="0"/>
              <w:jc w:val="center"/>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Zasoby</w:t>
            </w:r>
          </w:p>
        </w:tc>
        <w:tc>
          <w:tcPr>
            <w:tcW w:w="722" w:type="dxa"/>
            <w:tcBorders>
              <w:top w:val="nil"/>
              <w:left w:val="nil"/>
              <w:bottom w:val="single" w:sz="4" w:space="0" w:color="auto"/>
              <w:right w:val="nil"/>
            </w:tcBorders>
            <w:shd w:val="clear" w:color="auto" w:fill="auto"/>
            <w:noWrap/>
            <w:vAlign w:val="bottom"/>
            <w:hideMark/>
          </w:tcPr>
          <w:p w14:paraId="3ADB538C" w14:textId="77777777" w:rsidR="007F4C85" w:rsidRPr="004F6DAA" w:rsidRDefault="007F4C85" w:rsidP="00992B23">
            <w:pPr>
              <w:spacing w:before="0" w:after="0"/>
              <w:jc w:val="lef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2022</w:t>
            </w:r>
          </w:p>
        </w:tc>
        <w:tc>
          <w:tcPr>
            <w:tcW w:w="722" w:type="dxa"/>
            <w:tcBorders>
              <w:top w:val="nil"/>
              <w:left w:val="nil"/>
              <w:bottom w:val="single" w:sz="4" w:space="0" w:color="auto"/>
              <w:right w:val="nil"/>
            </w:tcBorders>
            <w:shd w:val="clear" w:color="auto" w:fill="auto"/>
            <w:noWrap/>
            <w:vAlign w:val="bottom"/>
            <w:hideMark/>
          </w:tcPr>
          <w:p w14:paraId="0B20F316" w14:textId="77777777" w:rsidR="007F4C85" w:rsidRPr="004F6DAA" w:rsidRDefault="007F4C85" w:rsidP="00992B23">
            <w:pPr>
              <w:spacing w:before="0" w:after="0"/>
              <w:jc w:val="lef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2023</w:t>
            </w:r>
          </w:p>
        </w:tc>
        <w:tc>
          <w:tcPr>
            <w:tcW w:w="722" w:type="dxa"/>
            <w:tcBorders>
              <w:top w:val="nil"/>
              <w:left w:val="nil"/>
              <w:bottom w:val="single" w:sz="4" w:space="0" w:color="auto"/>
              <w:right w:val="nil"/>
            </w:tcBorders>
            <w:shd w:val="clear" w:color="auto" w:fill="auto"/>
            <w:noWrap/>
            <w:vAlign w:val="bottom"/>
            <w:hideMark/>
          </w:tcPr>
          <w:p w14:paraId="0A1A4293" w14:textId="77777777" w:rsidR="007F4C85" w:rsidRPr="004F6DAA" w:rsidRDefault="007F4C85" w:rsidP="00992B23">
            <w:pPr>
              <w:spacing w:before="0" w:after="0"/>
              <w:jc w:val="lef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2024</w:t>
            </w:r>
          </w:p>
        </w:tc>
        <w:tc>
          <w:tcPr>
            <w:tcW w:w="722" w:type="dxa"/>
            <w:tcBorders>
              <w:top w:val="nil"/>
              <w:left w:val="nil"/>
              <w:bottom w:val="single" w:sz="4" w:space="0" w:color="auto"/>
              <w:right w:val="nil"/>
            </w:tcBorders>
            <w:shd w:val="clear" w:color="auto" w:fill="auto"/>
            <w:noWrap/>
            <w:vAlign w:val="bottom"/>
            <w:hideMark/>
          </w:tcPr>
          <w:p w14:paraId="2C78C1FE" w14:textId="77777777" w:rsidR="007F4C85" w:rsidRPr="004F6DAA" w:rsidRDefault="007F4C85" w:rsidP="00992B23">
            <w:pPr>
              <w:spacing w:before="0" w:after="0"/>
              <w:jc w:val="lef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2025</w:t>
            </w:r>
          </w:p>
        </w:tc>
        <w:tc>
          <w:tcPr>
            <w:tcW w:w="722" w:type="dxa"/>
            <w:tcBorders>
              <w:top w:val="nil"/>
              <w:left w:val="nil"/>
              <w:bottom w:val="single" w:sz="4" w:space="0" w:color="auto"/>
              <w:right w:val="nil"/>
            </w:tcBorders>
            <w:shd w:val="clear" w:color="auto" w:fill="auto"/>
            <w:noWrap/>
            <w:vAlign w:val="bottom"/>
            <w:hideMark/>
          </w:tcPr>
          <w:p w14:paraId="2FB6F6C8" w14:textId="77777777" w:rsidR="007F4C85" w:rsidRPr="004F6DAA" w:rsidRDefault="007F4C85" w:rsidP="00992B23">
            <w:pPr>
              <w:spacing w:before="0" w:after="0"/>
              <w:jc w:val="lef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2026</w:t>
            </w:r>
          </w:p>
        </w:tc>
        <w:tc>
          <w:tcPr>
            <w:tcW w:w="722" w:type="dxa"/>
            <w:tcBorders>
              <w:top w:val="nil"/>
              <w:left w:val="nil"/>
              <w:bottom w:val="single" w:sz="4" w:space="0" w:color="auto"/>
              <w:right w:val="nil"/>
            </w:tcBorders>
            <w:shd w:val="clear" w:color="auto" w:fill="auto"/>
            <w:noWrap/>
            <w:vAlign w:val="bottom"/>
            <w:hideMark/>
          </w:tcPr>
          <w:p w14:paraId="19261167" w14:textId="77777777" w:rsidR="007F4C85" w:rsidRPr="004F6DAA" w:rsidRDefault="007F4C85" w:rsidP="00992B23">
            <w:pPr>
              <w:spacing w:before="0" w:after="0"/>
              <w:jc w:val="lef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2027</w:t>
            </w:r>
          </w:p>
        </w:tc>
        <w:tc>
          <w:tcPr>
            <w:tcW w:w="841" w:type="dxa"/>
            <w:tcBorders>
              <w:top w:val="nil"/>
              <w:left w:val="nil"/>
              <w:bottom w:val="single" w:sz="4" w:space="0" w:color="auto"/>
              <w:right w:val="single" w:sz="4" w:space="0" w:color="auto"/>
            </w:tcBorders>
            <w:shd w:val="clear" w:color="auto" w:fill="auto"/>
            <w:noWrap/>
            <w:vAlign w:val="bottom"/>
            <w:hideMark/>
          </w:tcPr>
          <w:p w14:paraId="64765F7A" w14:textId="77777777" w:rsidR="007F4C85" w:rsidRPr="004F6DAA" w:rsidRDefault="007F4C85" w:rsidP="00992B23">
            <w:pPr>
              <w:spacing w:before="0" w:after="0"/>
              <w:jc w:val="lef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OGÓŁEM</w:t>
            </w:r>
          </w:p>
        </w:tc>
      </w:tr>
      <w:tr w:rsidR="007F4C85" w:rsidRPr="004F6DAA" w14:paraId="21D8E0BF" w14:textId="77777777" w:rsidTr="000A1BEE">
        <w:trPr>
          <w:trHeight w:val="300"/>
        </w:trPr>
        <w:tc>
          <w:tcPr>
            <w:tcW w:w="2974" w:type="dxa"/>
            <w:tcBorders>
              <w:top w:val="nil"/>
              <w:left w:val="single" w:sz="8" w:space="0" w:color="auto"/>
              <w:bottom w:val="nil"/>
              <w:right w:val="nil"/>
            </w:tcBorders>
            <w:shd w:val="clear" w:color="auto" w:fill="auto"/>
            <w:noWrap/>
            <w:vAlign w:val="bottom"/>
            <w:hideMark/>
          </w:tcPr>
          <w:p w14:paraId="3DC661EF" w14:textId="77777777" w:rsidR="007F4C85" w:rsidRPr="004F6DAA" w:rsidRDefault="007F4C85" w:rsidP="00992B23">
            <w:pPr>
              <w:spacing w:before="0" w:after="0"/>
              <w:jc w:val="lef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Ogólne wdrażanie</w:t>
            </w:r>
          </w:p>
        </w:tc>
        <w:tc>
          <w:tcPr>
            <w:tcW w:w="5794" w:type="dxa"/>
            <w:tcBorders>
              <w:top w:val="nil"/>
              <w:left w:val="nil"/>
              <w:bottom w:val="nil"/>
              <w:right w:val="nil"/>
            </w:tcBorders>
            <w:shd w:val="clear" w:color="auto" w:fill="auto"/>
            <w:noWrap/>
            <w:vAlign w:val="bottom"/>
            <w:hideMark/>
          </w:tcPr>
          <w:p w14:paraId="7EA7DD3F" w14:textId="77777777" w:rsidR="007F4C85" w:rsidRPr="004F6DAA" w:rsidRDefault="007F4C85" w:rsidP="00992B23">
            <w:pPr>
              <w:spacing w:before="0" w:after="0"/>
              <w:jc w:val="lef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Umowa</w:t>
            </w:r>
            <w:r w:rsidR="00062BFA" w:rsidRPr="004F6DAA">
              <w:rPr>
                <w:rFonts w:asciiTheme="majorBidi" w:hAnsiTheme="majorBidi"/>
                <w:noProof/>
                <w:color w:val="000000"/>
                <w:sz w:val="20"/>
                <w:szCs w:val="20"/>
              </w:rPr>
              <w:t xml:space="preserve"> w</w:t>
            </w:r>
            <w:r w:rsidR="00062BFA">
              <w:rPr>
                <w:rFonts w:asciiTheme="majorBidi" w:hAnsiTheme="majorBidi"/>
                <w:noProof/>
                <w:color w:val="000000"/>
                <w:sz w:val="20"/>
                <w:szCs w:val="20"/>
              </w:rPr>
              <w:t> </w:t>
            </w:r>
            <w:r w:rsidR="00062BFA" w:rsidRPr="004F6DAA">
              <w:rPr>
                <w:rFonts w:asciiTheme="majorBidi" w:hAnsiTheme="majorBidi"/>
                <w:noProof/>
                <w:color w:val="000000"/>
                <w:sz w:val="20"/>
                <w:szCs w:val="20"/>
              </w:rPr>
              <w:t>spr</w:t>
            </w:r>
            <w:r w:rsidRPr="004F6DAA">
              <w:rPr>
                <w:rFonts w:asciiTheme="majorBidi" w:hAnsiTheme="majorBidi"/>
                <w:noProof/>
                <w:color w:val="000000"/>
                <w:sz w:val="20"/>
                <w:szCs w:val="20"/>
              </w:rPr>
              <w:t>awie wsparcia ogólnego</w:t>
            </w:r>
          </w:p>
        </w:tc>
        <w:tc>
          <w:tcPr>
            <w:tcW w:w="722" w:type="dxa"/>
            <w:tcBorders>
              <w:top w:val="nil"/>
              <w:left w:val="nil"/>
              <w:bottom w:val="nil"/>
              <w:right w:val="nil"/>
            </w:tcBorders>
            <w:shd w:val="clear" w:color="auto" w:fill="auto"/>
            <w:noWrap/>
            <w:vAlign w:val="bottom"/>
            <w:hideMark/>
          </w:tcPr>
          <w:p w14:paraId="08DFA869"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722" w:type="dxa"/>
            <w:tcBorders>
              <w:top w:val="nil"/>
              <w:left w:val="nil"/>
              <w:bottom w:val="nil"/>
              <w:right w:val="nil"/>
            </w:tcBorders>
            <w:shd w:val="clear" w:color="auto" w:fill="auto"/>
            <w:noWrap/>
            <w:vAlign w:val="bottom"/>
            <w:hideMark/>
          </w:tcPr>
          <w:p w14:paraId="074C74A0"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0,450</w:t>
            </w:r>
          </w:p>
        </w:tc>
        <w:tc>
          <w:tcPr>
            <w:tcW w:w="722" w:type="dxa"/>
            <w:tcBorders>
              <w:top w:val="nil"/>
              <w:left w:val="nil"/>
              <w:bottom w:val="nil"/>
              <w:right w:val="nil"/>
            </w:tcBorders>
            <w:shd w:val="clear" w:color="auto" w:fill="auto"/>
            <w:noWrap/>
            <w:vAlign w:val="bottom"/>
            <w:hideMark/>
          </w:tcPr>
          <w:p w14:paraId="1B22E59C"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0,450</w:t>
            </w:r>
          </w:p>
        </w:tc>
        <w:tc>
          <w:tcPr>
            <w:tcW w:w="722" w:type="dxa"/>
            <w:tcBorders>
              <w:top w:val="nil"/>
              <w:left w:val="nil"/>
              <w:bottom w:val="nil"/>
              <w:right w:val="nil"/>
            </w:tcBorders>
            <w:shd w:val="clear" w:color="auto" w:fill="auto"/>
            <w:noWrap/>
            <w:vAlign w:val="bottom"/>
            <w:hideMark/>
          </w:tcPr>
          <w:p w14:paraId="24CF5017"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0,450</w:t>
            </w:r>
          </w:p>
        </w:tc>
        <w:tc>
          <w:tcPr>
            <w:tcW w:w="722" w:type="dxa"/>
            <w:tcBorders>
              <w:top w:val="nil"/>
              <w:left w:val="nil"/>
              <w:bottom w:val="nil"/>
              <w:right w:val="nil"/>
            </w:tcBorders>
            <w:shd w:val="clear" w:color="auto" w:fill="auto"/>
            <w:noWrap/>
            <w:vAlign w:val="bottom"/>
            <w:hideMark/>
          </w:tcPr>
          <w:p w14:paraId="40404198"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0,450</w:t>
            </w:r>
          </w:p>
        </w:tc>
        <w:tc>
          <w:tcPr>
            <w:tcW w:w="722" w:type="dxa"/>
            <w:tcBorders>
              <w:top w:val="nil"/>
              <w:left w:val="nil"/>
              <w:bottom w:val="nil"/>
              <w:right w:val="nil"/>
            </w:tcBorders>
            <w:shd w:val="clear" w:color="auto" w:fill="auto"/>
            <w:noWrap/>
            <w:vAlign w:val="bottom"/>
            <w:hideMark/>
          </w:tcPr>
          <w:p w14:paraId="7C2149BE"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0,450</w:t>
            </w:r>
          </w:p>
        </w:tc>
        <w:tc>
          <w:tcPr>
            <w:tcW w:w="841" w:type="dxa"/>
            <w:tcBorders>
              <w:top w:val="nil"/>
              <w:left w:val="nil"/>
              <w:bottom w:val="nil"/>
              <w:right w:val="single" w:sz="4" w:space="0" w:color="auto"/>
            </w:tcBorders>
            <w:shd w:val="clear" w:color="auto" w:fill="auto"/>
            <w:noWrap/>
            <w:vAlign w:val="bottom"/>
            <w:hideMark/>
          </w:tcPr>
          <w:p w14:paraId="241702F3"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2,250</w:t>
            </w:r>
          </w:p>
        </w:tc>
      </w:tr>
      <w:tr w:rsidR="007F4C85" w:rsidRPr="004F6DAA" w14:paraId="0509B4E3" w14:textId="77777777" w:rsidTr="000A1BEE">
        <w:trPr>
          <w:trHeight w:val="300"/>
        </w:trPr>
        <w:tc>
          <w:tcPr>
            <w:tcW w:w="2974" w:type="dxa"/>
            <w:tcBorders>
              <w:top w:val="nil"/>
              <w:left w:val="single" w:sz="8" w:space="0" w:color="auto"/>
              <w:bottom w:val="nil"/>
              <w:right w:val="nil"/>
            </w:tcBorders>
            <w:shd w:val="clear" w:color="000000" w:fill="F2F2F2"/>
            <w:noWrap/>
            <w:vAlign w:val="bottom"/>
            <w:hideMark/>
          </w:tcPr>
          <w:p w14:paraId="1832C945" w14:textId="77777777" w:rsidR="007F4C85" w:rsidRPr="004F6DAA" w:rsidRDefault="007F4C85" w:rsidP="00992B23">
            <w:pPr>
              <w:spacing w:before="0" w:after="0"/>
              <w:jc w:val="lef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System wskaźników</w:t>
            </w:r>
          </w:p>
        </w:tc>
        <w:tc>
          <w:tcPr>
            <w:tcW w:w="5794" w:type="dxa"/>
            <w:tcBorders>
              <w:top w:val="nil"/>
              <w:left w:val="nil"/>
              <w:bottom w:val="nil"/>
              <w:right w:val="nil"/>
            </w:tcBorders>
            <w:shd w:val="clear" w:color="000000" w:fill="F2F2F2"/>
            <w:noWrap/>
            <w:vAlign w:val="bottom"/>
            <w:hideMark/>
          </w:tcPr>
          <w:p w14:paraId="6F601349" w14:textId="77777777" w:rsidR="007F4C85" w:rsidRPr="004F6DAA" w:rsidRDefault="007F4C85" w:rsidP="00992B23">
            <w:pPr>
              <w:spacing w:before="0" w:after="0"/>
              <w:jc w:val="lef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Umowa</w:t>
            </w:r>
            <w:r w:rsidR="00062BFA" w:rsidRPr="004F6DAA">
              <w:rPr>
                <w:rFonts w:asciiTheme="majorBidi" w:hAnsiTheme="majorBidi"/>
                <w:noProof/>
                <w:color w:val="000000"/>
                <w:sz w:val="20"/>
                <w:szCs w:val="20"/>
              </w:rPr>
              <w:t xml:space="preserve"> w</w:t>
            </w:r>
            <w:r w:rsidR="00062BFA">
              <w:rPr>
                <w:rFonts w:asciiTheme="majorBidi" w:hAnsiTheme="majorBidi"/>
                <w:noProof/>
                <w:color w:val="000000"/>
                <w:sz w:val="20"/>
                <w:szCs w:val="20"/>
              </w:rPr>
              <w:t> </w:t>
            </w:r>
            <w:r w:rsidR="00062BFA" w:rsidRPr="004F6DAA">
              <w:rPr>
                <w:rFonts w:asciiTheme="majorBidi" w:hAnsiTheme="majorBidi"/>
                <w:noProof/>
                <w:color w:val="000000"/>
                <w:sz w:val="20"/>
                <w:szCs w:val="20"/>
              </w:rPr>
              <w:t>spr</w:t>
            </w:r>
            <w:r w:rsidRPr="004F6DAA">
              <w:rPr>
                <w:rFonts w:asciiTheme="majorBidi" w:hAnsiTheme="majorBidi"/>
                <w:noProof/>
                <w:color w:val="000000"/>
                <w:sz w:val="20"/>
                <w:szCs w:val="20"/>
              </w:rPr>
              <w:t xml:space="preserve">awie wsparcia lub porozumienie administracyjne </w:t>
            </w:r>
          </w:p>
        </w:tc>
        <w:tc>
          <w:tcPr>
            <w:tcW w:w="722" w:type="dxa"/>
            <w:tcBorders>
              <w:top w:val="nil"/>
              <w:left w:val="nil"/>
              <w:bottom w:val="nil"/>
              <w:right w:val="nil"/>
            </w:tcBorders>
            <w:shd w:val="clear" w:color="auto" w:fill="auto"/>
            <w:noWrap/>
            <w:vAlign w:val="bottom"/>
            <w:hideMark/>
          </w:tcPr>
          <w:p w14:paraId="53D0D2B3"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722" w:type="dxa"/>
            <w:tcBorders>
              <w:top w:val="nil"/>
              <w:left w:val="nil"/>
              <w:bottom w:val="nil"/>
              <w:right w:val="nil"/>
            </w:tcBorders>
            <w:shd w:val="clear" w:color="auto" w:fill="auto"/>
            <w:noWrap/>
            <w:vAlign w:val="bottom"/>
            <w:hideMark/>
          </w:tcPr>
          <w:p w14:paraId="0D300E8C"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1,009</w:t>
            </w:r>
          </w:p>
        </w:tc>
        <w:tc>
          <w:tcPr>
            <w:tcW w:w="722" w:type="dxa"/>
            <w:tcBorders>
              <w:top w:val="nil"/>
              <w:left w:val="nil"/>
              <w:bottom w:val="nil"/>
              <w:right w:val="nil"/>
            </w:tcBorders>
            <w:shd w:val="clear" w:color="auto" w:fill="auto"/>
            <w:noWrap/>
            <w:vAlign w:val="bottom"/>
            <w:hideMark/>
          </w:tcPr>
          <w:p w14:paraId="07AACB75"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0,840</w:t>
            </w:r>
          </w:p>
        </w:tc>
        <w:tc>
          <w:tcPr>
            <w:tcW w:w="722" w:type="dxa"/>
            <w:tcBorders>
              <w:top w:val="nil"/>
              <w:left w:val="nil"/>
              <w:bottom w:val="nil"/>
              <w:right w:val="nil"/>
            </w:tcBorders>
            <w:shd w:val="clear" w:color="auto" w:fill="auto"/>
            <w:noWrap/>
            <w:vAlign w:val="bottom"/>
            <w:hideMark/>
          </w:tcPr>
          <w:p w14:paraId="3E4BFCA1"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0,840</w:t>
            </w:r>
          </w:p>
        </w:tc>
        <w:tc>
          <w:tcPr>
            <w:tcW w:w="722" w:type="dxa"/>
            <w:tcBorders>
              <w:top w:val="nil"/>
              <w:left w:val="nil"/>
              <w:bottom w:val="nil"/>
              <w:right w:val="nil"/>
            </w:tcBorders>
            <w:shd w:val="clear" w:color="auto" w:fill="auto"/>
            <w:noWrap/>
            <w:vAlign w:val="bottom"/>
            <w:hideMark/>
          </w:tcPr>
          <w:p w14:paraId="04277E04"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0,840</w:t>
            </w:r>
          </w:p>
        </w:tc>
        <w:tc>
          <w:tcPr>
            <w:tcW w:w="722" w:type="dxa"/>
            <w:tcBorders>
              <w:top w:val="nil"/>
              <w:left w:val="nil"/>
              <w:bottom w:val="nil"/>
              <w:right w:val="nil"/>
            </w:tcBorders>
            <w:shd w:val="clear" w:color="auto" w:fill="auto"/>
            <w:noWrap/>
            <w:vAlign w:val="bottom"/>
            <w:hideMark/>
          </w:tcPr>
          <w:p w14:paraId="7A1A048A"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0,840</w:t>
            </w:r>
          </w:p>
        </w:tc>
        <w:tc>
          <w:tcPr>
            <w:tcW w:w="841" w:type="dxa"/>
            <w:tcBorders>
              <w:top w:val="nil"/>
              <w:left w:val="nil"/>
              <w:bottom w:val="nil"/>
              <w:right w:val="single" w:sz="4" w:space="0" w:color="auto"/>
            </w:tcBorders>
            <w:shd w:val="clear" w:color="auto" w:fill="auto"/>
            <w:noWrap/>
            <w:vAlign w:val="bottom"/>
            <w:hideMark/>
          </w:tcPr>
          <w:p w14:paraId="532D1EF6"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4,369</w:t>
            </w:r>
          </w:p>
        </w:tc>
      </w:tr>
      <w:tr w:rsidR="007F4C85" w:rsidRPr="004F6DAA" w14:paraId="2031E082" w14:textId="77777777" w:rsidTr="000A1BEE">
        <w:trPr>
          <w:trHeight w:val="300"/>
        </w:trPr>
        <w:tc>
          <w:tcPr>
            <w:tcW w:w="2974" w:type="dxa"/>
            <w:tcBorders>
              <w:top w:val="nil"/>
              <w:left w:val="single" w:sz="8" w:space="0" w:color="auto"/>
              <w:bottom w:val="nil"/>
              <w:right w:val="nil"/>
            </w:tcBorders>
            <w:shd w:val="clear" w:color="auto" w:fill="auto"/>
            <w:noWrap/>
            <w:vAlign w:val="bottom"/>
            <w:hideMark/>
          </w:tcPr>
          <w:p w14:paraId="606D230F" w14:textId="77777777" w:rsidR="007F4C85" w:rsidRPr="004F6DAA" w:rsidRDefault="00F346F4" w:rsidP="00992B23">
            <w:pPr>
              <w:spacing w:before="0" w:after="0"/>
              <w:jc w:val="lef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„Rejestr” – system informacyjny (ENV+TAXUD)</w:t>
            </w:r>
          </w:p>
        </w:tc>
        <w:tc>
          <w:tcPr>
            <w:tcW w:w="5794" w:type="dxa"/>
            <w:tcBorders>
              <w:top w:val="nil"/>
              <w:left w:val="nil"/>
              <w:bottom w:val="nil"/>
              <w:right w:val="nil"/>
            </w:tcBorders>
            <w:shd w:val="clear" w:color="auto" w:fill="auto"/>
            <w:noWrap/>
            <w:vAlign w:val="bottom"/>
            <w:hideMark/>
          </w:tcPr>
          <w:p w14:paraId="55E6D1F0" w14:textId="77777777" w:rsidR="007F4C85" w:rsidRPr="004F6DAA" w:rsidRDefault="007F4C85" w:rsidP="00992B23">
            <w:pPr>
              <w:spacing w:before="0" w:after="0"/>
              <w:jc w:val="lef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Umowa</w:t>
            </w:r>
            <w:r w:rsidR="00062BFA" w:rsidRPr="004F6DAA">
              <w:rPr>
                <w:rFonts w:asciiTheme="majorBidi" w:hAnsiTheme="majorBidi"/>
                <w:noProof/>
                <w:color w:val="000000"/>
                <w:sz w:val="20"/>
                <w:szCs w:val="20"/>
              </w:rPr>
              <w:t xml:space="preserve"> w</w:t>
            </w:r>
            <w:r w:rsidR="00062BFA">
              <w:rPr>
                <w:rFonts w:asciiTheme="majorBidi" w:hAnsiTheme="majorBidi"/>
                <w:noProof/>
                <w:color w:val="000000"/>
                <w:sz w:val="20"/>
                <w:szCs w:val="20"/>
              </w:rPr>
              <w:t> </w:t>
            </w:r>
            <w:r w:rsidR="00062BFA" w:rsidRPr="004F6DAA">
              <w:rPr>
                <w:rFonts w:asciiTheme="majorBidi" w:hAnsiTheme="majorBidi"/>
                <w:noProof/>
                <w:color w:val="000000"/>
                <w:sz w:val="20"/>
                <w:szCs w:val="20"/>
              </w:rPr>
              <w:t>spr</w:t>
            </w:r>
            <w:r w:rsidRPr="004F6DAA">
              <w:rPr>
                <w:rFonts w:asciiTheme="majorBidi" w:hAnsiTheme="majorBidi"/>
                <w:noProof/>
                <w:color w:val="000000"/>
                <w:sz w:val="20"/>
                <w:szCs w:val="20"/>
              </w:rPr>
              <w:t>awie wsparcia lub porozumienie administracyjne</w:t>
            </w:r>
          </w:p>
        </w:tc>
        <w:tc>
          <w:tcPr>
            <w:tcW w:w="722" w:type="dxa"/>
            <w:tcBorders>
              <w:top w:val="nil"/>
              <w:left w:val="nil"/>
              <w:bottom w:val="nil"/>
              <w:right w:val="nil"/>
            </w:tcBorders>
            <w:shd w:val="clear" w:color="auto" w:fill="auto"/>
            <w:noWrap/>
            <w:vAlign w:val="bottom"/>
            <w:hideMark/>
          </w:tcPr>
          <w:p w14:paraId="1310B5B6"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722" w:type="dxa"/>
            <w:tcBorders>
              <w:top w:val="nil"/>
              <w:left w:val="nil"/>
              <w:bottom w:val="nil"/>
              <w:right w:val="nil"/>
            </w:tcBorders>
            <w:shd w:val="clear" w:color="auto" w:fill="auto"/>
            <w:noWrap/>
            <w:vAlign w:val="bottom"/>
            <w:hideMark/>
          </w:tcPr>
          <w:p w14:paraId="0317D293"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0,480</w:t>
            </w:r>
          </w:p>
        </w:tc>
        <w:tc>
          <w:tcPr>
            <w:tcW w:w="722" w:type="dxa"/>
            <w:tcBorders>
              <w:top w:val="nil"/>
              <w:left w:val="nil"/>
              <w:bottom w:val="nil"/>
              <w:right w:val="nil"/>
            </w:tcBorders>
            <w:shd w:val="clear" w:color="auto" w:fill="auto"/>
            <w:noWrap/>
            <w:vAlign w:val="bottom"/>
            <w:hideMark/>
          </w:tcPr>
          <w:p w14:paraId="43F60182"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0,690</w:t>
            </w:r>
          </w:p>
        </w:tc>
        <w:tc>
          <w:tcPr>
            <w:tcW w:w="722" w:type="dxa"/>
            <w:tcBorders>
              <w:top w:val="nil"/>
              <w:left w:val="nil"/>
              <w:bottom w:val="nil"/>
              <w:right w:val="nil"/>
            </w:tcBorders>
            <w:shd w:val="clear" w:color="auto" w:fill="auto"/>
            <w:noWrap/>
            <w:vAlign w:val="bottom"/>
            <w:hideMark/>
          </w:tcPr>
          <w:p w14:paraId="4FA4A33B"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0,570</w:t>
            </w:r>
          </w:p>
        </w:tc>
        <w:tc>
          <w:tcPr>
            <w:tcW w:w="722" w:type="dxa"/>
            <w:tcBorders>
              <w:top w:val="nil"/>
              <w:left w:val="nil"/>
              <w:bottom w:val="nil"/>
              <w:right w:val="nil"/>
            </w:tcBorders>
            <w:shd w:val="clear" w:color="auto" w:fill="auto"/>
            <w:noWrap/>
            <w:vAlign w:val="bottom"/>
            <w:hideMark/>
          </w:tcPr>
          <w:p w14:paraId="7A16F874"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0,425</w:t>
            </w:r>
          </w:p>
        </w:tc>
        <w:tc>
          <w:tcPr>
            <w:tcW w:w="722" w:type="dxa"/>
            <w:tcBorders>
              <w:top w:val="nil"/>
              <w:left w:val="nil"/>
              <w:bottom w:val="nil"/>
              <w:right w:val="nil"/>
            </w:tcBorders>
            <w:shd w:val="clear" w:color="auto" w:fill="auto"/>
            <w:noWrap/>
            <w:vAlign w:val="bottom"/>
            <w:hideMark/>
          </w:tcPr>
          <w:p w14:paraId="5E467B2A"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0,285</w:t>
            </w:r>
          </w:p>
        </w:tc>
        <w:tc>
          <w:tcPr>
            <w:tcW w:w="841" w:type="dxa"/>
            <w:tcBorders>
              <w:top w:val="nil"/>
              <w:left w:val="nil"/>
              <w:bottom w:val="nil"/>
              <w:right w:val="single" w:sz="4" w:space="0" w:color="auto"/>
            </w:tcBorders>
            <w:shd w:val="clear" w:color="auto" w:fill="auto"/>
            <w:noWrap/>
            <w:vAlign w:val="bottom"/>
            <w:hideMark/>
          </w:tcPr>
          <w:p w14:paraId="50EFF25E"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2,450</w:t>
            </w:r>
          </w:p>
        </w:tc>
      </w:tr>
      <w:tr w:rsidR="007F4C85" w:rsidRPr="004F6DAA" w14:paraId="79C0DA71" w14:textId="77777777" w:rsidTr="000A1BEE">
        <w:trPr>
          <w:trHeight w:val="300"/>
        </w:trPr>
        <w:tc>
          <w:tcPr>
            <w:tcW w:w="2974" w:type="dxa"/>
            <w:tcBorders>
              <w:top w:val="nil"/>
              <w:left w:val="single" w:sz="8" w:space="0" w:color="auto"/>
              <w:bottom w:val="nil"/>
              <w:right w:val="nil"/>
            </w:tcBorders>
            <w:shd w:val="clear" w:color="000000" w:fill="F2F2F2"/>
            <w:noWrap/>
            <w:vAlign w:val="bottom"/>
            <w:hideMark/>
          </w:tcPr>
          <w:p w14:paraId="347EA555" w14:textId="77777777" w:rsidR="007F4C85" w:rsidRPr="004F6DAA" w:rsidRDefault="007F4C85" w:rsidP="00992B23">
            <w:pPr>
              <w:spacing w:before="0" w:after="0"/>
              <w:jc w:val="lef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 xml:space="preserve">Zakres przeglądu </w:t>
            </w:r>
          </w:p>
        </w:tc>
        <w:tc>
          <w:tcPr>
            <w:tcW w:w="5794" w:type="dxa"/>
            <w:tcBorders>
              <w:top w:val="nil"/>
              <w:left w:val="nil"/>
              <w:bottom w:val="nil"/>
              <w:right w:val="nil"/>
            </w:tcBorders>
            <w:shd w:val="clear" w:color="000000" w:fill="F2F2F2"/>
            <w:noWrap/>
            <w:vAlign w:val="bottom"/>
            <w:hideMark/>
          </w:tcPr>
          <w:p w14:paraId="79997A01" w14:textId="77777777" w:rsidR="007F4C85" w:rsidRPr="004F6DAA" w:rsidRDefault="007F4C85" w:rsidP="00992B23">
            <w:pPr>
              <w:spacing w:before="0" w:after="0"/>
              <w:jc w:val="lef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Umowa</w:t>
            </w:r>
            <w:r w:rsidR="00062BFA" w:rsidRPr="004F6DAA">
              <w:rPr>
                <w:rFonts w:asciiTheme="majorBidi" w:hAnsiTheme="majorBidi"/>
                <w:noProof/>
                <w:color w:val="000000"/>
                <w:sz w:val="20"/>
                <w:szCs w:val="20"/>
              </w:rPr>
              <w:t xml:space="preserve"> w</w:t>
            </w:r>
            <w:r w:rsidR="00062BFA">
              <w:rPr>
                <w:rFonts w:asciiTheme="majorBidi" w:hAnsiTheme="majorBidi"/>
                <w:noProof/>
                <w:color w:val="000000"/>
                <w:sz w:val="20"/>
                <w:szCs w:val="20"/>
              </w:rPr>
              <w:t> </w:t>
            </w:r>
            <w:r w:rsidR="00062BFA" w:rsidRPr="004F6DAA">
              <w:rPr>
                <w:rFonts w:asciiTheme="majorBidi" w:hAnsiTheme="majorBidi"/>
                <w:noProof/>
                <w:color w:val="000000"/>
                <w:sz w:val="20"/>
                <w:szCs w:val="20"/>
              </w:rPr>
              <w:t>spr</w:t>
            </w:r>
            <w:r w:rsidRPr="004F6DAA">
              <w:rPr>
                <w:rFonts w:asciiTheme="majorBidi" w:hAnsiTheme="majorBidi"/>
                <w:noProof/>
                <w:color w:val="000000"/>
                <w:sz w:val="20"/>
                <w:szCs w:val="20"/>
              </w:rPr>
              <w:t>awie wsparcia przy przeprowadzaniu oceny skutków</w:t>
            </w:r>
          </w:p>
        </w:tc>
        <w:tc>
          <w:tcPr>
            <w:tcW w:w="722" w:type="dxa"/>
            <w:tcBorders>
              <w:top w:val="nil"/>
              <w:left w:val="nil"/>
              <w:bottom w:val="nil"/>
              <w:right w:val="nil"/>
            </w:tcBorders>
            <w:shd w:val="clear" w:color="auto" w:fill="auto"/>
            <w:noWrap/>
            <w:vAlign w:val="bottom"/>
            <w:hideMark/>
          </w:tcPr>
          <w:p w14:paraId="0FEA672F"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0,500</w:t>
            </w:r>
          </w:p>
        </w:tc>
        <w:tc>
          <w:tcPr>
            <w:tcW w:w="722" w:type="dxa"/>
            <w:tcBorders>
              <w:top w:val="nil"/>
              <w:left w:val="nil"/>
              <w:bottom w:val="nil"/>
              <w:right w:val="nil"/>
            </w:tcBorders>
            <w:shd w:val="clear" w:color="auto" w:fill="auto"/>
            <w:noWrap/>
            <w:vAlign w:val="bottom"/>
            <w:hideMark/>
          </w:tcPr>
          <w:p w14:paraId="2E85426D"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722" w:type="dxa"/>
            <w:tcBorders>
              <w:top w:val="nil"/>
              <w:left w:val="nil"/>
              <w:bottom w:val="nil"/>
              <w:right w:val="nil"/>
            </w:tcBorders>
            <w:shd w:val="clear" w:color="auto" w:fill="auto"/>
            <w:noWrap/>
            <w:vAlign w:val="bottom"/>
            <w:hideMark/>
          </w:tcPr>
          <w:p w14:paraId="49522CF5"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722" w:type="dxa"/>
            <w:tcBorders>
              <w:top w:val="nil"/>
              <w:left w:val="nil"/>
              <w:bottom w:val="nil"/>
              <w:right w:val="nil"/>
            </w:tcBorders>
            <w:shd w:val="clear" w:color="auto" w:fill="auto"/>
            <w:noWrap/>
            <w:vAlign w:val="bottom"/>
            <w:hideMark/>
          </w:tcPr>
          <w:p w14:paraId="70939947"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722" w:type="dxa"/>
            <w:tcBorders>
              <w:top w:val="nil"/>
              <w:left w:val="nil"/>
              <w:bottom w:val="nil"/>
              <w:right w:val="nil"/>
            </w:tcBorders>
            <w:shd w:val="clear" w:color="auto" w:fill="auto"/>
            <w:noWrap/>
            <w:vAlign w:val="bottom"/>
            <w:hideMark/>
          </w:tcPr>
          <w:p w14:paraId="696C36AC"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722" w:type="dxa"/>
            <w:tcBorders>
              <w:top w:val="nil"/>
              <w:left w:val="nil"/>
              <w:bottom w:val="nil"/>
              <w:right w:val="nil"/>
            </w:tcBorders>
            <w:shd w:val="clear" w:color="auto" w:fill="auto"/>
            <w:noWrap/>
            <w:vAlign w:val="bottom"/>
            <w:hideMark/>
          </w:tcPr>
          <w:p w14:paraId="777A4451"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841" w:type="dxa"/>
            <w:tcBorders>
              <w:top w:val="nil"/>
              <w:left w:val="nil"/>
              <w:bottom w:val="nil"/>
              <w:right w:val="single" w:sz="4" w:space="0" w:color="auto"/>
            </w:tcBorders>
            <w:shd w:val="clear" w:color="auto" w:fill="auto"/>
            <w:noWrap/>
            <w:vAlign w:val="bottom"/>
            <w:hideMark/>
          </w:tcPr>
          <w:p w14:paraId="289BBD7B"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0,500</w:t>
            </w:r>
          </w:p>
        </w:tc>
      </w:tr>
      <w:tr w:rsidR="007F4C85" w:rsidRPr="004F6DAA" w14:paraId="759AEF7F" w14:textId="77777777" w:rsidTr="000A1BEE">
        <w:trPr>
          <w:trHeight w:val="300"/>
        </w:trPr>
        <w:tc>
          <w:tcPr>
            <w:tcW w:w="2974" w:type="dxa"/>
            <w:tcBorders>
              <w:top w:val="nil"/>
              <w:left w:val="single" w:sz="8" w:space="0" w:color="auto"/>
              <w:bottom w:val="nil"/>
              <w:right w:val="nil"/>
            </w:tcBorders>
            <w:shd w:val="clear" w:color="auto" w:fill="auto"/>
            <w:noWrap/>
            <w:vAlign w:val="bottom"/>
            <w:hideMark/>
          </w:tcPr>
          <w:p w14:paraId="76891B2E" w14:textId="77777777" w:rsidR="007F4C85" w:rsidRPr="004F6DAA" w:rsidRDefault="007F4C85" w:rsidP="00992B23">
            <w:pPr>
              <w:spacing w:before="0" w:after="0"/>
              <w:jc w:val="lef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Pierwsza ocena</w:t>
            </w:r>
          </w:p>
        </w:tc>
        <w:tc>
          <w:tcPr>
            <w:tcW w:w="5794" w:type="dxa"/>
            <w:tcBorders>
              <w:top w:val="nil"/>
              <w:left w:val="nil"/>
              <w:bottom w:val="nil"/>
              <w:right w:val="nil"/>
            </w:tcBorders>
            <w:shd w:val="clear" w:color="auto" w:fill="auto"/>
            <w:noWrap/>
            <w:vAlign w:val="bottom"/>
            <w:hideMark/>
          </w:tcPr>
          <w:p w14:paraId="04E4B6EA" w14:textId="77777777" w:rsidR="007F4C85" w:rsidRPr="004F6DAA" w:rsidRDefault="007F4C85" w:rsidP="00992B23">
            <w:pPr>
              <w:spacing w:before="0" w:after="0"/>
              <w:jc w:val="lef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Umowa</w:t>
            </w:r>
            <w:r w:rsidR="00062BFA" w:rsidRPr="004F6DAA">
              <w:rPr>
                <w:rFonts w:asciiTheme="majorBidi" w:hAnsiTheme="majorBidi"/>
                <w:noProof/>
                <w:color w:val="000000"/>
                <w:sz w:val="20"/>
                <w:szCs w:val="20"/>
              </w:rPr>
              <w:t xml:space="preserve"> w</w:t>
            </w:r>
            <w:r w:rsidR="00062BFA">
              <w:rPr>
                <w:rFonts w:asciiTheme="majorBidi" w:hAnsiTheme="majorBidi"/>
                <w:noProof/>
                <w:color w:val="000000"/>
                <w:sz w:val="20"/>
                <w:szCs w:val="20"/>
              </w:rPr>
              <w:t> </w:t>
            </w:r>
            <w:r w:rsidR="00062BFA" w:rsidRPr="004F6DAA">
              <w:rPr>
                <w:rFonts w:asciiTheme="majorBidi" w:hAnsiTheme="majorBidi"/>
                <w:noProof/>
                <w:color w:val="000000"/>
                <w:sz w:val="20"/>
                <w:szCs w:val="20"/>
              </w:rPr>
              <w:t>spr</w:t>
            </w:r>
            <w:r w:rsidRPr="004F6DAA">
              <w:rPr>
                <w:rFonts w:asciiTheme="majorBidi" w:hAnsiTheme="majorBidi"/>
                <w:noProof/>
                <w:color w:val="000000"/>
                <w:sz w:val="20"/>
                <w:szCs w:val="20"/>
              </w:rPr>
              <w:t>awie wsparcia przy przeprowadzaniu oceny</w:t>
            </w:r>
          </w:p>
        </w:tc>
        <w:tc>
          <w:tcPr>
            <w:tcW w:w="722" w:type="dxa"/>
            <w:tcBorders>
              <w:top w:val="nil"/>
              <w:left w:val="nil"/>
              <w:bottom w:val="nil"/>
              <w:right w:val="nil"/>
            </w:tcBorders>
            <w:shd w:val="clear" w:color="auto" w:fill="auto"/>
            <w:noWrap/>
            <w:vAlign w:val="bottom"/>
            <w:hideMark/>
          </w:tcPr>
          <w:p w14:paraId="5549E495"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722" w:type="dxa"/>
            <w:tcBorders>
              <w:top w:val="nil"/>
              <w:left w:val="nil"/>
              <w:bottom w:val="nil"/>
              <w:right w:val="nil"/>
            </w:tcBorders>
            <w:shd w:val="clear" w:color="auto" w:fill="auto"/>
            <w:noWrap/>
            <w:vAlign w:val="bottom"/>
            <w:hideMark/>
          </w:tcPr>
          <w:p w14:paraId="0ED2FD1A"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722" w:type="dxa"/>
            <w:tcBorders>
              <w:top w:val="nil"/>
              <w:left w:val="nil"/>
              <w:bottom w:val="nil"/>
              <w:right w:val="nil"/>
            </w:tcBorders>
            <w:shd w:val="clear" w:color="auto" w:fill="auto"/>
            <w:noWrap/>
            <w:vAlign w:val="bottom"/>
            <w:hideMark/>
          </w:tcPr>
          <w:p w14:paraId="4F44812C"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722" w:type="dxa"/>
            <w:tcBorders>
              <w:top w:val="nil"/>
              <w:left w:val="nil"/>
              <w:bottom w:val="nil"/>
              <w:right w:val="nil"/>
            </w:tcBorders>
            <w:shd w:val="clear" w:color="auto" w:fill="auto"/>
            <w:noWrap/>
            <w:vAlign w:val="bottom"/>
            <w:hideMark/>
          </w:tcPr>
          <w:p w14:paraId="121C4DB4"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722" w:type="dxa"/>
            <w:tcBorders>
              <w:top w:val="nil"/>
              <w:left w:val="nil"/>
              <w:bottom w:val="nil"/>
              <w:right w:val="nil"/>
            </w:tcBorders>
            <w:shd w:val="clear" w:color="auto" w:fill="auto"/>
            <w:noWrap/>
            <w:vAlign w:val="bottom"/>
            <w:hideMark/>
          </w:tcPr>
          <w:p w14:paraId="62DDA843"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0,300</w:t>
            </w:r>
          </w:p>
        </w:tc>
        <w:tc>
          <w:tcPr>
            <w:tcW w:w="722" w:type="dxa"/>
            <w:tcBorders>
              <w:top w:val="nil"/>
              <w:left w:val="nil"/>
              <w:bottom w:val="nil"/>
              <w:right w:val="nil"/>
            </w:tcBorders>
            <w:shd w:val="clear" w:color="auto" w:fill="auto"/>
            <w:noWrap/>
            <w:vAlign w:val="bottom"/>
            <w:hideMark/>
          </w:tcPr>
          <w:p w14:paraId="6C8D032E" w14:textId="77777777" w:rsidR="007F4C85" w:rsidRPr="004F6DAA" w:rsidRDefault="007F4C85" w:rsidP="00992B23">
            <w:pPr>
              <w:spacing w:before="0" w:after="0"/>
              <w:jc w:val="center"/>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w:t>
            </w:r>
          </w:p>
        </w:tc>
        <w:tc>
          <w:tcPr>
            <w:tcW w:w="841" w:type="dxa"/>
            <w:tcBorders>
              <w:top w:val="nil"/>
              <w:left w:val="nil"/>
              <w:bottom w:val="nil"/>
              <w:right w:val="single" w:sz="4" w:space="0" w:color="auto"/>
            </w:tcBorders>
            <w:shd w:val="clear" w:color="auto" w:fill="auto"/>
            <w:noWrap/>
            <w:vAlign w:val="bottom"/>
            <w:hideMark/>
          </w:tcPr>
          <w:p w14:paraId="78BFEAAD" w14:textId="77777777" w:rsidR="007F4C85" w:rsidRPr="004F6DAA" w:rsidRDefault="007F4C85" w:rsidP="00992B23">
            <w:pPr>
              <w:spacing w:before="0" w:after="0"/>
              <w:jc w:val="righ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0,300</w:t>
            </w:r>
          </w:p>
        </w:tc>
      </w:tr>
      <w:tr w:rsidR="007F4C85" w:rsidRPr="004F6DAA" w14:paraId="0C40565A" w14:textId="77777777" w:rsidTr="000A1BEE">
        <w:trPr>
          <w:trHeight w:val="315"/>
        </w:trPr>
        <w:tc>
          <w:tcPr>
            <w:tcW w:w="2974" w:type="dxa"/>
            <w:tcBorders>
              <w:top w:val="nil"/>
              <w:left w:val="single" w:sz="8" w:space="0" w:color="auto"/>
              <w:bottom w:val="single" w:sz="8" w:space="0" w:color="auto"/>
              <w:right w:val="nil"/>
            </w:tcBorders>
            <w:shd w:val="clear" w:color="000000" w:fill="F2F2F2"/>
            <w:noWrap/>
            <w:vAlign w:val="bottom"/>
            <w:hideMark/>
          </w:tcPr>
          <w:p w14:paraId="53E2D6B1" w14:textId="77777777" w:rsidR="007F4C85" w:rsidRPr="004F6DAA" w:rsidRDefault="007F4C85" w:rsidP="00992B23">
            <w:pPr>
              <w:spacing w:before="0" w:after="0"/>
              <w:jc w:val="lef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 xml:space="preserve"> </w:t>
            </w:r>
          </w:p>
        </w:tc>
        <w:tc>
          <w:tcPr>
            <w:tcW w:w="5794" w:type="dxa"/>
            <w:tcBorders>
              <w:top w:val="nil"/>
              <w:left w:val="nil"/>
              <w:bottom w:val="single" w:sz="8" w:space="0" w:color="auto"/>
              <w:right w:val="nil"/>
            </w:tcBorders>
            <w:shd w:val="clear" w:color="000000" w:fill="F2F2F2"/>
            <w:noWrap/>
            <w:vAlign w:val="bottom"/>
            <w:hideMark/>
          </w:tcPr>
          <w:p w14:paraId="4053325F" w14:textId="77777777" w:rsidR="007F4C85" w:rsidRPr="004F6DAA" w:rsidRDefault="007F4C85" w:rsidP="00992B23">
            <w:pPr>
              <w:spacing w:before="0" w:after="0"/>
              <w:jc w:val="left"/>
              <w:rPr>
                <w:rFonts w:asciiTheme="majorBidi" w:eastAsia="Times New Roman" w:hAnsiTheme="majorBidi" w:cstheme="majorBidi"/>
                <w:noProof/>
                <w:color w:val="000000"/>
                <w:sz w:val="20"/>
                <w:szCs w:val="20"/>
              </w:rPr>
            </w:pPr>
            <w:r w:rsidRPr="004F6DAA">
              <w:rPr>
                <w:rFonts w:asciiTheme="majorBidi" w:hAnsiTheme="majorBidi"/>
                <w:noProof/>
                <w:color w:val="000000"/>
                <w:sz w:val="20"/>
                <w:szCs w:val="20"/>
              </w:rPr>
              <w:t xml:space="preserve"> </w:t>
            </w:r>
          </w:p>
        </w:tc>
        <w:tc>
          <w:tcPr>
            <w:tcW w:w="722" w:type="dxa"/>
            <w:tcBorders>
              <w:top w:val="nil"/>
              <w:left w:val="nil"/>
              <w:bottom w:val="single" w:sz="8" w:space="0" w:color="auto"/>
              <w:right w:val="nil"/>
            </w:tcBorders>
            <w:shd w:val="clear" w:color="auto" w:fill="auto"/>
            <w:noWrap/>
            <w:vAlign w:val="bottom"/>
            <w:hideMark/>
          </w:tcPr>
          <w:p w14:paraId="52C039D5" w14:textId="77777777" w:rsidR="007F4C85" w:rsidRPr="004F6DAA" w:rsidRDefault="007F4C85" w:rsidP="00992B23">
            <w:pPr>
              <w:spacing w:before="0" w:after="0"/>
              <w:jc w:val="righ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0,500</w:t>
            </w:r>
          </w:p>
        </w:tc>
        <w:tc>
          <w:tcPr>
            <w:tcW w:w="722" w:type="dxa"/>
            <w:tcBorders>
              <w:top w:val="nil"/>
              <w:left w:val="nil"/>
              <w:bottom w:val="single" w:sz="8" w:space="0" w:color="auto"/>
              <w:right w:val="nil"/>
            </w:tcBorders>
            <w:shd w:val="clear" w:color="auto" w:fill="auto"/>
            <w:noWrap/>
            <w:vAlign w:val="bottom"/>
            <w:hideMark/>
          </w:tcPr>
          <w:p w14:paraId="3377799F" w14:textId="77777777" w:rsidR="007F4C85" w:rsidRPr="004F6DAA" w:rsidRDefault="007F4C85" w:rsidP="00992B23">
            <w:pPr>
              <w:spacing w:before="0" w:after="0"/>
              <w:jc w:val="righ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1,939</w:t>
            </w:r>
          </w:p>
        </w:tc>
        <w:tc>
          <w:tcPr>
            <w:tcW w:w="722" w:type="dxa"/>
            <w:tcBorders>
              <w:top w:val="nil"/>
              <w:left w:val="nil"/>
              <w:bottom w:val="single" w:sz="8" w:space="0" w:color="auto"/>
              <w:right w:val="nil"/>
            </w:tcBorders>
            <w:shd w:val="clear" w:color="auto" w:fill="auto"/>
            <w:noWrap/>
            <w:vAlign w:val="bottom"/>
            <w:hideMark/>
          </w:tcPr>
          <w:p w14:paraId="0981890E" w14:textId="77777777" w:rsidR="007F4C85" w:rsidRPr="004F6DAA" w:rsidRDefault="007F4C85" w:rsidP="00992B23">
            <w:pPr>
              <w:spacing w:before="0" w:after="0"/>
              <w:jc w:val="righ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1,980</w:t>
            </w:r>
          </w:p>
        </w:tc>
        <w:tc>
          <w:tcPr>
            <w:tcW w:w="722" w:type="dxa"/>
            <w:tcBorders>
              <w:top w:val="nil"/>
              <w:left w:val="nil"/>
              <w:bottom w:val="single" w:sz="8" w:space="0" w:color="auto"/>
              <w:right w:val="nil"/>
            </w:tcBorders>
            <w:shd w:val="clear" w:color="auto" w:fill="auto"/>
            <w:noWrap/>
            <w:vAlign w:val="bottom"/>
            <w:hideMark/>
          </w:tcPr>
          <w:p w14:paraId="49738BB8" w14:textId="77777777" w:rsidR="007F4C85" w:rsidRPr="004F6DAA" w:rsidRDefault="007F4C85" w:rsidP="00992B23">
            <w:pPr>
              <w:spacing w:before="0" w:after="0"/>
              <w:jc w:val="righ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1,860</w:t>
            </w:r>
          </w:p>
        </w:tc>
        <w:tc>
          <w:tcPr>
            <w:tcW w:w="722" w:type="dxa"/>
            <w:tcBorders>
              <w:top w:val="nil"/>
              <w:left w:val="nil"/>
              <w:bottom w:val="single" w:sz="8" w:space="0" w:color="auto"/>
              <w:right w:val="nil"/>
            </w:tcBorders>
            <w:shd w:val="clear" w:color="auto" w:fill="auto"/>
            <w:noWrap/>
            <w:vAlign w:val="bottom"/>
            <w:hideMark/>
          </w:tcPr>
          <w:p w14:paraId="70C3DD12" w14:textId="77777777" w:rsidR="007F4C85" w:rsidRPr="004F6DAA" w:rsidRDefault="007F4C85" w:rsidP="00992B23">
            <w:pPr>
              <w:spacing w:before="0" w:after="0"/>
              <w:jc w:val="righ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2,015</w:t>
            </w:r>
          </w:p>
        </w:tc>
        <w:tc>
          <w:tcPr>
            <w:tcW w:w="722" w:type="dxa"/>
            <w:tcBorders>
              <w:top w:val="nil"/>
              <w:left w:val="nil"/>
              <w:bottom w:val="single" w:sz="8" w:space="0" w:color="auto"/>
              <w:right w:val="nil"/>
            </w:tcBorders>
            <w:shd w:val="clear" w:color="auto" w:fill="auto"/>
            <w:noWrap/>
            <w:vAlign w:val="bottom"/>
            <w:hideMark/>
          </w:tcPr>
          <w:p w14:paraId="2504E377" w14:textId="77777777" w:rsidR="007F4C85" w:rsidRPr="004F6DAA" w:rsidRDefault="007F4C85" w:rsidP="00992B23">
            <w:pPr>
              <w:spacing w:before="0" w:after="0"/>
              <w:jc w:val="righ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1,575</w:t>
            </w:r>
          </w:p>
        </w:tc>
        <w:tc>
          <w:tcPr>
            <w:tcW w:w="841" w:type="dxa"/>
            <w:tcBorders>
              <w:top w:val="nil"/>
              <w:left w:val="nil"/>
              <w:bottom w:val="single" w:sz="8" w:space="0" w:color="auto"/>
              <w:right w:val="single" w:sz="4" w:space="0" w:color="auto"/>
            </w:tcBorders>
            <w:shd w:val="clear" w:color="auto" w:fill="auto"/>
            <w:noWrap/>
            <w:vAlign w:val="bottom"/>
            <w:hideMark/>
          </w:tcPr>
          <w:p w14:paraId="479723AC" w14:textId="77777777" w:rsidR="007F4C85" w:rsidRPr="004F6DAA" w:rsidRDefault="007F4C85" w:rsidP="00992B23">
            <w:pPr>
              <w:spacing w:before="0" w:after="0"/>
              <w:jc w:val="right"/>
              <w:rPr>
                <w:rFonts w:asciiTheme="majorBidi" w:eastAsia="Times New Roman" w:hAnsiTheme="majorBidi" w:cstheme="majorBidi"/>
                <w:b/>
                <w:bCs/>
                <w:noProof/>
                <w:color w:val="000000"/>
                <w:sz w:val="20"/>
                <w:szCs w:val="20"/>
              </w:rPr>
            </w:pPr>
            <w:r w:rsidRPr="004F6DAA">
              <w:rPr>
                <w:rFonts w:asciiTheme="majorBidi" w:hAnsiTheme="majorBidi"/>
                <w:b/>
                <w:bCs/>
                <w:noProof/>
                <w:color w:val="000000"/>
                <w:sz w:val="20"/>
                <w:szCs w:val="20"/>
              </w:rPr>
              <w:t>9,869</w:t>
            </w:r>
          </w:p>
        </w:tc>
      </w:tr>
    </w:tbl>
    <w:p w14:paraId="1B3D7E82" w14:textId="77777777" w:rsidR="007F4C85" w:rsidRPr="004F6DAA" w:rsidRDefault="007F4C85" w:rsidP="007F4C85">
      <w:pPr>
        <w:jc w:val="left"/>
        <w:rPr>
          <w:noProof/>
          <w:color w:val="0000FF"/>
          <w:sz w:val="22"/>
        </w:rPr>
      </w:pPr>
    </w:p>
    <w:p w14:paraId="212B0377" w14:textId="77777777" w:rsidR="004542B3" w:rsidRPr="004F6DAA" w:rsidRDefault="004542B3">
      <w:pPr>
        <w:spacing w:before="0" w:after="200" w:line="276" w:lineRule="auto"/>
        <w:jc w:val="left"/>
        <w:rPr>
          <w:noProof/>
        </w:rPr>
      </w:pPr>
      <w:r w:rsidRPr="004F6DAA">
        <w:rPr>
          <w:noProof/>
        </w:rPr>
        <w:br w:type="page"/>
      </w:r>
    </w:p>
    <w:p w14:paraId="0A30B597" w14:textId="77777777" w:rsidR="007F4C85" w:rsidRPr="004F6DAA" w:rsidRDefault="007F4C85" w:rsidP="007F4C85">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F4C85" w:rsidRPr="004F6DAA" w14:paraId="5ADE2C36" w14:textId="77777777" w:rsidTr="00992B23">
        <w:trPr>
          <w:jc w:val="center"/>
        </w:trPr>
        <w:tc>
          <w:tcPr>
            <w:tcW w:w="4744" w:type="dxa"/>
            <w:shd w:val="thinDiagStripe" w:color="C0C0C0" w:fill="auto"/>
            <w:vAlign w:val="center"/>
          </w:tcPr>
          <w:p w14:paraId="09B30EAB" w14:textId="77777777" w:rsidR="007F4C85" w:rsidRPr="004F6DAA" w:rsidRDefault="007F4C85" w:rsidP="000557B7">
            <w:pPr>
              <w:spacing w:before="60" w:after="60"/>
              <w:jc w:val="center"/>
              <w:rPr>
                <w:b/>
                <w:noProof/>
              </w:rPr>
            </w:pPr>
            <w:r w:rsidRPr="004F6DAA">
              <w:rPr>
                <w:noProof/>
              </w:rPr>
              <w:br w:type="page"/>
            </w:r>
            <w:r w:rsidRPr="004F6DAA">
              <w:rPr>
                <w:b/>
                <w:noProof/>
                <w:sz w:val="22"/>
              </w:rPr>
              <w:t xml:space="preserve">Dział wieloletnich ram finansowych </w:t>
            </w:r>
          </w:p>
        </w:tc>
        <w:tc>
          <w:tcPr>
            <w:tcW w:w="1080" w:type="dxa"/>
            <w:shd w:val="thinDiagStripe" w:color="C0C0C0" w:fill="auto"/>
            <w:vAlign w:val="center"/>
          </w:tcPr>
          <w:p w14:paraId="35465B10" w14:textId="77777777" w:rsidR="007F4C85" w:rsidRPr="004F6DAA" w:rsidRDefault="007F4C85" w:rsidP="00992B23">
            <w:pPr>
              <w:spacing w:before="60" w:after="60"/>
              <w:jc w:val="center"/>
              <w:rPr>
                <w:noProof/>
              </w:rPr>
            </w:pPr>
            <w:r w:rsidRPr="004F6DAA">
              <w:rPr>
                <w:b/>
                <w:noProof/>
                <w:sz w:val="22"/>
              </w:rPr>
              <w:t>7</w:t>
            </w:r>
          </w:p>
        </w:tc>
        <w:tc>
          <w:tcPr>
            <w:tcW w:w="7817" w:type="dxa"/>
            <w:vAlign w:val="center"/>
          </w:tcPr>
          <w:p w14:paraId="67203D57" w14:textId="77777777" w:rsidR="007F4C85" w:rsidRPr="004F6DAA" w:rsidRDefault="007F4C85" w:rsidP="00992B23">
            <w:pPr>
              <w:spacing w:before="60" w:after="60"/>
              <w:rPr>
                <w:noProof/>
              </w:rPr>
            </w:pPr>
            <w:r w:rsidRPr="004F6DAA">
              <w:rPr>
                <w:noProof/>
                <w:sz w:val="22"/>
              </w:rPr>
              <w:t>„Wydatki administracyjne”</w:t>
            </w:r>
          </w:p>
        </w:tc>
      </w:tr>
    </w:tbl>
    <w:p w14:paraId="18530C41" w14:textId="77777777" w:rsidR="007F4C85" w:rsidRPr="004F6DAA" w:rsidRDefault="007F4C85" w:rsidP="007F4C85">
      <w:pPr>
        <w:jc w:val="left"/>
        <w:rPr>
          <w:noProof/>
          <w:sz w:val="20"/>
        </w:rPr>
      </w:pPr>
      <w:r w:rsidRPr="004F6DAA">
        <w:rPr>
          <w:noProof/>
        </w:rPr>
        <w:t>Niniejszą część uzupełnia się przy użyciu „danych budżetowych</w:t>
      </w:r>
      <w:r w:rsidR="00062BFA" w:rsidRPr="004F6DAA">
        <w:rPr>
          <w:noProof/>
        </w:rPr>
        <w:t xml:space="preserve"> o</w:t>
      </w:r>
      <w:r w:rsidR="00062BFA">
        <w:rPr>
          <w:noProof/>
        </w:rPr>
        <w:t> </w:t>
      </w:r>
      <w:r w:rsidR="00062BFA" w:rsidRPr="004F6DAA">
        <w:rPr>
          <w:noProof/>
        </w:rPr>
        <w:t>cha</w:t>
      </w:r>
      <w:r w:rsidRPr="004F6DAA">
        <w:rPr>
          <w:noProof/>
        </w:rPr>
        <w:t xml:space="preserve">rakterze administracyjnym”, które należy najpierw wprowadzić do </w:t>
      </w:r>
      <w:hyperlink r:id="rId20" w:history="1">
        <w:r w:rsidRPr="004F6DAA">
          <w:rPr>
            <w:rStyle w:val="Hipercze"/>
            <w:noProof/>
          </w:rPr>
          <w:t>załącznika do oceny skutków finansowych regulacji</w:t>
        </w:r>
      </w:hyperlink>
      <w:r w:rsidRPr="004F6DAA">
        <w:rPr>
          <w:noProof/>
        </w:rPr>
        <w:t xml:space="preserve"> (załącznika V do zasad wewnętrznych), przesyłanego do DECIDE</w:t>
      </w:r>
      <w:r w:rsidR="00062BFA" w:rsidRPr="004F6DAA">
        <w:rPr>
          <w:noProof/>
        </w:rPr>
        <w:t xml:space="preserve"> w</w:t>
      </w:r>
      <w:r w:rsidR="00062BFA">
        <w:rPr>
          <w:noProof/>
        </w:rPr>
        <w:t> </w:t>
      </w:r>
      <w:r w:rsidR="00062BFA" w:rsidRPr="004F6DAA">
        <w:rPr>
          <w:noProof/>
        </w:rPr>
        <w:t>cel</w:t>
      </w:r>
      <w:r w:rsidRPr="004F6DAA">
        <w:rPr>
          <w:noProof/>
        </w:rPr>
        <w:t>u konsultacji między służbami.</w:t>
      </w:r>
    </w:p>
    <w:p w14:paraId="4509DE06" w14:textId="77777777" w:rsidR="007F4C85" w:rsidRPr="004F6DAA" w:rsidRDefault="007F4C85" w:rsidP="007F4C85">
      <w:pPr>
        <w:jc w:val="right"/>
        <w:rPr>
          <w:noProof/>
          <w:sz w:val="20"/>
        </w:rPr>
      </w:pPr>
      <w:r w:rsidRPr="004F6DAA">
        <w:rPr>
          <w:noProof/>
          <w:sz w:val="20"/>
        </w:rPr>
        <w:t>w mln EUR (do trzech miejsc po przecinku)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534"/>
        <w:gridCol w:w="868"/>
        <w:gridCol w:w="868"/>
        <w:gridCol w:w="868"/>
        <w:gridCol w:w="868"/>
        <w:gridCol w:w="868"/>
        <w:gridCol w:w="868"/>
        <w:gridCol w:w="1777"/>
      </w:tblGrid>
      <w:tr w:rsidR="007F4C85" w:rsidRPr="004F6DAA" w14:paraId="3499D7B5" w14:textId="77777777" w:rsidTr="00992B23">
        <w:tc>
          <w:tcPr>
            <w:tcW w:w="3960" w:type="dxa"/>
            <w:tcBorders>
              <w:top w:val="nil"/>
              <w:left w:val="nil"/>
              <w:right w:val="nil"/>
            </w:tcBorders>
            <w:vAlign w:val="center"/>
          </w:tcPr>
          <w:p w14:paraId="26975FCD" w14:textId="77777777" w:rsidR="007F4C85" w:rsidRPr="004F6DAA" w:rsidRDefault="007F4C85" w:rsidP="00992B23">
            <w:pPr>
              <w:jc w:val="center"/>
              <w:rPr>
                <w:noProof/>
              </w:rPr>
            </w:pPr>
          </w:p>
        </w:tc>
        <w:tc>
          <w:tcPr>
            <w:tcW w:w="1560" w:type="dxa"/>
            <w:gridSpan w:val="2"/>
            <w:tcBorders>
              <w:top w:val="nil"/>
              <w:left w:val="nil"/>
              <w:right w:val="nil"/>
            </w:tcBorders>
          </w:tcPr>
          <w:p w14:paraId="18430A3A" w14:textId="77777777" w:rsidR="007F4C85" w:rsidRPr="004F6DAA" w:rsidRDefault="007F4C85" w:rsidP="00992B23">
            <w:pPr>
              <w:rPr>
                <w:noProof/>
                <w:sz w:val="20"/>
              </w:rPr>
            </w:pPr>
          </w:p>
        </w:tc>
        <w:tc>
          <w:tcPr>
            <w:tcW w:w="534" w:type="dxa"/>
            <w:tcBorders>
              <w:top w:val="nil"/>
              <w:left w:val="nil"/>
            </w:tcBorders>
          </w:tcPr>
          <w:p w14:paraId="5EEC02DF" w14:textId="77777777" w:rsidR="007F4C85" w:rsidRPr="004F6DAA" w:rsidRDefault="007F4C85" w:rsidP="00992B23">
            <w:pPr>
              <w:jc w:val="center"/>
              <w:rPr>
                <w:noProof/>
                <w:sz w:val="20"/>
              </w:rPr>
            </w:pPr>
          </w:p>
        </w:tc>
        <w:tc>
          <w:tcPr>
            <w:tcW w:w="868" w:type="dxa"/>
            <w:vAlign w:val="center"/>
          </w:tcPr>
          <w:p w14:paraId="1F3720DF" w14:textId="77777777" w:rsidR="000557B7" w:rsidRPr="004F6DAA" w:rsidRDefault="007F4C85" w:rsidP="000557B7">
            <w:pPr>
              <w:contextualSpacing/>
              <w:jc w:val="center"/>
              <w:rPr>
                <w:noProof/>
                <w:sz w:val="20"/>
              </w:rPr>
            </w:pPr>
            <w:r w:rsidRPr="004F6DAA">
              <w:rPr>
                <w:noProof/>
                <w:sz w:val="20"/>
              </w:rPr>
              <w:t>Rok</w:t>
            </w:r>
          </w:p>
          <w:p w14:paraId="20F4C828" w14:textId="77777777" w:rsidR="007F4C85" w:rsidRPr="004F6DAA" w:rsidRDefault="007F4C85" w:rsidP="000557B7">
            <w:pPr>
              <w:contextualSpacing/>
              <w:jc w:val="center"/>
              <w:rPr>
                <w:noProof/>
                <w:sz w:val="20"/>
              </w:rPr>
            </w:pPr>
            <w:r w:rsidRPr="004F6DAA">
              <w:rPr>
                <w:b/>
                <w:noProof/>
                <w:sz w:val="20"/>
              </w:rPr>
              <w:t>2022</w:t>
            </w:r>
          </w:p>
        </w:tc>
        <w:tc>
          <w:tcPr>
            <w:tcW w:w="868" w:type="dxa"/>
            <w:vAlign w:val="center"/>
          </w:tcPr>
          <w:p w14:paraId="69AF6266" w14:textId="77777777" w:rsidR="000557B7" w:rsidRPr="004F6DAA" w:rsidRDefault="007F4C85" w:rsidP="000557B7">
            <w:pPr>
              <w:contextualSpacing/>
              <w:jc w:val="center"/>
              <w:rPr>
                <w:noProof/>
                <w:sz w:val="20"/>
              </w:rPr>
            </w:pPr>
            <w:r w:rsidRPr="004F6DAA">
              <w:rPr>
                <w:noProof/>
                <w:sz w:val="20"/>
              </w:rPr>
              <w:t>Rok</w:t>
            </w:r>
          </w:p>
          <w:p w14:paraId="085EC1EB" w14:textId="77777777" w:rsidR="007F4C85" w:rsidRPr="004F6DAA" w:rsidRDefault="007F4C85" w:rsidP="000557B7">
            <w:pPr>
              <w:contextualSpacing/>
              <w:jc w:val="center"/>
              <w:rPr>
                <w:noProof/>
                <w:sz w:val="20"/>
              </w:rPr>
            </w:pPr>
            <w:r w:rsidRPr="004F6DAA">
              <w:rPr>
                <w:b/>
                <w:noProof/>
                <w:sz w:val="20"/>
              </w:rPr>
              <w:t>2023</w:t>
            </w:r>
          </w:p>
        </w:tc>
        <w:tc>
          <w:tcPr>
            <w:tcW w:w="868" w:type="dxa"/>
            <w:vAlign w:val="center"/>
          </w:tcPr>
          <w:p w14:paraId="36420633" w14:textId="77777777" w:rsidR="000557B7" w:rsidRPr="004F6DAA" w:rsidRDefault="007F4C85" w:rsidP="000557B7">
            <w:pPr>
              <w:contextualSpacing/>
              <w:jc w:val="center"/>
              <w:rPr>
                <w:noProof/>
                <w:sz w:val="20"/>
              </w:rPr>
            </w:pPr>
            <w:r w:rsidRPr="004F6DAA">
              <w:rPr>
                <w:noProof/>
                <w:sz w:val="20"/>
              </w:rPr>
              <w:t>Rok</w:t>
            </w:r>
          </w:p>
          <w:p w14:paraId="1DF4A45A" w14:textId="77777777" w:rsidR="007F4C85" w:rsidRPr="004F6DAA" w:rsidRDefault="007F4C85" w:rsidP="000557B7">
            <w:pPr>
              <w:contextualSpacing/>
              <w:jc w:val="center"/>
              <w:rPr>
                <w:noProof/>
                <w:sz w:val="20"/>
              </w:rPr>
            </w:pPr>
            <w:r w:rsidRPr="004F6DAA">
              <w:rPr>
                <w:b/>
                <w:noProof/>
                <w:sz w:val="20"/>
              </w:rPr>
              <w:t>2024</w:t>
            </w:r>
          </w:p>
        </w:tc>
        <w:tc>
          <w:tcPr>
            <w:tcW w:w="868" w:type="dxa"/>
            <w:vAlign w:val="center"/>
          </w:tcPr>
          <w:p w14:paraId="4D51D1A8" w14:textId="77777777" w:rsidR="000557B7" w:rsidRPr="004F6DAA" w:rsidRDefault="007F4C85" w:rsidP="000557B7">
            <w:pPr>
              <w:contextualSpacing/>
              <w:jc w:val="center"/>
              <w:rPr>
                <w:noProof/>
                <w:sz w:val="20"/>
              </w:rPr>
            </w:pPr>
            <w:r w:rsidRPr="004F6DAA">
              <w:rPr>
                <w:noProof/>
                <w:sz w:val="20"/>
              </w:rPr>
              <w:t>Rok</w:t>
            </w:r>
          </w:p>
          <w:p w14:paraId="56E50660" w14:textId="77777777" w:rsidR="007F4C85" w:rsidRPr="004F6DAA" w:rsidRDefault="007F4C85" w:rsidP="000557B7">
            <w:pPr>
              <w:contextualSpacing/>
              <w:jc w:val="center"/>
              <w:rPr>
                <w:noProof/>
                <w:sz w:val="20"/>
              </w:rPr>
            </w:pPr>
            <w:r w:rsidRPr="004F6DAA">
              <w:rPr>
                <w:b/>
                <w:noProof/>
                <w:sz w:val="20"/>
              </w:rPr>
              <w:t>2025</w:t>
            </w:r>
          </w:p>
        </w:tc>
        <w:tc>
          <w:tcPr>
            <w:tcW w:w="868" w:type="dxa"/>
            <w:vAlign w:val="center"/>
          </w:tcPr>
          <w:p w14:paraId="2B3283BE" w14:textId="77777777" w:rsidR="000557B7" w:rsidRPr="004F6DAA" w:rsidRDefault="007F4C85" w:rsidP="000557B7">
            <w:pPr>
              <w:contextualSpacing/>
              <w:jc w:val="center"/>
              <w:rPr>
                <w:noProof/>
                <w:sz w:val="20"/>
              </w:rPr>
            </w:pPr>
            <w:r w:rsidRPr="004F6DAA">
              <w:rPr>
                <w:noProof/>
                <w:sz w:val="20"/>
              </w:rPr>
              <w:t>Rok</w:t>
            </w:r>
          </w:p>
          <w:p w14:paraId="4BF4D4F5" w14:textId="77777777" w:rsidR="007F4C85" w:rsidRPr="004F6DAA" w:rsidRDefault="007F4C85" w:rsidP="000557B7">
            <w:pPr>
              <w:contextualSpacing/>
              <w:jc w:val="center"/>
              <w:rPr>
                <w:noProof/>
                <w:sz w:val="20"/>
              </w:rPr>
            </w:pPr>
            <w:r w:rsidRPr="004F6DAA">
              <w:rPr>
                <w:b/>
                <w:noProof/>
                <w:sz w:val="20"/>
              </w:rPr>
              <w:t>2026</w:t>
            </w:r>
          </w:p>
        </w:tc>
        <w:tc>
          <w:tcPr>
            <w:tcW w:w="868" w:type="dxa"/>
            <w:vAlign w:val="center"/>
          </w:tcPr>
          <w:p w14:paraId="0A9A990B" w14:textId="77777777" w:rsidR="000557B7" w:rsidRPr="004F6DAA" w:rsidRDefault="007F4C85" w:rsidP="000557B7">
            <w:pPr>
              <w:contextualSpacing/>
              <w:jc w:val="center"/>
              <w:rPr>
                <w:noProof/>
                <w:sz w:val="20"/>
              </w:rPr>
            </w:pPr>
            <w:r w:rsidRPr="004F6DAA">
              <w:rPr>
                <w:noProof/>
                <w:sz w:val="20"/>
              </w:rPr>
              <w:t>Rok</w:t>
            </w:r>
          </w:p>
          <w:p w14:paraId="67EDECE5" w14:textId="77777777" w:rsidR="007F4C85" w:rsidRPr="004F6DAA" w:rsidRDefault="00134CEC" w:rsidP="00263E8C">
            <w:pPr>
              <w:contextualSpacing/>
              <w:jc w:val="center"/>
              <w:rPr>
                <w:b/>
                <w:noProof/>
                <w:sz w:val="18"/>
              </w:rPr>
            </w:pPr>
            <w:r w:rsidRPr="004F6DAA">
              <w:rPr>
                <w:b/>
                <w:noProof/>
                <w:sz w:val="20"/>
              </w:rPr>
              <w:t>2027</w:t>
            </w:r>
          </w:p>
        </w:tc>
        <w:tc>
          <w:tcPr>
            <w:tcW w:w="1777" w:type="dxa"/>
            <w:vAlign w:val="center"/>
          </w:tcPr>
          <w:p w14:paraId="2DA60C59" w14:textId="77777777" w:rsidR="007F4C85" w:rsidRPr="004F6DAA" w:rsidRDefault="007F4C85" w:rsidP="00992B23">
            <w:pPr>
              <w:contextualSpacing/>
              <w:jc w:val="center"/>
              <w:rPr>
                <w:b/>
                <w:noProof/>
                <w:sz w:val="20"/>
              </w:rPr>
            </w:pPr>
            <w:r w:rsidRPr="004F6DAA">
              <w:rPr>
                <w:b/>
                <w:noProof/>
                <w:sz w:val="20"/>
              </w:rPr>
              <w:t>OGÓŁEM</w:t>
            </w:r>
          </w:p>
          <w:p w14:paraId="56346F2C" w14:textId="77777777" w:rsidR="007F4C85" w:rsidRPr="004F6DAA" w:rsidRDefault="007F4C85" w:rsidP="00992B23">
            <w:pPr>
              <w:contextualSpacing/>
              <w:jc w:val="center"/>
              <w:rPr>
                <w:b/>
                <w:noProof/>
                <w:sz w:val="20"/>
              </w:rPr>
            </w:pPr>
            <w:r w:rsidRPr="004F6DAA">
              <w:rPr>
                <w:b/>
                <w:noProof/>
                <w:sz w:val="20"/>
              </w:rPr>
              <w:t>(2022–2027)</w:t>
            </w:r>
          </w:p>
        </w:tc>
      </w:tr>
      <w:tr w:rsidR="007F4C85" w:rsidRPr="004F6DAA" w14:paraId="5BFADED1" w14:textId="77777777" w:rsidTr="00992B23">
        <w:trPr>
          <w:gridAfter w:val="9"/>
          <w:wAfter w:w="8211" w:type="dxa"/>
        </w:trPr>
        <w:tc>
          <w:tcPr>
            <w:tcW w:w="3960" w:type="dxa"/>
            <w:vAlign w:val="center"/>
          </w:tcPr>
          <w:p w14:paraId="0CF503BD" w14:textId="77777777" w:rsidR="007F4C85" w:rsidRPr="004F6DAA" w:rsidRDefault="007F4C85" w:rsidP="00992B23">
            <w:pPr>
              <w:spacing w:before="60" w:after="60"/>
              <w:jc w:val="center"/>
              <w:rPr>
                <w:noProof/>
              </w:rPr>
            </w:pPr>
            <w:r w:rsidRPr="004F6DAA">
              <w:rPr>
                <w:noProof/>
                <w:sz w:val="22"/>
              </w:rPr>
              <w:t xml:space="preserve">Dyrekcja Generalna: </w:t>
            </w:r>
            <w:r w:rsidRPr="004F6DAA">
              <w:rPr>
                <w:b/>
                <w:noProof/>
                <w:sz w:val="22"/>
              </w:rPr>
              <w:t>ENV</w:t>
            </w:r>
          </w:p>
        </w:tc>
        <w:tc>
          <w:tcPr>
            <w:tcW w:w="868" w:type="dxa"/>
          </w:tcPr>
          <w:p w14:paraId="2E9D19FE" w14:textId="77777777" w:rsidR="007F4C85" w:rsidRPr="004F6DAA" w:rsidRDefault="007F4C85" w:rsidP="00992B23">
            <w:pPr>
              <w:spacing w:before="60" w:after="60"/>
              <w:jc w:val="center"/>
              <w:rPr>
                <w:noProof/>
                <w:sz w:val="22"/>
              </w:rPr>
            </w:pPr>
          </w:p>
        </w:tc>
      </w:tr>
      <w:tr w:rsidR="007F4C85" w:rsidRPr="004F6DAA" w14:paraId="0117DCF0" w14:textId="77777777" w:rsidTr="00992B23">
        <w:trPr>
          <w:trHeight w:val="313"/>
        </w:trPr>
        <w:tc>
          <w:tcPr>
            <w:tcW w:w="6054" w:type="dxa"/>
            <w:gridSpan w:val="4"/>
            <w:vAlign w:val="center"/>
          </w:tcPr>
          <w:p w14:paraId="4242E4F2" w14:textId="77777777" w:rsidR="007F4C85" w:rsidRPr="004F6DAA" w:rsidRDefault="007F4C85" w:rsidP="00992B23">
            <w:pPr>
              <w:spacing w:before="20" w:after="20"/>
              <w:rPr>
                <w:noProof/>
              </w:rPr>
            </w:pPr>
            <w:r w:rsidRPr="004F6DAA">
              <w:rPr>
                <w:noProof/>
                <w:sz w:val="22"/>
              </w:rPr>
              <w:sym w:font="Wingdings" w:char="F09F"/>
            </w:r>
            <w:r w:rsidRPr="004F6DAA">
              <w:rPr>
                <w:noProof/>
              </w:rPr>
              <w:t xml:space="preserve"> Zasoby ludzkie</w:t>
            </w:r>
            <w:r w:rsidRPr="004F6DAA">
              <w:rPr>
                <w:noProof/>
                <w:sz w:val="22"/>
              </w:rPr>
              <w:t xml:space="preserve"> </w:t>
            </w:r>
          </w:p>
        </w:tc>
        <w:tc>
          <w:tcPr>
            <w:tcW w:w="868" w:type="dxa"/>
            <w:vAlign w:val="center"/>
          </w:tcPr>
          <w:p w14:paraId="1B55FCC5" w14:textId="77777777" w:rsidR="007F4C85" w:rsidRPr="004F6DAA" w:rsidRDefault="007F4C85" w:rsidP="00992B23">
            <w:pPr>
              <w:spacing w:before="20" w:after="20"/>
              <w:jc w:val="center"/>
              <w:rPr>
                <w:noProof/>
                <w:sz w:val="20"/>
              </w:rPr>
            </w:pPr>
            <w:r w:rsidRPr="004F6DAA">
              <w:rPr>
                <w:noProof/>
                <w:sz w:val="20"/>
              </w:rPr>
              <w:t>-</w:t>
            </w:r>
          </w:p>
        </w:tc>
        <w:tc>
          <w:tcPr>
            <w:tcW w:w="868" w:type="dxa"/>
            <w:vAlign w:val="center"/>
          </w:tcPr>
          <w:p w14:paraId="4CCED7C6" w14:textId="77777777" w:rsidR="007F4C85" w:rsidRPr="004F6DAA" w:rsidRDefault="007F4C85" w:rsidP="00992B23">
            <w:pPr>
              <w:spacing w:before="20" w:after="20"/>
              <w:jc w:val="right"/>
              <w:rPr>
                <w:noProof/>
                <w:sz w:val="20"/>
              </w:rPr>
            </w:pPr>
            <w:r w:rsidRPr="004F6DAA">
              <w:rPr>
                <w:noProof/>
                <w:sz w:val="20"/>
              </w:rPr>
              <w:t>0,760</w:t>
            </w:r>
          </w:p>
        </w:tc>
        <w:tc>
          <w:tcPr>
            <w:tcW w:w="868" w:type="dxa"/>
            <w:vAlign w:val="center"/>
          </w:tcPr>
          <w:p w14:paraId="3638A856" w14:textId="77777777" w:rsidR="007F4C85" w:rsidRPr="004F6DAA" w:rsidRDefault="007F4C85" w:rsidP="00992B23">
            <w:pPr>
              <w:spacing w:before="20" w:after="20"/>
              <w:jc w:val="right"/>
              <w:rPr>
                <w:noProof/>
                <w:sz w:val="20"/>
              </w:rPr>
            </w:pPr>
            <w:r w:rsidRPr="004F6DAA">
              <w:rPr>
                <w:noProof/>
                <w:sz w:val="20"/>
              </w:rPr>
              <w:t>0,760</w:t>
            </w:r>
          </w:p>
        </w:tc>
        <w:tc>
          <w:tcPr>
            <w:tcW w:w="868" w:type="dxa"/>
            <w:vAlign w:val="center"/>
          </w:tcPr>
          <w:p w14:paraId="369ECA2D" w14:textId="77777777" w:rsidR="007F4C85" w:rsidRPr="004F6DAA" w:rsidRDefault="007F4C85" w:rsidP="00992B23">
            <w:pPr>
              <w:spacing w:before="20" w:after="20"/>
              <w:jc w:val="right"/>
              <w:rPr>
                <w:noProof/>
                <w:sz w:val="20"/>
              </w:rPr>
            </w:pPr>
            <w:r w:rsidRPr="004F6DAA">
              <w:rPr>
                <w:noProof/>
                <w:sz w:val="20"/>
              </w:rPr>
              <w:t>0,760</w:t>
            </w:r>
          </w:p>
        </w:tc>
        <w:tc>
          <w:tcPr>
            <w:tcW w:w="868" w:type="dxa"/>
            <w:vAlign w:val="center"/>
          </w:tcPr>
          <w:p w14:paraId="04BEFF83" w14:textId="77777777" w:rsidR="007F4C85" w:rsidRPr="004F6DAA" w:rsidRDefault="007F4C85" w:rsidP="00992B23">
            <w:pPr>
              <w:spacing w:before="20" w:after="20"/>
              <w:jc w:val="right"/>
              <w:rPr>
                <w:noProof/>
                <w:sz w:val="20"/>
              </w:rPr>
            </w:pPr>
            <w:r w:rsidRPr="004F6DAA">
              <w:rPr>
                <w:noProof/>
                <w:sz w:val="20"/>
              </w:rPr>
              <w:t>0,760</w:t>
            </w:r>
          </w:p>
        </w:tc>
        <w:tc>
          <w:tcPr>
            <w:tcW w:w="868" w:type="dxa"/>
            <w:vAlign w:val="center"/>
          </w:tcPr>
          <w:p w14:paraId="2E5CEBEE" w14:textId="77777777" w:rsidR="007F4C85" w:rsidRPr="004F6DAA" w:rsidRDefault="007F4C85" w:rsidP="00992B23">
            <w:pPr>
              <w:spacing w:before="20" w:after="20"/>
              <w:jc w:val="right"/>
              <w:rPr>
                <w:noProof/>
                <w:sz w:val="20"/>
              </w:rPr>
            </w:pPr>
            <w:r w:rsidRPr="004F6DAA">
              <w:rPr>
                <w:noProof/>
                <w:sz w:val="20"/>
              </w:rPr>
              <w:t>0,760</w:t>
            </w:r>
          </w:p>
        </w:tc>
        <w:tc>
          <w:tcPr>
            <w:tcW w:w="1777" w:type="dxa"/>
            <w:vAlign w:val="center"/>
          </w:tcPr>
          <w:p w14:paraId="3DD3CACD" w14:textId="77777777" w:rsidR="007F4C85" w:rsidRPr="004F6DAA" w:rsidRDefault="007F4C85" w:rsidP="00992B23">
            <w:pPr>
              <w:spacing w:before="20" w:after="20"/>
              <w:jc w:val="right"/>
              <w:rPr>
                <w:b/>
                <w:noProof/>
                <w:sz w:val="20"/>
              </w:rPr>
            </w:pPr>
            <w:r w:rsidRPr="004F6DAA">
              <w:rPr>
                <w:b/>
                <w:noProof/>
                <w:sz w:val="20"/>
              </w:rPr>
              <w:t>3,800</w:t>
            </w:r>
          </w:p>
        </w:tc>
      </w:tr>
      <w:tr w:rsidR="007F4C85" w:rsidRPr="004F6DAA" w14:paraId="702FE189" w14:textId="77777777" w:rsidTr="00992B23">
        <w:trPr>
          <w:trHeight w:val="351"/>
        </w:trPr>
        <w:tc>
          <w:tcPr>
            <w:tcW w:w="6054" w:type="dxa"/>
            <w:gridSpan w:val="4"/>
            <w:vAlign w:val="center"/>
          </w:tcPr>
          <w:p w14:paraId="0B839B16" w14:textId="77777777" w:rsidR="007F4C85" w:rsidRPr="004F6DAA" w:rsidRDefault="007F4C85" w:rsidP="00992B23">
            <w:pPr>
              <w:spacing w:before="20" w:after="20"/>
              <w:rPr>
                <w:noProof/>
              </w:rPr>
            </w:pPr>
            <w:r w:rsidRPr="004F6DAA">
              <w:rPr>
                <w:noProof/>
                <w:sz w:val="22"/>
              </w:rPr>
              <w:sym w:font="Wingdings" w:char="F09F"/>
            </w:r>
            <w:r w:rsidRPr="004F6DAA">
              <w:rPr>
                <w:noProof/>
                <w:sz w:val="22"/>
              </w:rPr>
              <w:t xml:space="preserve"> Pozostałe wydatki administracyjne</w:t>
            </w:r>
            <w:r w:rsidRPr="004F6DAA">
              <w:rPr>
                <w:rStyle w:val="Odwoanieprzypisudolnego"/>
                <w:noProof/>
                <w:sz w:val="22"/>
              </w:rPr>
              <w:footnoteReference w:id="62"/>
            </w:r>
          </w:p>
        </w:tc>
        <w:tc>
          <w:tcPr>
            <w:tcW w:w="868" w:type="dxa"/>
            <w:vAlign w:val="center"/>
          </w:tcPr>
          <w:p w14:paraId="52E161CD" w14:textId="77777777" w:rsidR="007F4C85" w:rsidRPr="004F6DAA" w:rsidRDefault="007F4C85" w:rsidP="00992B23">
            <w:pPr>
              <w:spacing w:before="20" w:after="20"/>
              <w:jc w:val="center"/>
              <w:rPr>
                <w:noProof/>
                <w:sz w:val="20"/>
              </w:rPr>
            </w:pPr>
            <w:r w:rsidRPr="004F6DAA">
              <w:rPr>
                <w:noProof/>
                <w:sz w:val="20"/>
              </w:rPr>
              <w:t>-</w:t>
            </w:r>
          </w:p>
        </w:tc>
        <w:tc>
          <w:tcPr>
            <w:tcW w:w="868" w:type="dxa"/>
            <w:vAlign w:val="center"/>
          </w:tcPr>
          <w:p w14:paraId="2B71CD67" w14:textId="77777777" w:rsidR="007F4C85" w:rsidRPr="004F6DAA" w:rsidRDefault="007F4C85" w:rsidP="00992B23">
            <w:pPr>
              <w:spacing w:before="20" w:after="20"/>
              <w:jc w:val="right"/>
              <w:rPr>
                <w:noProof/>
                <w:sz w:val="20"/>
              </w:rPr>
            </w:pPr>
            <w:r w:rsidRPr="004F6DAA">
              <w:rPr>
                <w:noProof/>
                <w:sz w:val="20"/>
              </w:rPr>
              <w:t>0,114</w:t>
            </w:r>
          </w:p>
        </w:tc>
        <w:tc>
          <w:tcPr>
            <w:tcW w:w="868" w:type="dxa"/>
            <w:vAlign w:val="center"/>
          </w:tcPr>
          <w:p w14:paraId="47E1B4FF" w14:textId="77777777" w:rsidR="007F4C85" w:rsidRPr="004F6DAA" w:rsidRDefault="007F4C85" w:rsidP="00992B23">
            <w:pPr>
              <w:spacing w:before="20" w:after="20"/>
              <w:jc w:val="right"/>
              <w:rPr>
                <w:noProof/>
                <w:sz w:val="20"/>
              </w:rPr>
            </w:pPr>
            <w:r w:rsidRPr="004F6DAA">
              <w:rPr>
                <w:noProof/>
                <w:sz w:val="20"/>
              </w:rPr>
              <w:t>0,114</w:t>
            </w:r>
          </w:p>
        </w:tc>
        <w:tc>
          <w:tcPr>
            <w:tcW w:w="868" w:type="dxa"/>
            <w:vAlign w:val="center"/>
          </w:tcPr>
          <w:p w14:paraId="38E9668A" w14:textId="77777777" w:rsidR="007F4C85" w:rsidRPr="004F6DAA" w:rsidRDefault="007F4C85" w:rsidP="00992B23">
            <w:pPr>
              <w:spacing w:before="20" w:after="20"/>
              <w:jc w:val="right"/>
              <w:rPr>
                <w:noProof/>
                <w:sz w:val="20"/>
              </w:rPr>
            </w:pPr>
            <w:r w:rsidRPr="004F6DAA">
              <w:rPr>
                <w:noProof/>
                <w:sz w:val="20"/>
              </w:rPr>
              <w:t>0,114</w:t>
            </w:r>
          </w:p>
        </w:tc>
        <w:tc>
          <w:tcPr>
            <w:tcW w:w="868" w:type="dxa"/>
            <w:vAlign w:val="center"/>
          </w:tcPr>
          <w:p w14:paraId="6D0F960B" w14:textId="77777777" w:rsidR="007F4C85" w:rsidRPr="004F6DAA" w:rsidRDefault="007F4C85" w:rsidP="00992B23">
            <w:pPr>
              <w:spacing w:before="20" w:after="20"/>
              <w:jc w:val="right"/>
              <w:rPr>
                <w:noProof/>
                <w:sz w:val="20"/>
              </w:rPr>
            </w:pPr>
            <w:r w:rsidRPr="004F6DAA">
              <w:rPr>
                <w:noProof/>
                <w:sz w:val="20"/>
              </w:rPr>
              <w:t>0,114</w:t>
            </w:r>
          </w:p>
        </w:tc>
        <w:tc>
          <w:tcPr>
            <w:tcW w:w="868" w:type="dxa"/>
            <w:vAlign w:val="center"/>
          </w:tcPr>
          <w:p w14:paraId="09FC2301" w14:textId="77777777" w:rsidR="007F4C85" w:rsidRPr="004F6DAA" w:rsidRDefault="007F4C85" w:rsidP="00992B23">
            <w:pPr>
              <w:spacing w:before="20" w:after="20"/>
              <w:jc w:val="right"/>
              <w:rPr>
                <w:noProof/>
                <w:sz w:val="20"/>
              </w:rPr>
            </w:pPr>
            <w:r w:rsidRPr="004F6DAA">
              <w:rPr>
                <w:noProof/>
                <w:sz w:val="20"/>
              </w:rPr>
              <w:t>0,114</w:t>
            </w:r>
          </w:p>
        </w:tc>
        <w:tc>
          <w:tcPr>
            <w:tcW w:w="1777" w:type="dxa"/>
            <w:vAlign w:val="center"/>
          </w:tcPr>
          <w:p w14:paraId="28D78C58" w14:textId="77777777" w:rsidR="007F4C85" w:rsidRPr="004F6DAA" w:rsidRDefault="007F4C85" w:rsidP="00992B23">
            <w:pPr>
              <w:spacing w:before="20" w:after="20"/>
              <w:jc w:val="right"/>
              <w:rPr>
                <w:b/>
                <w:noProof/>
                <w:sz w:val="20"/>
              </w:rPr>
            </w:pPr>
            <w:r w:rsidRPr="004F6DAA">
              <w:rPr>
                <w:b/>
                <w:noProof/>
                <w:sz w:val="20"/>
              </w:rPr>
              <w:t>0,570</w:t>
            </w:r>
          </w:p>
        </w:tc>
      </w:tr>
      <w:tr w:rsidR="007F4C85" w:rsidRPr="004F6DAA" w14:paraId="7644B26B" w14:textId="77777777" w:rsidTr="00992B23">
        <w:tc>
          <w:tcPr>
            <w:tcW w:w="3960" w:type="dxa"/>
            <w:vAlign w:val="center"/>
          </w:tcPr>
          <w:p w14:paraId="77EC2F3D" w14:textId="77777777" w:rsidR="007F4C85" w:rsidRPr="004F6DAA" w:rsidRDefault="007F4C85" w:rsidP="00992B23">
            <w:pPr>
              <w:jc w:val="center"/>
              <w:rPr>
                <w:b/>
                <w:noProof/>
              </w:rPr>
            </w:pPr>
            <w:r w:rsidRPr="004F6DAA">
              <w:rPr>
                <w:b/>
                <w:noProof/>
                <w:sz w:val="22"/>
              </w:rPr>
              <w:t>OGÓŁEM DG ENV</w:t>
            </w:r>
          </w:p>
        </w:tc>
        <w:tc>
          <w:tcPr>
            <w:tcW w:w="2094" w:type="dxa"/>
            <w:gridSpan w:val="3"/>
            <w:vAlign w:val="center"/>
          </w:tcPr>
          <w:p w14:paraId="3ADD3BB5" w14:textId="77777777" w:rsidR="007F4C85" w:rsidRPr="004F6DAA" w:rsidRDefault="007F4C85" w:rsidP="00992B23">
            <w:pPr>
              <w:rPr>
                <w:noProof/>
                <w:sz w:val="14"/>
              </w:rPr>
            </w:pPr>
            <w:r w:rsidRPr="004F6DAA">
              <w:rPr>
                <w:noProof/>
                <w:sz w:val="18"/>
              </w:rPr>
              <w:t xml:space="preserve">Środki </w:t>
            </w:r>
          </w:p>
        </w:tc>
        <w:tc>
          <w:tcPr>
            <w:tcW w:w="868" w:type="dxa"/>
            <w:vAlign w:val="center"/>
          </w:tcPr>
          <w:p w14:paraId="54487508" w14:textId="77777777" w:rsidR="007F4C85" w:rsidRPr="004F6DAA" w:rsidRDefault="007F4C85" w:rsidP="00992B23">
            <w:pPr>
              <w:spacing w:before="20" w:after="20"/>
              <w:jc w:val="center"/>
              <w:rPr>
                <w:noProof/>
                <w:sz w:val="20"/>
              </w:rPr>
            </w:pPr>
            <w:r w:rsidRPr="004F6DAA">
              <w:rPr>
                <w:noProof/>
                <w:sz w:val="20"/>
              </w:rPr>
              <w:t>-</w:t>
            </w:r>
          </w:p>
        </w:tc>
        <w:tc>
          <w:tcPr>
            <w:tcW w:w="868" w:type="dxa"/>
            <w:vAlign w:val="center"/>
          </w:tcPr>
          <w:p w14:paraId="7ABE8B6B" w14:textId="77777777" w:rsidR="007F4C85" w:rsidRPr="004F6DAA" w:rsidRDefault="007F4C85" w:rsidP="00992B23">
            <w:pPr>
              <w:spacing w:before="60" w:after="60"/>
              <w:jc w:val="right"/>
              <w:rPr>
                <w:noProof/>
                <w:sz w:val="20"/>
              </w:rPr>
            </w:pPr>
            <w:r w:rsidRPr="004F6DAA">
              <w:rPr>
                <w:noProof/>
                <w:sz w:val="20"/>
              </w:rPr>
              <w:t>0,874</w:t>
            </w:r>
          </w:p>
        </w:tc>
        <w:tc>
          <w:tcPr>
            <w:tcW w:w="868" w:type="dxa"/>
            <w:vAlign w:val="center"/>
          </w:tcPr>
          <w:p w14:paraId="7AF78E10" w14:textId="77777777" w:rsidR="007F4C85" w:rsidRPr="004F6DAA" w:rsidRDefault="007F4C85" w:rsidP="00992B23">
            <w:pPr>
              <w:spacing w:before="20" w:after="20"/>
              <w:jc w:val="right"/>
              <w:rPr>
                <w:noProof/>
                <w:sz w:val="20"/>
              </w:rPr>
            </w:pPr>
            <w:r w:rsidRPr="004F6DAA">
              <w:rPr>
                <w:noProof/>
                <w:sz w:val="20"/>
              </w:rPr>
              <w:t>0,874</w:t>
            </w:r>
          </w:p>
        </w:tc>
        <w:tc>
          <w:tcPr>
            <w:tcW w:w="868" w:type="dxa"/>
            <w:vAlign w:val="center"/>
          </w:tcPr>
          <w:p w14:paraId="0612084F" w14:textId="77777777" w:rsidR="007F4C85" w:rsidRPr="004F6DAA" w:rsidRDefault="007F4C85" w:rsidP="00992B23">
            <w:pPr>
              <w:spacing w:before="20" w:after="20"/>
              <w:jc w:val="right"/>
              <w:rPr>
                <w:noProof/>
                <w:sz w:val="20"/>
              </w:rPr>
            </w:pPr>
            <w:r w:rsidRPr="004F6DAA">
              <w:rPr>
                <w:noProof/>
                <w:sz w:val="20"/>
              </w:rPr>
              <w:t>0,874</w:t>
            </w:r>
          </w:p>
        </w:tc>
        <w:tc>
          <w:tcPr>
            <w:tcW w:w="868" w:type="dxa"/>
            <w:vAlign w:val="center"/>
          </w:tcPr>
          <w:p w14:paraId="7CD561FD" w14:textId="77777777" w:rsidR="007F4C85" w:rsidRPr="004F6DAA" w:rsidRDefault="007F4C85" w:rsidP="00992B23">
            <w:pPr>
              <w:spacing w:before="20" w:after="20"/>
              <w:jc w:val="right"/>
              <w:rPr>
                <w:noProof/>
                <w:sz w:val="20"/>
              </w:rPr>
            </w:pPr>
            <w:r w:rsidRPr="004F6DAA">
              <w:rPr>
                <w:noProof/>
                <w:sz w:val="20"/>
              </w:rPr>
              <w:t>0,874</w:t>
            </w:r>
          </w:p>
        </w:tc>
        <w:tc>
          <w:tcPr>
            <w:tcW w:w="868" w:type="dxa"/>
            <w:vAlign w:val="center"/>
          </w:tcPr>
          <w:p w14:paraId="211D15F5" w14:textId="77777777" w:rsidR="007F4C85" w:rsidRPr="004F6DAA" w:rsidRDefault="007F4C85" w:rsidP="00992B23">
            <w:pPr>
              <w:spacing w:before="20" w:after="20"/>
              <w:jc w:val="right"/>
              <w:rPr>
                <w:noProof/>
                <w:sz w:val="20"/>
              </w:rPr>
            </w:pPr>
            <w:r w:rsidRPr="004F6DAA">
              <w:rPr>
                <w:noProof/>
                <w:sz w:val="20"/>
              </w:rPr>
              <w:t>0,874</w:t>
            </w:r>
          </w:p>
        </w:tc>
        <w:tc>
          <w:tcPr>
            <w:tcW w:w="1777" w:type="dxa"/>
            <w:vAlign w:val="center"/>
          </w:tcPr>
          <w:p w14:paraId="73E012F8" w14:textId="77777777" w:rsidR="007F4C85" w:rsidRPr="004F6DAA" w:rsidRDefault="007F4C85" w:rsidP="00992B23">
            <w:pPr>
              <w:spacing w:before="20" w:after="20"/>
              <w:jc w:val="right"/>
              <w:rPr>
                <w:b/>
                <w:noProof/>
                <w:sz w:val="20"/>
              </w:rPr>
            </w:pPr>
            <w:r w:rsidRPr="004F6DAA">
              <w:rPr>
                <w:b/>
                <w:noProof/>
                <w:sz w:val="20"/>
              </w:rPr>
              <w:t>4,370</w:t>
            </w:r>
          </w:p>
        </w:tc>
      </w:tr>
    </w:tbl>
    <w:p w14:paraId="447DBCAA" w14:textId="77777777" w:rsidR="007F4C85" w:rsidRPr="004F6DAA" w:rsidRDefault="007F4C85" w:rsidP="007F4C85">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534"/>
        <w:gridCol w:w="868"/>
        <w:gridCol w:w="868"/>
        <w:gridCol w:w="868"/>
        <w:gridCol w:w="868"/>
        <w:gridCol w:w="868"/>
        <w:gridCol w:w="868"/>
        <w:gridCol w:w="1777"/>
      </w:tblGrid>
      <w:tr w:rsidR="007F4C85" w:rsidRPr="004F6DAA" w14:paraId="46D5B81B" w14:textId="77777777" w:rsidTr="00992B23">
        <w:tc>
          <w:tcPr>
            <w:tcW w:w="3960" w:type="dxa"/>
            <w:tcBorders>
              <w:top w:val="nil"/>
              <w:left w:val="nil"/>
              <w:right w:val="nil"/>
            </w:tcBorders>
            <w:vAlign w:val="center"/>
          </w:tcPr>
          <w:p w14:paraId="26BBA119" w14:textId="77777777" w:rsidR="007F4C85" w:rsidRPr="004F6DAA" w:rsidRDefault="007F4C85" w:rsidP="00992B23">
            <w:pPr>
              <w:jc w:val="center"/>
              <w:rPr>
                <w:noProof/>
              </w:rPr>
            </w:pPr>
          </w:p>
        </w:tc>
        <w:tc>
          <w:tcPr>
            <w:tcW w:w="1560" w:type="dxa"/>
            <w:gridSpan w:val="2"/>
            <w:tcBorders>
              <w:top w:val="nil"/>
              <w:left w:val="nil"/>
              <w:right w:val="nil"/>
            </w:tcBorders>
          </w:tcPr>
          <w:p w14:paraId="071FFFAC" w14:textId="77777777" w:rsidR="007F4C85" w:rsidRPr="004F6DAA" w:rsidRDefault="007F4C85" w:rsidP="00992B23">
            <w:pPr>
              <w:rPr>
                <w:noProof/>
                <w:sz w:val="20"/>
              </w:rPr>
            </w:pPr>
          </w:p>
        </w:tc>
        <w:tc>
          <w:tcPr>
            <w:tcW w:w="534" w:type="dxa"/>
            <w:tcBorders>
              <w:top w:val="nil"/>
              <w:left w:val="nil"/>
            </w:tcBorders>
          </w:tcPr>
          <w:p w14:paraId="71A016D0" w14:textId="77777777" w:rsidR="007F4C85" w:rsidRPr="004F6DAA" w:rsidRDefault="007F4C85" w:rsidP="00992B23">
            <w:pPr>
              <w:jc w:val="center"/>
              <w:rPr>
                <w:noProof/>
                <w:sz w:val="20"/>
              </w:rPr>
            </w:pPr>
          </w:p>
        </w:tc>
        <w:tc>
          <w:tcPr>
            <w:tcW w:w="868" w:type="dxa"/>
            <w:vAlign w:val="center"/>
          </w:tcPr>
          <w:p w14:paraId="259825A5" w14:textId="77777777" w:rsidR="000557B7" w:rsidRPr="004F6DAA" w:rsidRDefault="007F4C85" w:rsidP="000557B7">
            <w:pPr>
              <w:contextualSpacing/>
              <w:jc w:val="center"/>
              <w:rPr>
                <w:noProof/>
                <w:sz w:val="20"/>
              </w:rPr>
            </w:pPr>
            <w:r w:rsidRPr="004F6DAA">
              <w:rPr>
                <w:noProof/>
                <w:sz w:val="20"/>
              </w:rPr>
              <w:t>Rok</w:t>
            </w:r>
          </w:p>
          <w:p w14:paraId="58E8FCFD" w14:textId="77777777" w:rsidR="007F4C85" w:rsidRPr="004F6DAA" w:rsidRDefault="007F4C85" w:rsidP="000557B7">
            <w:pPr>
              <w:contextualSpacing/>
              <w:jc w:val="center"/>
              <w:rPr>
                <w:noProof/>
                <w:sz w:val="20"/>
              </w:rPr>
            </w:pPr>
            <w:r w:rsidRPr="004F6DAA">
              <w:rPr>
                <w:b/>
                <w:noProof/>
                <w:sz w:val="20"/>
              </w:rPr>
              <w:t>2022</w:t>
            </w:r>
          </w:p>
        </w:tc>
        <w:tc>
          <w:tcPr>
            <w:tcW w:w="868" w:type="dxa"/>
            <w:vAlign w:val="center"/>
          </w:tcPr>
          <w:p w14:paraId="7D3E4BC6" w14:textId="77777777" w:rsidR="000557B7" w:rsidRPr="004F6DAA" w:rsidRDefault="007F4C85" w:rsidP="000557B7">
            <w:pPr>
              <w:contextualSpacing/>
              <w:jc w:val="center"/>
              <w:rPr>
                <w:noProof/>
                <w:sz w:val="20"/>
              </w:rPr>
            </w:pPr>
            <w:r w:rsidRPr="004F6DAA">
              <w:rPr>
                <w:noProof/>
                <w:sz w:val="20"/>
              </w:rPr>
              <w:t>Rok</w:t>
            </w:r>
          </w:p>
          <w:p w14:paraId="59EDF146" w14:textId="77777777" w:rsidR="007F4C85" w:rsidRPr="004F6DAA" w:rsidRDefault="007F4C85" w:rsidP="000557B7">
            <w:pPr>
              <w:contextualSpacing/>
              <w:jc w:val="center"/>
              <w:rPr>
                <w:noProof/>
                <w:sz w:val="20"/>
              </w:rPr>
            </w:pPr>
            <w:r w:rsidRPr="004F6DAA">
              <w:rPr>
                <w:b/>
                <w:noProof/>
                <w:sz w:val="20"/>
              </w:rPr>
              <w:t>2023</w:t>
            </w:r>
          </w:p>
        </w:tc>
        <w:tc>
          <w:tcPr>
            <w:tcW w:w="868" w:type="dxa"/>
            <w:vAlign w:val="center"/>
          </w:tcPr>
          <w:p w14:paraId="184DFE7F" w14:textId="77777777" w:rsidR="000557B7" w:rsidRPr="004F6DAA" w:rsidRDefault="007F4C85" w:rsidP="000557B7">
            <w:pPr>
              <w:contextualSpacing/>
              <w:jc w:val="center"/>
              <w:rPr>
                <w:noProof/>
                <w:sz w:val="20"/>
              </w:rPr>
            </w:pPr>
            <w:r w:rsidRPr="004F6DAA">
              <w:rPr>
                <w:noProof/>
                <w:sz w:val="20"/>
              </w:rPr>
              <w:t>Rok</w:t>
            </w:r>
          </w:p>
          <w:p w14:paraId="03290F7A" w14:textId="77777777" w:rsidR="007F4C85" w:rsidRPr="004F6DAA" w:rsidRDefault="007F4C85" w:rsidP="000557B7">
            <w:pPr>
              <w:contextualSpacing/>
              <w:jc w:val="center"/>
              <w:rPr>
                <w:noProof/>
                <w:sz w:val="20"/>
              </w:rPr>
            </w:pPr>
            <w:r w:rsidRPr="004F6DAA">
              <w:rPr>
                <w:b/>
                <w:noProof/>
                <w:sz w:val="20"/>
              </w:rPr>
              <w:t>2024</w:t>
            </w:r>
          </w:p>
        </w:tc>
        <w:tc>
          <w:tcPr>
            <w:tcW w:w="868" w:type="dxa"/>
            <w:vAlign w:val="center"/>
          </w:tcPr>
          <w:p w14:paraId="59437DC8" w14:textId="77777777" w:rsidR="000557B7" w:rsidRPr="004F6DAA" w:rsidRDefault="007F4C85" w:rsidP="000557B7">
            <w:pPr>
              <w:contextualSpacing/>
              <w:jc w:val="center"/>
              <w:rPr>
                <w:noProof/>
                <w:sz w:val="20"/>
              </w:rPr>
            </w:pPr>
            <w:r w:rsidRPr="004F6DAA">
              <w:rPr>
                <w:noProof/>
                <w:sz w:val="20"/>
              </w:rPr>
              <w:t>Rok</w:t>
            </w:r>
          </w:p>
          <w:p w14:paraId="0D3D3FEC" w14:textId="77777777" w:rsidR="007F4C85" w:rsidRPr="004F6DAA" w:rsidRDefault="007F4C85" w:rsidP="000557B7">
            <w:pPr>
              <w:contextualSpacing/>
              <w:jc w:val="center"/>
              <w:rPr>
                <w:noProof/>
                <w:sz w:val="20"/>
              </w:rPr>
            </w:pPr>
            <w:r w:rsidRPr="004F6DAA">
              <w:rPr>
                <w:b/>
                <w:noProof/>
                <w:sz w:val="20"/>
              </w:rPr>
              <w:t>2025</w:t>
            </w:r>
          </w:p>
        </w:tc>
        <w:tc>
          <w:tcPr>
            <w:tcW w:w="868" w:type="dxa"/>
            <w:vAlign w:val="center"/>
          </w:tcPr>
          <w:p w14:paraId="01C9F82F" w14:textId="77777777" w:rsidR="000557B7" w:rsidRPr="004F6DAA" w:rsidRDefault="007F4C85" w:rsidP="000557B7">
            <w:pPr>
              <w:contextualSpacing/>
              <w:jc w:val="center"/>
              <w:rPr>
                <w:noProof/>
                <w:sz w:val="20"/>
              </w:rPr>
            </w:pPr>
            <w:r w:rsidRPr="004F6DAA">
              <w:rPr>
                <w:noProof/>
                <w:sz w:val="20"/>
              </w:rPr>
              <w:t>Rok</w:t>
            </w:r>
          </w:p>
          <w:p w14:paraId="3C42E66F" w14:textId="77777777" w:rsidR="007F4C85" w:rsidRPr="004F6DAA" w:rsidRDefault="007F4C85" w:rsidP="000557B7">
            <w:pPr>
              <w:contextualSpacing/>
              <w:jc w:val="center"/>
              <w:rPr>
                <w:noProof/>
                <w:sz w:val="20"/>
              </w:rPr>
            </w:pPr>
            <w:r w:rsidRPr="004F6DAA">
              <w:rPr>
                <w:b/>
                <w:noProof/>
                <w:sz w:val="20"/>
              </w:rPr>
              <w:t>2026</w:t>
            </w:r>
          </w:p>
        </w:tc>
        <w:tc>
          <w:tcPr>
            <w:tcW w:w="868" w:type="dxa"/>
            <w:vAlign w:val="center"/>
          </w:tcPr>
          <w:p w14:paraId="6D8F157A" w14:textId="77777777" w:rsidR="000557B7" w:rsidRPr="004F6DAA" w:rsidRDefault="007F4C85" w:rsidP="00992B23">
            <w:pPr>
              <w:contextualSpacing/>
              <w:jc w:val="center"/>
              <w:rPr>
                <w:noProof/>
                <w:sz w:val="20"/>
              </w:rPr>
            </w:pPr>
            <w:r w:rsidRPr="004F6DAA">
              <w:rPr>
                <w:noProof/>
                <w:sz w:val="20"/>
              </w:rPr>
              <w:t>Rok</w:t>
            </w:r>
          </w:p>
          <w:p w14:paraId="2537E268" w14:textId="77777777" w:rsidR="007F4C85" w:rsidRPr="004F6DAA" w:rsidRDefault="007F4C85" w:rsidP="00263E8C">
            <w:pPr>
              <w:contextualSpacing/>
              <w:jc w:val="center"/>
              <w:rPr>
                <w:b/>
                <w:noProof/>
                <w:sz w:val="18"/>
              </w:rPr>
            </w:pPr>
            <w:r w:rsidRPr="004F6DAA">
              <w:rPr>
                <w:b/>
                <w:noProof/>
                <w:sz w:val="20"/>
              </w:rPr>
              <w:t xml:space="preserve">2027 </w:t>
            </w:r>
          </w:p>
        </w:tc>
        <w:tc>
          <w:tcPr>
            <w:tcW w:w="1777" w:type="dxa"/>
            <w:vAlign w:val="center"/>
          </w:tcPr>
          <w:p w14:paraId="6BF577A3" w14:textId="77777777" w:rsidR="007F4C85" w:rsidRPr="004F6DAA" w:rsidRDefault="007F4C85" w:rsidP="00992B23">
            <w:pPr>
              <w:contextualSpacing/>
              <w:jc w:val="center"/>
              <w:rPr>
                <w:b/>
                <w:noProof/>
                <w:sz w:val="20"/>
              </w:rPr>
            </w:pPr>
            <w:r w:rsidRPr="004F6DAA">
              <w:rPr>
                <w:b/>
                <w:noProof/>
                <w:sz w:val="20"/>
              </w:rPr>
              <w:t>OGÓŁEM</w:t>
            </w:r>
          </w:p>
          <w:p w14:paraId="42FB8979" w14:textId="77777777" w:rsidR="007F4C85" w:rsidRPr="004F6DAA" w:rsidRDefault="007F4C85" w:rsidP="00992B23">
            <w:pPr>
              <w:contextualSpacing/>
              <w:jc w:val="center"/>
              <w:rPr>
                <w:b/>
                <w:noProof/>
                <w:sz w:val="20"/>
              </w:rPr>
            </w:pPr>
            <w:r w:rsidRPr="004F6DAA">
              <w:rPr>
                <w:b/>
                <w:noProof/>
                <w:sz w:val="20"/>
              </w:rPr>
              <w:t>(2022–2027)</w:t>
            </w:r>
          </w:p>
        </w:tc>
      </w:tr>
      <w:tr w:rsidR="007F4C85" w:rsidRPr="004F6DAA" w14:paraId="30890811" w14:textId="77777777" w:rsidTr="00992B23">
        <w:trPr>
          <w:gridAfter w:val="9"/>
          <w:wAfter w:w="8211" w:type="dxa"/>
        </w:trPr>
        <w:tc>
          <w:tcPr>
            <w:tcW w:w="3960" w:type="dxa"/>
            <w:vAlign w:val="center"/>
          </w:tcPr>
          <w:p w14:paraId="1004B2C9" w14:textId="77777777" w:rsidR="007F4C85" w:rsidRPr="004F6DAA" w:rsidRDefault="007F4C85" w:rsidP="00992B23">
            <w:pPr>
              <w:spacing w:before="60" w:after="60"/>
              <w:jc w:val="center"/>
              <w:rPr>
                <w:noProof/>
              </w:rPr>
            </w:pPr>
            <w:r w:rsidRPr="004F6DAA">
              <w:rPr>
                <w:noProof/>
                <w:sz w:val="22"/>
              </w:rPr>
              <w:t xml:space="preserve">Dyrekcja Generalna: </w:t>
            </w:r>
            <w:r w:rsidRPr="004F6DAA">
              <w:rPr>
                <w:b/>
                <w:noProof/>
                <w:sz w:val="22"/>
              </w:rPr>
              <w:t>INTPA</w:t>
            </w:r>
          </w:p>
        </w:tc>
        <w:tc>
          <w:tcPr>
            <w:tcW w:w="868" w:type="dxa"/>
          </w:tcPr>
          <w:p w14:paraId="1F4B8DBB" w14:textId="77777777" w:rsidR="007F4C85" w:rsidRPr="004F6DAA" w:rsidRDefault="007F4C85" w:rsidP="00992B23">
            <w:pPr>
              <w:spacing w:before="60" w:after="60"/>
              <w:jc w:val="center"/>
              <w:rPr>
                <w:noProof/>
                <w:sz w:val="22"/>
              </w:rPr>
            </w:pPr>
          </w:p>
        </w:tc>
      </w:tr>
      <w:tr w:rsidR="007F4C85" w:rsidRPr="004F6DAA" w14:paraId="0EB62240" w14:textId="77777777" w:rsidTr="00992B23">
        <w:trPr>
          <w:trHeight w:val="313"/>
        </w:trPr>
        <w:tc>
          <w:tcPr>
            <w:tcW w:w="6054" w:type="dxa"/>
            <w:gridSpan w:val="4"/>
            <w:vAlign w:val="center"/>
          </w:tcPr>
          <w:p w14:paraId="14073272" w14:textId="77777777" w:rsidR="007F4C85" w:rsidRPr="004F6DAA" w:rsidRDefault="007F4C85" w:rsidP="00992B23">
            <w:pPr>
              <w:spacing w:before="20" w:after="20"/>
              <w:rPr>
                <w:noProof/>
              </w:rPr>
            </w:pPr>
            <w:r w:rsidRPr="004F6DAA">
              <w:rPr>
                <w:noProof/>
                <w:sz w:val="22"/>
              </w:rPr>
              <w:sym w:font="Wingdings" w:char="F09F"/>
            </w:r>
            <w:r w:rsidRPr="004F6DAA">
              <w:rPr>
                <w:noProof/>
              </w:rPr>
              <w:t xml:space="preserve"> Zasoby ludzkie</w:t>
            </w:r>
            <w:r w:rsidRPr="004F6DAA">
              <w:rPr>
                <w:noProof/>
                <w:sz w:val="22"/>
              </w:rPr>
              <w:t xml:space="preserve"> </w:t>
            </w:r>
          </w:p>
        </w:tc>
        <w:tc>
          <w:tcPr>
            <w:tcW w:w="868" w:type="dxa"/>
            <w:vAlign w:val="center"/>
          </w:tcPr>
          <w:p w14:paraId="7326F0B7" w14:textId="77777777" w:rsidR="007F4C85" w:rsidRPr="004F6DAA" w:rsidRDefault="007F4C85" w:rsidP="00992B23">
            <w:pPr>
              <w:spacing w:before="20" w:after="20"/>
              <w:jc w:val="center"/>
              <w:rPr>
                <w:noProof/>
                <w:sz w:val="20"/>
              </w:rPr>
            </w:pPr>
            <w:r w:rsidRPr="004F6DAA">
              <w:rPr>
                <w:noProof/>
                <w:sz w:val="20"/>
              </w:rPr>
              <w:t>-</w:t>
            </w:r>
          </w:p>
        </w:tc>
        <w:tc>
          <w:tcPr>
            <w:tcW w:w="868" w:type="dxa"/>
            <w:vAlign w:val="center"/>
          </w:tcPr>
          <w:p w14:paraId="37ED8A40" w14:textId="77777777" w:rsidR="007F4C85" w:rsidRPr="004F6DAA" w:rsidRDefault="007F4C85" w:rsidP="00992B23">
            <w:pPr>
              <w:spacing w:before="20" w:after="20"/>
              <w:jc w:val="right"/>
              <w:rPr>
                <w:noProof/>
                <w:sz w:val="20"/>
              </w:rPr>
            </w:pPr>
            <w:r w:rsidRPr="004F6DAA">
              <w:rPr>
                <w:noProof/>
                <w:sz w:val="20"/>
              </w:rPr>
              <w:t>0,304</w:t>
            </w:r>
          </w:p>
        </w:tc>
        <w:tc>
          <w:tcPr>
            <w:tcW w:w="868" w:type="dxa"/>
            <w:vAlign w:val="center"/>
          </w:tcPr>
          <w:p w14:paraId="2EDD9723" w14:textId="77777777" w:rsidR="007F4C85" w:rsidRPr="004F6DAA" w:rsidRDefault="007F4C85" w:rsidP="00992B23">
            <w:pPr>
              <w:spacing w:before="20" w:after="20"/>
              <w:jc w:val="right"/>
              <w:rPr>
                <w:noProof/>
                <w:sz w:val="20"/>
              </w:rPr>
            </w:pPr>
            <w:r w:rsidRPr="004F6DAA">
              <w:rPr>
                <w:noProof/>
                <w:sz w:val="20"/>
              </w:rPr>
              <w:t>0,304</w:t>
            </w:r>
          </w:p>
        </w:tc>
        <w:tc>
          <w:tcPr>
            <w:tcW w:w="868" w:type="dxa"/>
            <w:vAlign w:val="center"/>
          </w:tcPr>
          <w:p w14:paraId="05FBE40C" w14:textId="77777777" w:rsidR="007F4C85" w:rsidRPr="004F6DAA" w:rsidRDefault="007F4C85" w:rsidP="00992B23">
            <w:pPr>
              <w:spacing w:before="20" w:after="20"/>
              <w:jc w:val="right"/>
              <w:rPr>
                <w:noProof/>
                <w:sz w:val="20"/>
              </w:rPr>
            </w:pPr>
            <w:r w:rsidRPr="004F6DAA">
              <w:rPr>
                <w:noProof/>
                <w:sz w:val="20"/>
              </w:rPr>
              <w:t>0,304</w:t>
            </w:r>
          </w:p>
        </w:tc>
        <w:tc>
          <w:tcPr>
            <w:tcW w:w="868" w:type="dxa"/>
            <w:vAlign w:val="center"/>
          </w:tcPr>
          <w:p w14:paraId="2B685B08" w14:textId="77777777" w:rsidR="007F4C85" w:rsidRPr="004F6DAA" w:rsidRDefault="007F4C85" w:rsidP="00992B23">
            <w:pPr>
              <w:spacing w:before="20" w:after="20"/>
              <w:jc w:val="right"/>
              <w:rPr>
                <w:noProof/>
                <w:sz w:val="20"/>
              </w:rPr>
            </w:pPr>
            <w:r w:rsidRPr="004F6DAA">
              <w:rPr>
                <w:noProof/>
                <w:sz w:val="20"/>
              </w:rPr>
              <w:t>0,304</w:t>
            </w:r>
          </w:p>
        </w:tc>
        <w:tc>
          <w:tcPr>
            <w:tcW w:w="868" w:type="dxa"/>
            <w:vAlign w:val="center"/>
          </w:tcPr>
          <w:p w14:paraId="5D78FDFF" w14:textId="77777777" w:rsidR="007F4C85" w:rsidRPr="004F6DAA" w:rsidRDefault="007F4C85" w:rsidP="00992B23">
            <w:pPr>
              <w:spacing w:before="20" w:after="20"/>
              <w:jc w:val="right"/>
              <w:rPr>
                <w:noProof/>
                <w:sz w:val="20"/>
              </w:rPr>
            </w:pPr>
            <w:r w:rsidRPr="004F6DAA">
              <w:rPr>
                <w:noProof/>
                <w:sz w:val="20"/>
              </w:rPr>
              <w:t>0,304</w:t>
            </w:r>
          </w:p>
        </w:tc>
        <w:tc>
          <w:tcPr>
            <w:tcW w:w="1777" w:type="dxa"/>
            <w:vAlign w:val="center"/>
          </w:tcPr>
          <w:p w14:paraId="05B51368" w14:textId="77777777" w:rsidR="007F4C85" w:rsidRPr="004F6DAA" w:rsidRDefault="007F4C85" w:rsidP="00992B23">
            <w:pPr>
              <w:spacing w:before="20" w:after="20"/>
              <w:jc w:val="right"/>
              <w:rPr>
                <w:b/>
                <w:noProof/>
                <w:sz w:val="20"/>
              </w:rPr>
            </w:pPr>
            <w:r w:rsidRPr="004F6DAA">
              <w:rPr>
                <w:b/>
                <w:noProof/>
                <w:sz w:val="20"/>
              </w:rPr>
              <w:t>1,520</w:t>
            </w:r>
          </w:p>
        </w:tc>
      </w:tr>
      <w:tr w:rsidR="007F4C85" w:rsidRPr="004F6DAA" w14:paraId="553FF6FE" w14:textId="77777777" w:rsidTr="00992B23">
        <w:trPr>
          <w:trHeight w:val="351"/>
        </w:trPr>
        <w:tc>
          <w:tcPr>
            <w:tcW w:w="6054" w:type="dxa"/>
            <w:gridSpan w:val="4"/>
            <w:vAlign w:val="center"/>
          </w:tcPr>
          <w:p w14:paraId="7C4C9DD4" w14:textId="77777777" w:rsidR="007F4C85" w:rsidRPr="004F6DAA" w:rsidRDefault="007F4C85" w:rsidP="00992B23">
            <w:pPr>
              <w:spacing w:before="20" w:after="20"/>
              <w:rPr>
                <w:noProof/>
              </w:rPr>
            </w:pPr>
            <w:r w:rsidRPr="004F6DAA">
              <w:rPr>
                <w:noProof/>
                <w:sz w:val="22"/>
              </w:rPr>
              <w:sym w:font="Wingdings" w:char="F09F"/>
            </w:r>
            <w:r w:rsidRPr="004F6DAA">
              <w:rPr>
                <w:noProof/>
                <w:sz w:val="22"/>
              </w:rPr>
              <w:t xml:space="preserve"> Pozostałe wydatki administracyjne </w:t>
            </w:r>
          </w:p>
        </w:tc>
        <w:tc>
          <w:tcPr>
            <w:tcW w:w="868" w:type="dxa"/>
            <w:vAlign w:val="center"/>
          </w:tcPr>
          <w:p w14:paraId="224FD124" w14:textId="77777777" w:rsidR="007F4C85" w:rsidRPr="004F6DAA" w:rsidRDefault="007F4C85" w:rsidP="00992B23">
            <w:pPr>
              <w:spacing w:before="20" w:after="20"/>
              <w:jc w:val="center"/>
              <w:rPr>
                <w:noProof/>
                <w:sz w:val="20"/>
              </w:rPr>
            </w:pPr>
            <w:r w:rsidRPr="004F6DAA">
              <w:rPr>
                <w:noProof/>
                <w:sz w:val="20"/>
              </w:rPr>
              <w:t>-</w:t>
            </w:r>
          </w:p>
        </w:tc>
        <w:tc>
          <w:tcPr>
            <w:tcW w:w="868" w:type="dxa"/>
            <w:vAlign w:val="center"/>
          </w:tcPr>
          <w:p w14:paraId="6B17271F" w14:textId="77777777" w:rsidR="007F4C85" w:rsidRPr="004F6DAA" w:rsidRDefault="007F4C85" w:rsidP="00992B23">
            <w:pPr>
              <w:spacing w:before="20" w:after="20"/>
              <w:jc w:val="center"/>
              <w:rPr>
                <w:noProof/>
                <w:sz w:val="20"/>
              </w:rPr>
            </w:pPr>
            <w:r w:rsidRPr="004F6DAA">
              <w:rPr>
                <w:noProof/>
                <w:sz w:val="20"/>
              </w:rPr>
              <w:t>-</w:t>
            </w:r>
          </w:p>
        </w:tc>
        <w:tc>
          <w:tcPr>
            <w:tcW w:w="868" w:type="dxa"/>
            <w:vAlign w:val="center"/>
          </w:tcPr>
          <w:p w14:paraId="7244B051" w14:textId="77777777" w:rsidR="007F4C85" w:rsidRPr="004F6DAA" w:rsidRDefault="007F4C85" w:rsidP="00992B23">
            <w:pPr>
              <w:spacing w:before="20" w:after="20"/>
              <w:jc w:val="center"/>
              <w:rPr>
                <w:noProof/>
                <w:sz w:val="20"/>
              </w:rPr>
            </w:pPr>
            <w:r w:rsidRPr="004F6DAA">
              <w:rPr>
                <w:noProof/>
                <w:sz w:val="20"/>
              </w:rPr>
              <w:t>-</w:t>
            </w:r>
          </w:p>
        </w:tc>
        <w:tc>
          <w:tcPr>
            <w:tcW w:w="868" w:type="dxa"/>
            <w:vAlign w:val="center"/>
          </w:tcPr>
          <w:p w14:paraId="502D0E88" w14:textId="77777777" w:rsidR="007F4C85" w:rsidRPr="004F6DAA" w:rsidRDefault="007F4C85" w:rsidP="00992B23">
            <w:pPr>
              <w:spacing w:before="20" w:after="20"/>
              <w:jc w:val="center"/>
              <w:rPr>
                <w:noProof/>
                <w:sz w:val="20"/>
              </w:rPr>
            </w:pPr>
            <w:r w:rsidRPr="004F6DAA">
              <w:rPr>
                <w:noProof/>
                <w:sz w:val="20"/>
              </w:rPr>
              <w:t>-</w:t>
            </w:r>
          </w:p>
        </w:tc>
        <w:tc>
          <w:tcPr>
            <w:tcW w:w="868" w:type="dxa"/>
            <w:vAlign w:val="center"/>
          </w:tcPr>
          <w:p w14:paraId="6B936207" w14:textId="77777777" w:rsidR="007F4C85" w:rsidRPr="004F6DAA" w:rsidRDefault="007F4C85" w:rsidP="00992B23">
            <w:pPr>
              <w:spacing w:before="20" w:after="20"/>
              <w:jc w:val="center"/>
              <w:rPr>
                <w:noProof/>
                <w:sz w:val="20"/>
              </w:rPr>
            </w:pPr>
            <w:r w:rsidRPr="004F6DAA">
              <w:rPr>
                <w:noProof/>
                <w:sz w:val="20"/>
              </w:rPr>
              <w:t>-</w:t>
            </w:r>
          </w:p>
        </w:tc>
        <w:tc>
          <w:tcPr>
            <w:tcW w:w="868" w:type="dxa"/>
            <w:vAlign w:val="center"/>
          </w:tcPr>
          <w:p w14:paraId="10249298" w14:textId="77777777" w:rsidR="007F4C85" w:rsidRPr="004F6DAA" w:rsidRDefault="007F4C85" w:rsidP="00992B23">
            <w:pPr>
              <w:spacing w:before="20" w:after="20"/>
              <w:jc w:val="center"/>
              <w:rPr>
                <w:noProof/>
                <w:sz w:val="20"/>
              </w:rPr>
            </w:pPr>
            <w:r w:rsidRPr="004F6DAA">
              <w:rPr>
                <w:noProof/>
                <w:sz w:val="20"/>
              </w:rPr>
              <w:t>-</w:t>
            </w:r>
          </w:p>
        </w:tc>
        <w:tc>
          <w:tcPr>
            <w:tcW w:w="1777" w:type="dxa"/>
            <w:vAlign w:val="center"/>
          </w:tcPr>
          <w:p w14:paraId="661881FF" w14:textId="77777777" w:rsidR="007F4C85" w:rsidRPr="004F6DAA" w:rsidRDefault="007F4C85" w:rsidP="00992B23">
            <w:pPr>
              <w:spacing w:before="20" w:after="20"/>
              <w:jc w:val="right"/>
              <w:rPr>
                <w:b/>
                <w:noProof/>
                <w:sz w:val="20"/>
              </w:rPr>
            </w:pPr>
            <w:r w:rsidRPr="004F6DAA">
              <w:rPr>
                <w:b/>
                <w:noProof/>
                <w:sz w:val="20"/>
              </w:rPr>
              <w:t>-</w:t>
            </w:r>
          </w:p>
        </w:tc>
      </w:tr>
      <w:tr w:rsidR="007F4C85" w:rsidRPr="004F6DAA" w14:paraId="2B2FA7A8" w14:textId="77777777" w:rsidTr="00992B23">
        <w:tc>
          <w:tcPr>
            <w:tcW w:w="3960" w:type="dxa"/>
            <w:vAlign w:val="center"/>
          </w:tcPr>
          <w:p w14:paraId="11F34292" w14:textId="77777777" w:rsidR="007F4C85" w:rsidRPr="004F6DAA" w:rsidRDefault="007F4C85" w:rsidP="00992B23">
            <w:pPr>
              <w:jc w:val="center"/>
              <w:rPr>
                <w:b/>
                <w:noProof/>
              </w:rPr>
            </w:pPr>
            <w:r w:rsidRPr="004F6DAA">
              <w:rPr>
                <w:b/>
                <w:noProof/>
                <w:sz w:val="22"/>
              </w:rPr>
              <w:t>OGÓŁEM DG INTPA</w:t>
            </w:r>
          </w:p>
        </w:tc>
        <w:tc>
          <w:tcPr>
            <w:tcW w:w="2094" w:type="dxa"/>
            <w:gridSpan w:val="3"/>
            <w:vAlign w:val="center"/>
          </w:tcPr>
          <w:p w14:paraId="3C4D9BC7" w14:textId="77777777" w:rsidR="007F4C85" w:rsidRPr="004F6DAA" w:rsidRDefault="007F4C85" w:rsidP="00992B23">
            <w:pPr>
              <w:rPr>
                <w:noProof/>
                <w:sz w:val="14"/>
              </w:rPr>
            </w:pPr>
            <w:r w:rsidRPr="004F6DAA">
              <w:rPr>
                <w:noProof/>
                <w:sz w:val="18"/>
              </w:rPr>
              <w:t xml:space="preserve">Środki </w:t>
            </w:r>
          </w:p>
        </w:tc>
        <w:tc>
          <w:tcPr>
            <w:tcW w:w="868" w:type="dxa"/>
            <w:vAlign w:val="center"/>
          </w:tcPr>
          <w:p w14:paraId="085DF8BD" w14:textId="77777777" w:rsidR="007F4C85" w:rsidRPr="004F6DAA" w:rsidRDefault="007F4C85" w:rsidP="00992B23">
            <w:pPr>
              <w:spacing w:before="20" w:after="20"/>
              <w:jc w:val="center"/>
              <w:rPr>
                <w:noProof/>
                <w:sz w:val="20"/>
              </w:rPr>
            </w:pPr>
            <w:r w:rsidRPr="004F6DAA">
              <w:rPr>
                <w:noProof/>
                <w:sz w:val="20"/>
              </w:rPr>
              <w:t>-</w:t>
            </w:r>
          </w:p>
        </w:tc>
        <w:tc>
          <w:tcPr>
            <w:tcW w:w="868" w:type="dxa"/>
          </w:tcPr>
          <w:p w14:paraId="181C1D2A" w14:textId="77777777" w:rsidR="007F4C85" w:rsidRPr="004F6DAA" w:rsidRDefault="007F4C85" w:rsidP="00992B23">
            <w:pPr>
              <w:spacing w:before="20" w:after="20"/>
              <w:jc w:val="right"/>
              <w:rPr>
                <w:noProof/>
                <w:sz w:val="20"/>
              </w:rPr>
            </w:pPr>
            <w:r w:rsidRPr="004F6DAA">
              <w:rPr>
                <w:noProof/>
                <w:sz w:val="20"/>
              </w:rPr>
              <w:t>0,304</w:t>
            </w:r>
          </w:p>
        </w:tc>
        <w:tc>
          <w:tcPr>
            <w:tcW w:w="868" w:type="dxa"/>
          </w:tcPr>
          <w:p w14:paraId="09979812" w14:textId="77777777" w:rsidR="007F4C85" w:rsidRPr="004F6DAA" w:rsidRDefault="007F4C85" w:rsidP="00992B23">
            <w:pPr>
              <w:spacing w:before="20" w:after="20"/>
              <w:jc w:val="right"/>
              <w:rPr>
                <w:noProof/>
                <w:sz w:val="20"/>
              </w:rPr>
            </w:pPr>
            <w:r w:rsidRPr="004F6DAA">
              <w:rPr>
                <w:noProof/>
                <w:sz w:val="20"/>
              </w:rPr>
              <w:t>0,304</w:t>
            </w:r>
          </w:p>
        </w:tc>
        <w:tc>
          <w:tcPr>
            <w:tcW w:w="868" w:type="dxa"/>
          </w:tcPr>
          <w:p w14:paraId="17B1ACC7" w14:textId="77777777" w:rsidR="007F4C85" w:rsidRPr="004F6DAA" w:rsidRDefault="007F4C85" w:rsidP="00992B23">
            <w:pPr>
              <w:spacing w:before="20" w:after="20"/>
              <w:jc w:val="right"/>
              <w:rPr>
                <w:noProof/>
                <w:sz w:val="20"/>
              </w:rPr>
            </w:pPr>
            <w:r w:rsidRPr="004F6DAA">
              <w:rPr>
                <w:noProof/>
                <w:sz w:val="20"/>
              </w:rPr>
              <w:t>0,304</w:t>
            </w:r>
          </w:p>
        </w:tc>
        <w:tc>
          <w:tcPr>
            <w:tcW w:w="868" w:type="dxa"/>
          </w:tcPr>
          <w:p w14:paraId="163E17A7" w14:textId="77777777" w:rsidR="007F4C85" w:rsidRPr="004F6DAA" w:rsidRDefault="007F4C85" w:rsidP="00992B23">
            <w:pPr>
              <w:spacing w:before="20" w:after="20"/>
              <w:jc w:val="right"/>
              <w:rPr>
                <w:noProof/>
                <w:sz w:val="20"/>
              </w:rPr>
            </w:pPr>
            <w:r w:rsidRPr="004F6DAA">
              <w:rPr>
                <w:noProof/>
                <w:sz w:val="20"/>
              </w:rPr>
              <w:t>0,304</w:t>
            </w:r>
          </w:p>
        </w:tc>
        <w:tc>
          <w:tcPr>
            <w:tcW w:w="868" w:type="dxa"/>
          </w:tcPr>
          <w:p w14:paraId="671E0E79" w14:textId="77777777" w:rsidR="007F4C85" w:rsidRPr="004F6DAA" w:rsidRDefault="007F4C85" w:rsidP="00992B23">
            <w:pPr>
              <w:spacing w:before="20" w:after="20"/>
              <w:jc w:val="right"/>
              <w:rPr>
                <w:noProof/>
                <w:sz w:val="20"/>
              </w:rPr>
            </w:pPr>
            <w:r w:rsidRPr="004F6DAA">
              <w:rPr>
                <w:noProof/>
                <w:sz w:val="20"/>
              </w:rPr>
              <w:t>0,304</w:t>
            </w:r>
          </w:p>
        </w:tc>
        <w:tc>
          <w:tcPr>
            <w:tcW w:w="1777" w:type="dxa"/>
            <w:vAlign w:val="center"/>
          </w:tcPr>
          <w:p w14:paraId="071E29A1" w14:textId="77777777" w:rsidR="007F4C85" w:rsidRPr="004F6DAA" w:rsidRDefault="007F4C85" w:rsidP="00992B23">
            <w:pPr>
              <w:spacing w:before="20" w:after="20"/>
              <w:jc w:val="right"/>
              <w:rPr>
                <w:b/>
                <w:noProof/>
                <w:sz w:val="20"/>
              </w:rPr>
            </w:pPr>
            <w:r w:rsidRPr="004F6DAA">
              <w:rPr>
                <w:b/>
                <w:noProof/>
                <w:sz w:val="20"/>
              </w:rPr>
              <w:t>1,520</w:t>
            </w:r>
          </w:p>
        </w:tc>
      </w:tr>
    </w:tbl>
    <w:p w14:paraId="5E3FAB46" w14:textId="77777777" w:rsidR="00372D5D" w:rsidRPr="004F6DAA" w:rsidRDefault="00372D5D" w:rsidP="007F4C85">
      <w:pPr>
        <w:rPr>
          <w:noProof/>
        </w:rPr>
      </w:pPr>
    </w:p>
    <w:p w14:paraId="4B9A9510" w14:textId="77777777" w:rsidR="00372D5D" w:rsidRPr="004F6DAA" w:rsidRDefault="00372D5D">
      <w:pPr>
        <w:spacing w:before="0" w:after="200" w:line="276" w:lineRule="auto"/>
        <w:jc w:val="left"/>
        <w:rPr>
          <w:noProof/>
        </w:rPr>
      </w:pPr>
      <w:r w:rsidRPr="004F6DAA">
        <w:rPr>
          <w:noProof/>
        </w:rPr>
        <w:br w:type="page"/>
      </w:r>
    </w:p>
    <w:p w14:paraId="04557197" w14:textId="77777777" w:rsidR="007F4C85" w:rsidRPr="004F6DAA" w:rsidRDefault="007F4C85" w:rsidP="007F4C85">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534"/>
        <w:gridCol w:w="868"/>
        <w:gridCol w:w="868"/>
        <w:gridCol w:w="868"/>
        <w:gridCol w:w="868"/>
        <w:gridCol w:w="868"/>
        <w:gridCol w:w="868"/>
        <w:gridCol w:w="1777"/>
      </w:tblGrid>
      <w:tr w:rsidR="007F4C85" w:rsidRPr="004F6DAA" w14:paraId="0706E35C" w14:textId="77777777" w:rsidTr="00992B23">
        <w:tc>
          <w:tcPr>
            <w:tcW w:w="3960" w:type="dxa"/>
            <w:tcBorders>
              <w:top w:val="nil"/>
              <w:left w:val="nil"/>
              <w:right w:val="nil"/>
            </w:tcBorders>
            <w:vAlign w:val="center"/>
          </w:tcPr>
          <w:p w14:paraId="5CF35B1C" w14:textId="77777777" w:rsidR="007F4C85" w:rsidRPr="004F6DAA" w:rsidRDefault="007F4C85" w:rsidP="00992B23">
            <w:pPr>
              <w:jc w:val="center"/>
              <w:rPr>
                <w:noProof/>
              </w:rPr>
            </w:pPr>
          </w:p>
        </w:tc>
        <w:tc>
          <w:tcPr>
            <w:tcW w:w="1560" w:type="dxa"/>
            <w:gridSpan w:val="2"/>
            <w:tcBorders>
              <w:top w:val="nil"/>
              <w:left w:val="nil"/>
              <w:right w:val="nil"/>
            </w:tcBorders>
          </w:tcPr>
          <w:p w14:paraId="7EFB3648" w14:textId="77777777" w:rsidR="007F4C85" w:rsidRPr="004F6DAA" w:rsidRDefault="007F4C85" w:rsidP="00992B23">
            <w:pPr>
              <w:rPr>
                <w:noProof/>
                <w:sz w:val="20"/>
              </w:rPr>
            </w:pPr>
          </w:p>
        </w:tc>
        <w:tc>
          <w:tcPr>
            <w:tcW w:w="534" w:type="dxa"/>
            <w:tcBorders>
              <w:top w:val="nil"/>
              <w:left w:val="nil"/>
            </w:tcBorders>
          </w:tcPr>
          <w:p w14:paraId="065E64B1" w14:textId="77777777" w:rsidR="007F4C85" w:rsidRPr="004F6DAA" w:rsidRDefault="007F4C85" w:rsidP="00992B23">
            <w:pPr>
              <w:jc w:val="center"/>
              <w:rPr>
                <w:noProof/>
                <w:sz w:val="20"/>
              </w:rPr>
            </w:pPr>
          </w:p>
        </w:tc>
        <w:tc>
          <w:tcPr>
            <w:tcW w:w="868" w:type="dxa"/>
            <w:vAlign w:val="center"/>
          </w:tcPr>
          <w:p w14:paraId="6E498994" w14:textId="77777777" w:rsidR="000557B7" w:rsidRPr="004F6DAA" w:rsidRDefault="007F4C85" w:rsidP="000557B7">
            <w:pPr>
              <w:contextualSpacing/>
              <w:jc w:val="center"/>
              <w:rPr>
                <w:noProof/>
                <w:sz w:val="20"/>
              </w:rPr>
            </w:pPr>
            <w:r w:rsidRPr="004F6DAA">
              <w:rPr>
                <w:noProof/>
                <w:sz w:val="20"/>
              </w:rPr>
              <w:t>Rok</w:t>
            </w:r>
          </w:p>
          <w:p w14:paraId="162FE436" w14:textId="77777777" w:rsidR="007F4C85" w:rsidRPr="004F6DAA" w:rsidRDefault="007F4C85" w:rsidP="000557B7">
            <w:pPr>
              <w:contextualSpacing/>
              <w:jc w:val="center"/>
              <w:rPr>
                <w:noProof/>
                <w:sz w:val="20"/>
              </w:rPr>
            </w:pPr>
            <w:r w:rsidRPr="004F6DAA">
              <w:rPr>
                <w:b/>
                <w:noProof/>
                <w:sz w:val="20"/>
              </w:rPr>
              <w:t>2022</w:t>
            </w:r>
          </w:p>
        </w:tc>
        <w:tc>
          <w:tcPr>
            <w:tcW w:w="868" w:type="dxa"/>
            <w:vAlign w:val="center"/>
          </w:tcPr>
          <w:p w14:paraId="46529F65" w14:textId="77777777" w:rsidR="000557B7" w:rsidRPr="004F6DAA" w:rsidRDefault="007F4C85" w:rsidP="000557B7">
            <w:pPr>
              <w:contextualSpacing/>
              <w:jc w:val="center"/>
              <w:rPr>
                <w:noProof/>
                <w:sz w:val="20"/>
              </w:rPr>
            </w:pPr>
            <w:r w:rsidRPr="004F6DAA">
              <w:rPr>
                <w:noProof/>
                <w:sz w:val="20"/>
              </w:rPr>
              <w:t>Rok</w:t>
            </w:r>
          </w:p>
          <w:p w14:paraId="6AB9ACDF" w14:textId="77777777" w:rsidR="007F4C85" w:rsidRPr="004F6DAA" w:rsidRDefault="007F4C85" w:rsidP="000557B7">
            <w:pPr>
              <w:contextualSpacing/>
              <w:jc w:val="center"/>
              <w:rPr>
                <w:noProof/>
                <w:sz w:val="20"/>
              </w:rPr>
            </w:pPr>
            <w:r w:rsidRPr="004F6DAA">
              <w:rPr>
                <w:b/>
                <w:noProof/>
                <w:sz w:val="20"/>
              </w:rPr>
              <w:t>2023</w:t>
            </w:r>
          </w:p>
        </w:tc>
        <w:tc>
          <w:tcPr>
            <w:tcW w:w="868" w:type="dxa"/>
            <w:vAlign w:val="center"/>
          </w:tcPr>
          <w:p w14:paraId="7029D647" w14:textId="77777777" w:rsidR="000557B7" w:rsidRPr="004F6DAA" w:rsidRDefault="007F4C85" w:rsidP="000557B7">
            <w:pPr>
              <w:contextualSpacing/>
              <w:jc w:val="center"/>
              <w:rPr>
                <w:noProof/>
                <w:sz w:val="20"/>
              </w:rPr>
            </w:pPr>
            <w:r w:rsidRPr="004F6DAA">
              <w:rPr>
                <w:noProof/>
                <w:sz w:val="20"/>
              </w:rPr>
              <w:t>Rok</w:t>
            </w:r>
          </w:p>
          <w:p w14:paraId="100E57E2" w14:textId="77777777" w:rsidR="007F4C85" w:rsidRPr="004F6DAA" w:rsidRDefault="007F4C85" w:rsidP="000557B7">
            <w:pPr>
              <w:contextualSpacing/>
              <w:jc w:val="center"/>
              <w:rPr>
                <w:noProof/>
                <w:sz w:val="20"/>
              </w:rPr>
            </w:pPr>
            <w:r w:rsidRPr="004F6DAA">
              <w:rPr>
                <w:b/>
                <w:noProof/>
                <w:sz w:val="20"/>
              </w:rPr>
              <w:t>2024</w:t>
            </w:r>
          </w:p>
        </w:tc>
        <w:tc>
          <w:tcPr>
            <w:tcW w:w="868" w:type="dxa"/>
            <w:vAlign w:val="center"/>
          </w:tcPr>
          <w:p w14:paraId="114E36C5" w14:textId="77777777" w:rsidR="000557B7" w:rsidRPr="004F6DAA" w:rsidRDefault="007F4C85" w:rsidP="000557B7">
            <w:pPr>
              <w:contextualSpacing/>
              <w:jc w:val="center"/>
              <w:rPr>
                <w:noProof/>
                <w:sz w:val="20"/>
              </w:rPr>
            </w:pPr>
            <w:r w:rsidRPr="004F6DAA">
              <w:rPr>
                <w:noProof/>
                <w:sz w:val="20"/>
              </w:rPr>
              <w:t>Rok</w:t>
            </w:r>
          </w:p>
          <w:p w14:paraId="0097E9DA" w14:textId="77777777" w:rsidR="007F4C85" w:rsidRPr="004F6DAA" w:rsidRDefault="007F4C85" w:rsidP="000557B7">
            <w:pPr>
              <w:contextualSpacing/>
              <w:jc w:val="center"/>
              <w:rPr>
                <w:noProof/>
                <w:sz w:val="20"/>
              </w:rPr>
            </w:pPr>
            <w:r w:rsidRPr="004F6DAA">
              <w:rPr>
                <w:b/>
                <w:noProof/>
                <w:sz w:val="20"/>
              </w:rPr>
              <w:t>2025</w:t>
            </w:r>
          </w:p>
        </w:tc>
        <w:tc>
          <w:tcPr>
            <w:tcW w:w="868" w:type="dxa"/>
            <w:vAlign w:val="center"/>
          </w:tcPr>
          <w:p w14:paraId="5EF31235" w14:textId="77777777" w:rsidR="000557B7" w:rsidRPr="004F6DAA" w:rsidRDefault="007F4C85" w:rsidP="000557B7">
            <w:pPr>
              <w:contextualSpacing/>
              <w:jc w:val="center"/>
              <w:rPr>
                <w:noProof/>
                <w:sz w:val="20"/>
              </w:rPr>
            </w:pPr>
            <w:r w:rsidRPr="004F6DAA">
              <w:rPr>
                <w:noProof/>
                <w:sz w:val="20"/>
              </w:rPr>
              <w:t>Rok</w:t>
            </w:r>
          </w:p>
          <w:p w14:paraId="2E0E5612" w14:textId="77777777" w:rsidR="007F4C85" w:rsidRPr="004F6DAA" w:rsidRDefault="007F4C85" w:rsidP="000557B7">
            <w:pPr>
              <w:contextualSpacing/>
              <w:jc w:val="center"/>
              <w:rPr>
                <w:noProof/>
                <w:sz w:val="20"/>
              </w:rPr>
            </w:pPr>
            <w:r w:rsidRPr="004F6DAA">
              <w:rPr>
                <w:b/>
                <w:noProof/>
                <w:sz w:val="20"/>
              </w:rPr>
              <w:t>2026</w:t>
            </w:r>
          </w:p>
        </w:tc>
        <w:tc>
          <w:tcPr>
            <w:tcW w:w="868" w:type="dxa"/>
            <w:vAlign w:val="center"/>
          </w:tcPr>
          <w:p w14:paraId="7708B52C" w14:textId="77777777" w:rsidR="000557B7" w:rsidRPr="004F6DAA" w:rsidRDefault="007F4C85" w:rsidP="000557B7">
            <w:pPr>
              <w:contextualSpacing/>
              <w:jc w:val="center"/>
              <w:rPr>
                <w:noProof/>
                <w:sz w:val="20"/>
              </w:rPr>
            </w:pPr>
            <w:r w:rsidRPr="004F6DAA">
              <w:rPr>
                <w:noProof/>
                <w:sz w:val="20"/>
              </w:rPr>
              <w:t>Rok</w:t>
            </w:r>
          </w:p>
          <w:p w14:paraId="241B4183" w14:textId="77777777" w:rsidR="007F4C85" w:rsidRPr="004F6DAA" w:rsidRDefault="007F4C85" w:rsidP="00ED2B63">
            <w:pPr>
              <w:contextualSpacing/>
              <w:jc w:val="center"/>
              <w:rPr>
                <w:b/>
                <w:noProof/>
                <w:sz w:val="18"/>
              </w:rPr>
            </w:pPr>
            <w:r w:rsidRPr="004F6DAA">
              <w:rPr>
                <w:b/>
                <w:noProof/>
                <w:sz w:val="20"/>
              </w:rPr>
              <w:t>2027</w:t>
            </w:r>
          </w:p>
        </w:tc>
        <w:tc>
          <w:tcPr>
            <w:tcW w:w="1777" w:type="dxa"/>
            <w:vAlign w:val="center"/>
          </w:tcPr>
          <w:p w14:paraId="44AD010D" w14:textId="77777777" w:rsidR="007F4C85" w:rsidRPr="004F6DAA" w:rsidRDefault="007F4C85" w:rsidP="00992B23">
            <w:pPr>
              <w:contextualSpacing/>
              <w:jc w:val="center"/>
              <w:rPr>
                <w:b/>
                <w:noProof/>
                <w:sz w:val="20"/>
              </w:rPr>
            </w:pPr>
            <w:r w:rsidRPr="004F6DAA">
              <w:rPr>
                <w:b/>
                <w:noProof/>
                <w:sz w:val="20"/>
              </w:rPr>
              <w:t>OGÓŁEM</w:t>
            </w:r>
          </w:p>
          <w:p w14:paraId="3C0E2DFC" w14:textId="77777777" w:rsidR="007F4C85" w:rsidRPr="004F6DAA" w:rsidRDefault="007F4C85" w:rsidP="00992B23">
            <w:pPr>
              <w:contextualSpacing/>
              <w:jc w:val="center"/>
              <w:rPr>
                <w:b/>
                <w:noProof/>
                <w:sz w:val="20"/>
              </w:rPr>
            </w:pPr>
            <w:r w:rsidRPr="004F6DAA">
              <w:rPr>
                <w:b/>
                <w:noProof/>
                <w:sz w:val="20"/>
              </w:rPr>
              <w:t>(2022–2027)</w:t>
            </w:r>
          </w:p>
        </w:tc>
      </w:tr>
      <w:tr w:rsidR="007F4C85" w:rsidRPr="004F6DAA" w14:paraId="5BAED008" w14:textId="77777777" w:rsidTr="00992B23">
        <w:trPr>
          <w:gridAfter w:val="9"/>
          <w:wAfter w:w="8211" w:type="dxa"/>
        </w:trPr>
        <w:tc>
          <w:tcPr>
            <w:tcW w:w="3960" w:type="dxa"/>
            <w:vAlign w:val="center"/>
          </w:tcPr>
          <w:p w14:paraId="2E4CE67D" w14:textId="77777777" w:rsidR="007F4C85" w:rsidRPr="004F6DAA" w:rsidRDefault="007F4C85" w:rsidP="00992B23">
            <w:pPr>
              <w:spacing w:before="60" w:after="60"/>
              <w:jc w:val="center"/>
              <w:rPr>
                <w:noProof/>
              </w:rPr>
            </w:pPr>
            <w:r w:rsidRPr="004F6DAA">
              <w:rPr>
                <w:noProof/>
                <w:sz w:val="22"/>
              </w:rPr>
              <w:t xml:space="preserve">Dyrekcja Generalna: </w:t>
            </w:r>
            <w:r w:rsidRPr="004F6DAA">
              <w:rPr>
                <w:b/>
                <w:noProof/>
                <w:sz w:val="22"/>
              </w:rPr>
              <w:t>DG TAXUD</w:t>
            </w:r>
          </w:p>
        </w:tc>
        <w:tc>
          <w:tcPr>
            <w:tcW w:w="868" w:type="dxa"/>
          </w:tcPr>
          <w:p w14:paraId="57330760" w14:textId="77777777" w:rsidR="007F4C85" w:rsidRPr="004F6DAA" w:rsidRDefault="007F4C85" w:rsidP="00992B23">
            <w:pPr>
              <w:spacing w:before="60" w:after="60"/>
              <w:jc w:val="center"/>
              <w:rPr>
                <w:noProof/>
                <w:sz w:val="22"/>
              </w:rPr>
            </w:pPr>
          </w:p>
        </w:tc>
      </w:tr>
      <w:tr w:rsidR="007F4C85" w:rsidRPr="004F6DAA" w14:paraId="627529CD" w14:textId="77777777" w:rsidTr="00992B23">
        <w:trPr>
          <w:trHeight w:val="313"/>
        </w:trPr>
        <w:tc>
          <w:tcPr>
            <w:tcW w:w="6054" w:type="dxa"/>
            <w:gridSpan w:val="4"/>
            <w:vAlign w:val="center"/>
          </w:tcPr>
          <w:p w14:paraId="5C6F9ACC" w14:textId="77777777" w:rsidR="007F4C85" w:rsidRPr="004F6DAA" w:rsidRDefault="007F4C85" w:rsidP="00992B23">
            <w:pPr>
              <w:spacing w:before="20" w:after="20"/>
              <w:rPr>
                <w:noProof/>
              </w:rPr>
            </w:pPr>
            <w:r w:rsidRPr="004F6DAA">
              <w:rPr>
                <w:noProof/>
                <w:sz w:val="22"/>
              </w:rPr>
              <w:sym w:font="Wingdings" w:char="F09F"/>
            </w:r>
            <w:r w:rsidRPr="004F6DAA">
              <w:rPr>
                <w:noProof/>
              </w:rPr>
              <w:t xml:space="preserve"> Zasoby ludzkie</w:t>
            </w:r>
            <w:r w:rsidRPr="004F6DAA">
              <w:rPr>
                <w:noProof/>
                <w:sz w:val="22"/>
              </w:rPr>
              <w:t xml:space="preserve"> </w:t>
            </w:r>
          </w:p>
        </w:tc>
        <w:tc>
          <w:tcPr>
            <w:tcW w:w="868" w:type="dxa"/>
            <w:vAlign w:val="center"/>
          </w:tcPr>
          <w:p w14:paraId="4092606C" w14:textId="77777777" w:rsidR="007F4C85" w:rsidRPr="004F6DAA" w:rsidRDefault="007F4C85" w:rsidP="00992B23">
            <w:pPr>
              <w:spacing w:before="20" w:after="20"/>
              <w:jc w:val="center"/>
              <w:rPr>
                <w:noProof/>
                <w:sz w:val="20"/>
              </w:rPr>
            </w:pPr>
            <w:r w:rsidRPr="004F6DAA">
              <w:rPr>
                <w:noProof/>
                <w:sz w:val="20"/>
              </w:rPr>
              <w:t>-</w:t>
            </w:r>
          </w:p>
        </w:tc>
        <w:tc>
          <w:tcPr>
            <w:tcW w:w="868" w:type="dxa"/>
            <w:vAlign w:val="center"/>
          </w:tcPr>
          <w:p w14:paraId="4A89E0AE" w14:textId="77777777" w:rsidR="007F4C85" w:rsidRPr="004F6DAA" w:rsidRDefault="007F4C85" w:rsidP="00932CDC">
            <w:pPr>
              <w:spacing w:before="20" w:after="20"/>
              <w:jc w:val="right"/>
              <w:rPr>
                <w:noProof/>
                <w:sz w:val="20"/>
              </w:rPr>
            </w:pPr>
            <w:r w:rsidRPr="004F6DAA">
              <w:rPr>
                <w:noProof/>
                <w:sz w:val="20"/>
              </w:rPr>
              <w:t>0,152</w:t>
            </w:r>
          </w:p>
        </w:tc>
        <w:tc>
          <w:tcPr>
            <w:tcW w:w="868" w:type="dxa"/>
          </w:tcPr>
          <w:p w14:paraId="267D5E10" w14:textId="77777777" w:rsidR="007F4C85" w:rsidRPr="004F6DAA" w:rsidRDefault="007F4C85" w:rsidP="00932CDC">
            <w:pPr>
              <w:spacing w:before="20" w:after="20"/>
              <w:jc w:val="right"/>
              <w:rPr>
                <w:noProof/>
                <w:sz w:val="20"/>
              </w:rPr>
            </w:pPr>
            <w:r w:rsidRPr="004F6DAA">
              <w:rPr>
                <w:noProof/>
                <w:sz w:val="20"/>
              </w:rPr>
              <w:t>0,152</w:t>
            </w:r>
          </w:p>
        </w:tc>
        <w:tc>
          <w:tcPr>
            <w:tcW w:w="868" w:type="dxa"/>
          </w:tcPr>
          <w:p w14:paraId="328E400A" w14:textId="77777777" w:rsidR="007F4C85" w:rsidRPr="004F6DAA" w:rsidRDefault="007F4C85" w:rsidP="00932CDC">
            <w:pPr>
              <w:spacing w:before="20" w:after="20"/>
              <w:jc w:val="right"/>
              <w:rPr>
                <w:noProof/>
                <w:sz w:val="20"/>
              </w:rPr>
            </w:pPr>
            <w:r w:rsidRPr="004F6DAA">
              <w:rPr>
                <w:noProof/>
                <w:sz w:val="20"/>
              </w:rPr>
              <w:t>0. 52</w:t>
            </w:r>
          </w:p>
        </w:tc>
        <w:tc>
          <w:tcPr>
            <w:tcW w:w="868" w:type="dxa"/>
          </w:tcPr>
          <w:p w14:paraId="163B8A44" w14:textId="77777777" w:rsidR="007F4C85" w:rsidRPr="004F6DAA" w:rsidRDefault="007F4C85" w:rsidP="00932CDC">
            <w:pPr>
              <w:spacing w:before="20" w:after="20"/>
              <w:jc w:val="right"/>
              <w:rPr>
                <w:noProof/>
                <w:sz w:val="20"/>
              </w:rPr>
            </w:pPr>
            <w:r w:rsidRPr="004F6DAA">
              <w:rPr>
                <w:noProof/>
                <w:sz w:val="20"/>
              </w:rPr>
              <w:t>0,152</w:t>
            </w:r>
          </w:p>
        </w:tc>
        <w:tc>
          <w:tcPr>
            <w:tcW w:w="868" w:type="dxa"/>
          </w:tcPr>
          <w:p w14:paraId="053402E3" w14:textId="77777777" w:rsidR="007F4C85" w:rsidRPr="004F6DAA" w:rsidRDefault="007F4C85" w:rsidP="00992B23">
            <w:pPr>
              <w:spacing w:before="20" w:after="20"/>
              <w:jc w:val="right"/>
              <w:rPr>
                <w:noProof/>
                <w:sz w:val="20"/>
              </w:rPr>
            </w:pPr>
            <w:r w:rsidRPr="004F6DAA">
              <w:rPr>
                <w:noProof/>
                <w:sz w:val="20"/>
              </w:rPr>
              <w:t>0,152</w:t>
            </w:r>
          </w:p>
        </w:tc>
        <w:tc>
          <w:tcPr>
            <w:tcW w:w="1777" w:type="dxa"/>
            <w:vAlign w:val="center"/>
          </w:tcPr>
          <w:p w14:paraId="375F6A13" w14:textId="77777777" w:rsidR="007F4C85" w:rsidRPr="004F6DAA" w:rsidRDefault="007F4C85" w:rsidP="00932CDC">
            <w:pPr>
              <w:spacing w:before="20" w:after="20"/>
              <w:jc w:val="right"/>
              <w:rPr>
                <w:b/>
                <w:noProof/>
                <w:sz w:val="20"/>
              </w:rPr>
            </w:pPr>
            <w:r w:rsidRPr="004F6DAA">
              <w:rPr>
                <w:b/>
                <w:noProof/>
                <w:sz w:val="20"/>
              </w:rPr>
              <w:t>0,760</w:t>
            </w:r>
          </w:p>
        </w:tc>
      </w:tr>
      <w:tr w:rsidR="007F4C85" w:rsidRPr="004F6DAA" w14:paraId="05F9480B" w14:textId="77777777" w:rsidTr="00992B23">
        <w:trPr>
          <w:trHeight w:val="351"/>
        </w:trPr>
        <w:tc>
          <w:tcPr>
            <w:tcW w:w="6054" w:type="dxa"/>
            <w:gridSpan w:val="4"/>
            <w:vAlign w:val="center"/>
          </w:tcPr>
          <w:p w14:paraId="43D18194" w14:textId="77777777" w:rsidR="007F4C85" w:rsidRPr="004F6DAA" w:rsidRDefault="007F4C85" w:rsidP="00992B23">
            <w:pPr>
              <w:spacing w:before="20" w:after="20"/>
              <w:rPr>
                <w:noProof/>
              </w:rPr>
            </w:pPr>
            <w:r w:rsidRPr="004F6DAA">
              <w:rPr>
                <w:noProof/>
                <w:sz w:val="22"/>
              </w:rPr>
              <w:sym w:font="Wingdings" w:char="F09F"/>
            </w:r>
            <w:r w:rsidRPr="004F6DAA">
              <w:rPr>
                <w:noProof/>
                <w:sz w:val="22"/>
              </w:rPr>
              <w:t xml:space="preserve"> Pozostałe wydatki administracyjne </w:t>
            </w:r>
          </w:p>
        </w:tc>
        <w:tc>
          <w:tcPr>
            <w:tcW w:w="868" w:type="dxa"/>
            <w:vAlign w:val="center"/>
          </w:tcPr>
          <w:p w14:paraId="5764D804" w14:textId="77777777" w:rsidR="007F4C85" w:rsidRPr="004F6DAA" w:rsidRDefault="007F4C85" w:rsidP="00992B23">
            <w:pPr>
              <w:spacing w:before="20" w:after="20"/>
              <w:jc w:val="center"/>
              <w:rPr>
                <w:noProof/>
                <w:sz w:val="20"/>
              </w:rPr>
            </w:pPr>
            <w:r w:rsidRPr="004F6DAA">
              <w:rPr>
                <w:noProof/>
                <w:sz w:val="20"/>
              </w:rPr>
              <w:t>-</w:t>
            </w:r>
          </w:p>
        </w:tc>
        <w:tc>
          <w:tcPr>
            <w:tcW w:w="868" w:type="dxa"/>
            <w:vAlign w:val="center"/>
          </w:tcPr>
          <w:p w14:paraId="52BFF5B5" w14:textId="77777777" w:rsidR="007F4C85" w:rsidRPr="004F6DAA" w:rsidRDefault="007F4C85" w:rsidP="00992B23">
            <w:pPr>
              <w:spacing w:before="20" w:after="20"/>
              <w:jc w:val="right"/>
              <w:rPr>
                <w:noProof/>
                <w:sz w:val="20"/>
              </w:rPr>
            </w:pPr>
            <w:r w:rsidRPr="004F6DAA">
              <w:rPr>
                <w:noProof/>
                <w:sz w:val="20"/>
              </w:rPr>
              <w:t>-</w:t>
            </w:r>
          </w:p>
        </w:tc>
        <w:tc>
          <w:tcPr>
            <w:tcW w:w="868" w:type="dxa"/>
            <w:vAlign w:val="center"/>
          </w:tcPr>
          <w:p w14:paraId="2941FBF1" w14:textId="77777777" w:rsidR="007F4C85" w:rsidRPr="004F6DAA" w:rsidRDefault="007F4C85" w:rsidP="00992B23">
            <w:pPr>
              <w:spacing w:before="20" w:after="20"/>
              <w:jc w:val="right"/>
              <w:rPr>
                <w:noProof/>
                <w:sz w:val="20"/>
              </w:rPr>
            </w:pPr>
            <w:r w:rsidRPr="004F6DAA">
              <w:rPr>
                <w:noProof/>
                <w:sz w:val="20"/>
              </w:rPr>
              <w:t>-</w:t>
            </w:r>
          </w:p>
        </w:tc>
        <w:tc>
          <w:tcPr>
            <w:tcW w:w="868" w:type="dxa"/>
            <w:vAlign w:val="center"/>
          </w:tcPr>
          <w:p w14:paraId="636B2890" w14:textId="77777777" w:rsidR="007F4C85" w:rsidRPr="004F6DAA" w:rsidRDefault="007F4C85" w:rsidP="00992B23">
            <w:pPr>
              <w:spacing w:before="20" w:after="20"/>
              <w:jc w:val="right"/>
              <w:rPr>
                <w:noProof/>
                <w:sz w:val="20"/>
              </w:rPr>
            </w:pPr>
            <w:r w:rsidRPr="004F6DAA">
              <w:rPr>
                <w:noProof/>
                <w:sz w:val="20"/>
              </w:rPr>
              <w:t>-</w:t>
            </w:r>
          </w:p>
        </w:tc>
        <w:tc>
          <w:tcPr>
            <w:tcW w:w="868" w:type="dxa"/>
            <w:vAlign w:val="center"/>
          </w:tcPr>
          <w:p w14:paraId="20FFF840" w14:textId="77777777" w:rsidR="007F4C85" w:rsidRPr="004F6DAA" w:rsidRDefault="007F4C85" w:rsidP="00992B23">
            <w:pPr>
              <w:spacing w:before="20" w:after="20"/>
              <w:jc w:val="right"/>
              <w:rPr>
                <w:noProof/>
                <w:sz w:val="20"/>
              </w:rPr>
            </w:pPr>
            <w:r w:rsidRPr="004F6DAA">
              <w:rPr>
                <w:noProof/>
                <w:sz w:val="20"/>
              </w:rPr>
              <w:t>-</w:t>
            </w:r>
          </w:p>
        </w:tc>
        <w:tc>
          <w:tcPr>
            <w:tcW w:w="868" w:type="dxa"/>
            <w:vAlign w:val="center"/>
          </w:tcPr>
          <w:p w14:paraId="16E38439" w14:textId="77777777" w:rsidR="007F4C85" w:rsidRPr="004F6DAA" w:rsidRDefault="007F4C85" w:rsidP="00992B23">
            <w:pPr>
              <w:spacing w:before="20" w:after="20"/>
              <w:jc w:val="right"/>
              <w:rPr>
                <w:noProof/>
                <w:sz w:val="20"/>
              </w:rPr>
            </w:pPr>
            <w:r w:rsidRPr="004F6DAA">
              <w:rPr>
                <w:noProof/>
                <w:sz w:val="20"/>
              </w:rPr>
              <w:t>-</w:t>
            </w:r>
          </w:p>
        </w:tc>
        <w:tc>
          <w:tcPr>
            <w:tcW w:w="1777" w:type="dxa"/>
            <w:vAlign w:val="center"/>
          </w:tcPr>
          <w:p w14:paraId="3154316F" w14:textId="77777777" w:rsidR="007F4C85" w:rsidRPr="004F6DAA" w:rsidRDefault="007F4C85" w:rsidP="00992B23">
            <w:pPr>
              <w:spacing w:before="20" w:after="20"/>
              <w:jc w:val="right"/>
              <w:rPr>
                <w:b/>
                <w:noProof/>
                <w:sz w:val="20"/>
              </w:rPr>
            </w:pPr>
            <w:r w:rsidRPr="004F6DAA">
              <w:rPr>
                <w:noProof/>
                <w:sz w:val="20"/>
              </w:rPr>
              <w:t>-</w:t>
            </w:r>
          </w:p>
        </w:tc>
      </w:tr>
      <w:tr w:rsidR="007F4C85" w:rsidRPr="004F6DAA" w14:paraId="1B42F3F9" w14:textId="77777777" w:rsidTr="00992B23">
        <w:tc>
          <w:tcPr>
            <w:tcW w:w="3960" w:type="dxa"/>
            <w:vAlign w:val="center"/>
          </w:tcPr>
          <w:p w14:paraId="474D83DF" w14:textId="77777777" w:rsidR="007F4C85" w:rsidRPr="004F6DAA" w:rsidRDefault="007F4C85" w:rsidP="00992B23">
            <w:pPr>
              <w:jc w:val="center"/>
              <w:rPr>
                <w:b/>
                <w:noProof/>
              </w:rPr>
            </w:pPr>
            <w:r w:rsidRPr="004F6DAA">
              <w:rPr>
                <w:b/>
                <w:noProof/>
                <w:sz w:val="22"/>
              </w:rPr>
              <w:t>OGÓŁEM DG TAXUD</w:t>
            </w:r>
          </w:p>
        </w:tc>
        <w:tc>
          <w:tcPr>
            <w:tcW w:w="2094" w:type="dxa"/>
            <w:gridSpan w:val="3"/>
            <w:vAlign w:val="center"/>
          </w:tcPr>
          <w:p w14:paraId="03C8CC7F" w14:textId="77777777" w:rsidR="007F4C85" w:rsidRPr="004F6DAA" w:rsidRDefault="007F4C85" w:rsidP="00992B23">
            <w:pPr>
              <w:rPr>
                <w:noProof/>
                <w:sz w:val="14"/>
              </w:rPr>
            </w:pPr>
            <w:r w:rsidRPr="004F6DAA">
              <w:rPr>
                <w:noProof/>
                <w:sz w:val="18"/>
              </w:rPr>
              <w:t xml:space="preserve">Środki </w:t>
            </w:r>
          </w:p>
        </w:tc>
        <w:tc>
          <w:tcPr>
            <w:tcW w:w="868" w:type="dxa"/>
            <w:vAlign w:val="center"/>
          </w:tcPr>
          <w:p w14:paraId="4959C661" w14:textId="77777777" w:rsidR="007F4C85" w:rsidRPr="004F6DAA" w:rsidRDefault="007F4C85" w:rsidP="00992B23">
            <w:pPr>
              <w:spacing w:before="20" w:after="20"/>
              <w:jc w:val="center"/>
              <w:rPr>
                <w:noProof/>
                <w:sz w:val="20"/>
              </w:rPr>
            </w:pPr>
            <w:r w:rsidRPr="004F6DAA">
              <w:rPr>
                <w:noProof/>
                <w:sz w:val="20"/>
              </w:rPr>
              <w:t>-</w:t>
            </w:r>
          </w:p>
        </w:tc>
        <w:tc>
          <w:tcPr>
            <w:tcW w:w="868" w:type="dxa"/>
          </w:tcPr>
          <w:p w14:paraId="141C5174" w14:textId="77777777" w:rsidR="007F4C85" w:rsidRPr="004F6DAA" w:rsidRDefault="007F4C85" w:rsidP="00992B23">
            <w:pPr>
              <w:spacing w:before="60" w:after="60"/>
              <w:jc w:val="right"/>
              <w:rPr>
                <w:noProof/>
                <w:sz w:val="20"/>
              </w:rPr>
            </w:pPr>
            <w:r w:rsidRPr="004F6DAA">
              <w:rPr>
                <w:noProof/>
                <w:sz w:val="20"/>
              </w:rPr>
              <w:t>0,152</w:t>
            </w:r>
          </w:p>
        </w:tc>
        <w:tc>
          <w:tcPr>
            <w:tcW w:w="868" w:type="dxa"/>
          </w:tcPr>
          <w:p w14:paraId="1D6D9D4B" w14:textId="77777777" w:rsidR="007F4C85" w:rsidRPr="004F6DAA" w:rsidRDefault="007F4C85" w:rsidP="00932CDC">
            <w:pPr>
              <w:spacing w:before="20" w:after="20"/>
              <w:jc w:val="right"/>
              <w:rPr>
                <w:noProof/>
                <w:sz w:val="20"/>
              </w:rPr>
            </w:pPr>
            <w:r w:rsidRPr="004F6DAA">
              <w:rPr>
                <w:noProof/>
                <w:sz w:val="20"/>
              </w:rPr>
              <w:t>0,152</w:t>
            </w:r>
          </w:p>
        </w:tc>
        <w:tc>
          <w:tcPr>
            <w:tcW w:w="868" w:type="dxa"/>
          </w:tcPr>
          <w:p w14:paraId="11380B09" w14:textId="77777777" w:rsidR="007F4C85" w:rsidRPr="004F6DAA" w:rsidRDefault="007F4C85" w:rsidP="00932CDC">
            <w:pPr>
              <w:spacing w:before="20" w:after="20"/>
              <w:jc w:val="right"/>
              <w:rPr>
                <w:noProof/>
                <w:sz w:val="20"/>
              </w:rPr>
            </w:pPr>
            <w:r w:rsidRPr="004F6DAA">
              <w:rPr>
                <w:noProof/>
                <w:sz w:val="20"/>
              </w:rPr>
              <w:t>0,152</w:t>
            </w:r>
          </w:p>
        </w:tc>
        <w:tc>
          <w:tcPr>
            <w:tcW w:w="868" w:type="dxa"/>
          </w:tcPr>
          <w:p w14:paraId="2E0C0202" w14:textId="77777777" w:rsidR="007F4C85" w:rsidRPr="004F6DAA" w:rsidRDefault="007F4C85" w:rsidP="00932CDC">
            <w:pPr>
              <w:spacing w:before="20" w:after="20"/>
              <w:jc w:val="right"/>
              <w:rPr>
                <w:noProof/>
                <w:sz w:val="20"/>
              </w:rPr>
            </w:pPr>
            <w:r w:rsidRPr="004F6DAA">
              <w:rPr>
                <w:noProof/>
                <w:sz w:val="20"/>
              </w:rPr>
              <w:t>0,152</w:t>
            </w:r>
          </w:p>
        </w:tc>
        <w:tc>
          <w:tcPr>
            <w:tcW w:w="868" w:type="dxa"/>
          </w:tcPr>
          <w:p w14:paraId="1DB5C0E0" w14:textId="77777777" w:rsidR="007F4C85" w:rsidRPr="004F6DAA" w:rsidRDefault="007F4C85" w:rsidP="00992B23">
            <w:pPr>
              <w:spacing w:before="20" w:after="20"/>
              <w:jc w:val="right"/>
              <w:rPr>
                <w:noProof/>
                <w:sz w:val="20"/>
              </w:rPr>
            </w:pPr>
            <w:r w:rsidRPr="004F6DAA">
              <w:rPr>
                <w:noProof/>
                <w:sz w:val="20"/>
              </w:rPr>
              <w:t>0,152</w:t>
            </w:r>
          </w:p>
        </w:tc>
        <w:tc>
          <w:tcPr>
            <w:tcW w:w="1777" w:type="dxa"/>
            <w:vAlign w:val="center"/>
          </w:tcPr>
          <w:p w14:paraId="60B5030D" w14:textId="77777777" w:rsidR="007F4C85" w:rsidRPr="004F6DAA" w:rsidRDefault="007F4C85" w:rsidP="00932CDC">
            <w:pPr>
              <w:spacing w:before="20" w:after="20"/>
              <w:jc w:val="right"/>
              <w:rPr>
                <w:b/>
                <w:noProof/>
                <w:sz w:val="20"/>
              </w:rPr>
            </w:pPr>
            <w:r w:rsidRPr="004F6DAA">
              <w:rPr>
                <w:b/>
                <w:noProof/>
                <w:sz w:val="20"/>
              </w:rPr>
              <w:t>0,760</w:t>
            </w:r>
          </w:p>
        </w:tc>
      </w:tr>
    </w:tbl>
    <w:p w14:paraId="729660A9" w14:textId="77777777" w:rsidR="007F4C85" w:rsidRPr="004F6DAA" w:rsidRDefault="007F4C85" w:rsidP="007F4C85">
      <w:pPr>
        <w:rPr>
          <w:noProof/>
        </w:rPr>
      </w:pPr>
    </w:p>
    <w:p w14:paraId="0E071EFF" w14:textId="77777777" w:rsidR="007F4C85" w:rsidRPr="004F6DAA" w:rsidRDefault="007F4C85" w:rsidP="007F4C8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1777"/>
      </w:tblGrid>
      <w:tr w:rsidR="007F4C85" w:rsidRPr="004F6DAA" w14:paraId="0D40500D" w14:textId="77777777" w:rsidTr="00346785">
        <w:tc>
          <w:tcPr>
            <w:tcW w:w="3960" w:type="dxa"/>
            <w:shd w:val="thinDiagStripe" w:color="C0C0C0" w:fill="auto"/>
            <w:vAlign w:val="center"/>
          </w:tcPr>
          <w:p w14:paraId="423CC9D2" w14:textId="77777777" w:rsidR="00372D5D" w:rsidRPr="004F6DAA" w:rsidRDefault="007F4C85" w:rsidP="000557B7">
            <w:pPr>
              <w:contextualSpacing/>
              <w:jc w:val="center"/>
              <w:rPr>
                <w:b/>
                <w:noProof/>
                <w:sz w:val="22"/>
              </w:rPr>
            </w:pPr>
            <w:r w:rsidRPr="004F6DAA">
              <w:rPr>
                <w:b/>
                <w:noProof/>
                <w:sz w:val="22"/>
              </w:rPr>
              <w:t>OGÓŁEM środki</w:t>
            </w:r>
          </w:p>
          <w:p w14:paraId="31174512" w14:textId="77777777" w:rsidR="00372D5D" w:rsidRPr="004F6DAA" w:rsidRDefault="007F4C85" w:rsidP="000557B7">
            <w:pPr>
              <w:contextualSpacing/>
              <w:jc w:val="center"/>
              <w:rPr>
                <w:b/>
                <w:noProof/>
                <w:sz w:val="22"/>
              </w:rPr>
            </w:pPr>
            <w:r w:rsidRPr="004F6DAA">
              <w:rPr>
                <w:b/>
                <w:noProof/>
                <w:sz w:val="22"/>
              </w:rPr>
              <w:t>na DZIAŁ 7</w:t>
            </w:r>
          </w:p>
          <w:p w14:paraId="64C19DD3" w14:textId="77777777" w:rsidR="007F4C85" w:rsidRPr="004F6DAA" w:rsidRDefault="007F4C85" w:rsidP="000557B7">
            <w:pPr>
              <w:contextualSpacing/>
              <w:jc w:val="center"/>
              <w:rPr>
                <w:b/>
                <w:noProof/>
              </w:rPr>
            </w:pPr>
            <w:r w:rsidRPr="004F6DAA">
              <w:rPr>
                <w:noProof/>
                <w:sz w:val="22"/>
              </w:rPr>
              <w:t>wieloletnich ram finansowych</w:t>
            </w:r>
          </w:p>
        </w:tc>
        <w:tc>
          <w:tcPr>
            <w:tcW w:w="2094" w:type="dxa"/>
            <w:vAlign w:val="center"/>
          </w:tcPr>
          <w:p w14:paraId="72D0A322" w14:textId="77777777" w:rsidR="007F4C85" w:rsidRPr="004F6DAA" w:rsidRDefault="007F4C85" w:rsidP="00992B23">
            <w:pPr>
              <w:spacing w:before="40" w:after="40"/>
              <w:rPr>
                <w:noProof/>
              </w:rPr>
            </w:pPr>
            <w:r w:rsidRPr="004F6DAA">
              <w:rPr>
                <w:noProof/>
                <w:sz w:val="18"/>
              </w:rPr>
              <w:t>(Środki na zobowiązania ogółem = środki na płatności ogółem)</w:t>
            </w:r>
          </w:p>
        </w:tc>
        <w:tc>
          <w:tcPr>
            <w:tcW w:w="868" w:type="dxa"/>
            <w:vAlign w:val="center"/>
          </w:tcPr>
          <w:p w14:paraId="490F3661" w14:textId="77777777" w:rsidR="007F4C85" w:rsidRPr="004F6DAA" w:rsidRDefault="007F4C85" w:rsidP="00992B23">
            <w:pPr>
              <w:spacing w:before="20" w:after="20"/>
              <w:jc w:val="center"/>
              <w:rPr>
                <w:noProof/>
                <w:sz w:val="20"/>
              </w:rPr>
            </w:pPr>
            <w:r w:rsidRPr="004F6DAA">
              <w:rPr>
                <w:noProof/>
                <w:sz w:val="20"/>
              </w:rPr>
              <w:t>-</w:t>
            </w:r>
          </w:p>
        </w:tc>
        <w:tc>
          <w:tcPr>
            <w:tcW w:w="868" w:type="dxa"/>
            <w:vAlign w:val="center"/>
          </w:tcPr>
          <w:p w14:paraId="67A5F7C9" w14:textId="77777777" w:rsidR="007F4C85" w:rsidRPr="004F6DAA" w:rsidRDefault="007F4C85" w:rsidP="00932CDC">
            <w:pPr>
              <w:spacing w:before="20" w:after="20"/>
              <w:jc w:val="right"/>
              <w:rPr>
                <w:noProof/>
                <w:sz w:val="20"/>
              </w:rPr>
            </w:pPr>
            <w:r w:rsidRPr="004F6DAA">
              <w:rPr>
                <w:noProof/>
                <w:sz w:val="20"/>
              </w:rPr>
              <w:t>1,330</w:t>
            </w:r>
          </w:p>
        </w:tc>
        <w:tc>
          <w:tcPr>
            <w:tcW w:w="868" w:type="dxa"/>
            <w:vAlign w:val="center"/>
          </w:tcPr>
          <w:p w14:paraId="651FBDF9" w14:textId="77777777" w:rsidR="007F4C85" w:rsidRPr="004F6DAA" w:rsidRDefault="007F4C85" w:rsidP="00992B23">
            <w:pPr>
              <w:spacing w:before="20" w:after="20"/>
              <w:jc w:val="right"/>
              <w:rPr>
                <w:noProof/>
                <w:sz w:val="20"/>
              </w:rPr>
            </w:pPr>
            <w:r w:rsidRPr="004F6DAA">
              <w:rPr>
                <w:noProof/>
                <w:sz w:val="20"/>
              </w:rPr>
              <w:t>1,330</w:t>
            </w:r>
          </w:p>
        </w:tc>
        <w:tc>
          <w:tcPr>
            <w:tcW w:w="868" w:type="dxa"/>
            <w:vAlign w:val="center"/>
          </w:tcPr>
          <w:p w14:paraId="0DC7DF23" w14:textId="77777777" w:rsidR="007F4C85" w:rsidRPr="004F6DAA" w:rsidRDefault="007F4C85" w:rsidP="00932CDC">
            <w:pPr>
              <w:spacing w:before="20" w:after="20"/>
              <w:jc w:val="right"/>
              <w:rPr>
                <w:noProof/>
                <w:sz w:val="20"/>
              </w:rPr>
            </w:pPr>
            <w:r w:rsidRPr="004F6DAA">
              <w:rPr>
                <w:noProof/>
                <w:sz w:val="20"/>
              </w:rPr>
              <w:t>1,330</w:t>
            </w:r>
          </w:p>
        </w:tc>
        <w:tc>
          <w:tcPr>
            <w:tcW w:w="868" w:type="dxa"/>
            <w:vAlign w:val="center"/>
          </w:tcPr>
          <w:p w14:paraId="47C807D9" w14:textId="77777777" w:rsidR="007F4C85" w:rsidRPr="004F6DAA" w:rsidRDefault="007F4C85" w:rsidP="00932CDC">
            <w:pPr>
              <w:spacing w:before="20" w:after="20"/>
              <w:jc w:val="right"/>
              <w:rPr>
                <w:noProof/>
                <w:sz w:val="20"/>
              </w:rPr>
            </w:pPr>
            <w:r w:rsidRPr="004F6DAA">
              <w:rPr>
                <w:noProof/>
                <w:sz w:val="20"/>
              </w:rPr>
              <w:t>1,330</w:t>
            </w:r>
          </w:p>
        </w:tc>
        <w:tc>
          <w:tcPr>
            <w:tcW w:w="868" w:type="dxa"/>
            <w:vAlign w:val="center"/>
          </w:tcPr>
          <w:p w14:paraId="5FE1EA45" w14:textId="77777777" w:rsidR="007F4C85" w:rsidRPr="004F6DAA" w:rsidRDefault="007F4C85" w:rsidP="00932CDC">
            <w:pPr>
              <w:spacing w:before="20" w:after="20"/>
              <w:jc w:val="right"/>
              <w:rPr>
                <w:noProof/>
                <w:sz w:val="20"/>
              </w:rPr>
            </w:pPr>
            <w:r w:rsidRPr="004F6DAA">
              <w:rPr>
                <w:noProof/>
                <w:sz w:val="20"/>
              </w:rPr>
              <w:t>1,330</w:t>
            </w:r>
          </w:p>
        </w:tc>
        <w:tc>
          <w:tcPr>
            <w:tcW w:w="1777" w:type="dxa"/>
            <w:vAlign w:val="center"/>
          </w:tcPr>
          <w:p w14:paraId="78E53C1E" w14:textId="77777777" w:rsidR="007F4C85" w:rsidRPr="004F6DAA" w:rsidRDefault="007F4C85" w:rsidP="00932CDC">
            <w:pPr>
              <w:spacing w:before="20" w:after="20"/>
              <w:jc w:val="right"/>
              <w:rPr>
                <w:b/>
                <w:noProof/>
                <w:sz w:val="20"/>
              </w:rPr>
            </w:pPr>
            <w:r w:rsidRPr="004F6DAA">
              <w:rPr>
                <w:b/>
                <w:noProof/>
                <w:sz w:val="20"/>
              </w:rPr>
              <w:t>6,650</w:t>
            </w:r>
          </w:p>
        </w:tc>
      </w:tr>
    </w:tbl>
    <w:p w14:paraId="774BADA7" w14:textId="77777777" w:rsidR="007F4C85" w:rsidRPr="004F6DAA" w:rsidRDefault="007F4C85" w:rsidP="007F4C85">
      <w:pPr>
        <w:jc w:val="right"/>
        <w:rPr>
          <w:noProof/>
          <w:sz w:val="20"/>
        </w:rPr>
      </w:pPr>
      <w:r w:rsidRPr="004F6DAA">
        <w:rPr>
          <w:noProof/>
          <w:sz w:val="20"/>
        </w:rPr>
        <w:t>w mln EUR (do trzech miejsc po przecinku)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1777"/>
      </w:tblGrid>
      <w:tr w:rsidR="007F4C85" w:rsidRPr="004F6DAA" w14:paraId="1CA36539" w14:textId="77777777" w:rsidTr="00992B23">
        <w:tc>
          <w:tcPr>
            <w:tcW w:w="3960" w:type="dxa"/>
            <w:tcBorders>
              <w:top w:val="nil"/>
              <w:left w:val="nil"/>
              <w:right w:val="nil"/>
            </w:tcBorders>
            <w:vAlign w:val="center"/>
          </w:tcPr>
          <w:p w14:paraId="2D51E2F2" w14:textId="77777777" w:rsidR="007F4C85" w:rsidRPr="004F6DAA" w:rsidRDefault="007F4C85" w:rsidP="00992B23">
            <w:pPr>
              <w:jc w:val="center"/>
              <w:rPr>
                <w:noProof/>
              </w:rPr>
            </w:pPr>
          </w:p>
        </w:tc>
        <w:tc>
          <w:tcPr>
            <w:tcW w:w="1560" w:type="dxa"/>
            <w:tcBorders>
              <w:top w:val="nil"/>
              <w:left w:val="nil"/>
              <w:right w:val="nil"/>
            </w:tcBorders>
          </w:tcPr>
          <w:p w14:paraId="397C1A62" w14:textId="77777777" w:rsidR="007F4C85" w:rsidRPr="004F6DAA" w:rsidRDefault="007F4C85" w:rsidP="00992B23">
            <w:pPr>
              <w:rPr>
                <w:noProof/>
                <w:sz w:val="20"/>
              </w:rPr>
            </w:pPr>
          </w:p>
        </w:tc>
        <w:tc>
          <w:tcPr>
            <w:tcW w:w="534" w:type="dxa"/>
            <w:tcBorders>
              <w:top w:val="nil"/>
              <w:left w:val="nil"/>
            </w:tcBorders>
          </w:tcPr>
          <w:p w14:paraId="690CEB7B" w14:textId="77777777" w:rsidR="007F4C85" w:rsidRPr="004F6DAA" w:rsidRDefault="007F4C85" w:rsidP="00992B23">
            <w:pPr>
              <w:jc w:val="center"/>
              <w:rPr>
                <w:noProof/>
                <w:sz w:val="20"/>
              </w:rPr>
            </w:pPr>
          </w:p>
        </w:tc>
        <w:tc>
          <w:tcPr>
            <w:tcW w:w="868" w:type="dxa"/>
            <w:vAlign w:val="center"/>
          </w:tcPr>
          <w:p w14:paraId="2FB2AB45" w14:textId="77777777" w:rsidR="000557B7" w:rsidRPr="004F6DAA" w:rsidRDefault="007F4C85" w:rsidP="000557B7">
            <w:pPr>
              <w:contextualSpacing/>
              <w:jc w:val="center"/>
              <w:rPr>
                <w:noProof/>
                <w:sz w:val="20"/>
              </w:rPr>
            </w:pPr>
            <w:r w:rsidRPr="004F6DAA">
              <w:rPr>
                <w:noProof/>
                <w:sz w:val="20"/>
              </w:rPr>
              <w:t>Rok</w:t>
            </w:r>
          </w:p>
          <w:p w14:paraId="74614AE2" w14:textId="77777777" w:rsidR="007F4C85" w:rsidRPr="004F6DAA" w:rsidRDefault="007F4C85" w:rsidP="000557B7">
            <w:pPr>
              <w:contextualSpacing/>
              <w:jc w:val="center"/>
              <w:rPr>
                <w:noProof/>
                <w:sz w:val="20"/>
              </w:rPr>
            </w:pPr>
            <w:r w:rsidRPr="004F6DAA">
              <w:rPr>
                <w:b/>
                <w:noProof/>
                <w:sz w:val="20"/>
              </w:rPr>
              <w:t>2022</w:t>
            </w:r>
          </w:p>
        </w:tc>
        <w:tc>
          <w:tcPr>
            <w:tcW w:w="868" w:type="dxa"/>
            <w:vAlign w:val="center"/>
          </w:tcPr>
          <w:p w14:paraId="5382B19E" w14:textId="77777777" w:rsidR="000557B7" w:rsidRPr="004F6DAA" w:rsidRDefault="007F4C85" w:rsidP="000557B7">
            <w:pPr>
              <w:contextualSpacing/>
              <w:jc w:val="center"/>
              <w:rPr>
                <w:noProof/>
                <w:sz w:val="20"/>
              </w:rPr>
            </w:pPr>
            <w:r w:rsidRPr="004F6DAA">
              <w:rPr>
                <w:noProof/>
                <w:sz w:val="20"/>
              </w:rPr>
              <w:t>Rok</w:t>
            </w:r>
          </w:p>
          <w:p w14:paraId="57E4DB6E" w14:textId="77777777" w:rsidR="007F4C85" w:rsidRPr="004F6DAA" w:rsidRDefault="007F4C85" w:rsidP="000557B7">
            <w:pPr>
              <w:contextualSpacing/>
              <w:jc w:val="center"/>
              <w:rPr>
                <w:noProof/>
                <w:sz w:val="20"/>
              </w:rPr>
            </w:pPr>
            <w:r w:rsidRPr="004F6DAA">
              <w:rPr>
                <w:b/>
                <w:noProof/>
                <w:sz w:val="20"/>
              </w:rPr>
              <w:t>2023</w:t>
            </w:r>
          </w:p>
        </w:tc>
        <w:tc>
          <w:tcPr>
            <w:tcW w:w="868" w:type="dxa"/>
            <w:vAlign w:val="center"/>
          </w:tcPr>
          <w:p w14:paraId="01C2ED6C" w14:textId="77777777" w:rsidR="000557B7" w:rsidRPr="004F6DAA" w:rsidRDefault="007F4C85" w:rsidP="000557B7">
            <w:pPr>
              <w:contextualSpacing/>
              <w:jc w:val="center"/>
              <w:rPr>
                <w:noProof/>
                <w:sz w:val="20"/>
              </w:rPr>
            </w:pPr>
            <w:r w:rsidRPr="004F6DAA">
              <w:rPr>
                <w:noProof/>
                <w:sz w:val="20"/>
              </w:rPr>
              <w:t>Rok</w:t>
            </w:r>
          </w:p>
          <w:p w14:paraId="2E1AEF46" w14:textId="77777777" w:rsidR="007F4C85" w:rsidRPr="004F6DAA" w:rsidRDefault="007F4C85" w:rsidP="000557B7">
            <w:pPr>
              <w:contextualSpacing/>
              <w:jc w:val="center"/>
              <w:rPr>
                <w:noProof/>
                <w:sz w:val="20"/>
              </w:rPr>
            </w:pPr>
            <w:r w:rsidRPr="004F6DAA">
              <w:rPr>
                <w:b/>
                <w:noProof/>
                <w:sz w:val="20"/>
              </w:rPr>
              <w:t>2024</w:t>
            </w:r>
          </w:p>
        </w:tc>
        <w:tc>
          <w:tcPr>
            <w:tcW w:w="868" w:type="dxa"/>
            <w:vAlign w:val="center"/>
          </w:tcPr>
          <w:p w14:paraId="5A5A1C42" w14:textId="77777777" w:rsidR="000557B7" w:rsidRPr="004F6DAA" w:rsidRDefault="007F4C85" w:rsidP="000557B7">
            <w:pPr>
              <w:contextualSpacing/>
              <w:jc w:val="center"/>
              <w:rPr>
                <w:noProof/>
                <w:sz w:val="20"/>
              </w:rPr>
            </w:pPr>
            <w:r w:rsidRPr="004F6DAA">
              <w:rPr>
                <w:noProof/>
                <w:sz w:val="20"/>
              </w:rPr>
              <w:t>Rok</w:t>
            </w:r>
          </w:p>
          <w:p w14:paraId="4DFAF9ED" w14:textId="77777777" w:rsidR="007F4C85" w:rsidRPr="004F6DAA" w:rsidRDefault="007F4C85" w:rsidP="000557B7">
            <w:pPr>
              <w:contextualSpacing/>
              <w:jc w:val="center"/>
              <w:rPr>
                <w:noProof/>
                <w:sz w:val="20"/>
              </w:rPr>
            </w:pPr>
            <w:r w:rsidRPr="004F6DAA">
              <w:rPr>
                <w:b/>
                <w:noProof/>
                <w:sz w:val="20"/>
              </w:rPr>
              <w:t>2025</w:t>
            </w:r>
          </w:p>
        </w:tc>
        <w:tc>
          <w:tcPr>
            <w:tcW w:w="868" w:type="dxa"/>
            <w:vAlign w:val="center"/>
          </w:tcPr>
          <w:p w14:paraId="3052CCCB" w14:textId="77777777" w:rsidR="000557B7" w:rsidRPr="004F6DAA" w:rsidRDefault="007F4C85" w:rsidP="000557B7">
            <w:pPr>
              <w:contextualSpacing/>
              <w:jc w:val="center"/>
              <w:rPr>
                <w:noProof/>
                <w:sz w:val="20"/>
              </w:rPr>
            </w:pPr>
            <w:r w:rsidRPr="004F6DAA">
              <w:rPr>
                <w:noProof/>
                <w:sz w:val="20"/>
              </w:rPr>
              <w:t>Rok</w:t>
            </w:r>
          </w:p>
          <w:p w14:paraId="73875D76" w14:textId="77777777" w:rsidR="007F4C85" w:rsidRPr="004F6DAA" w:rsidRDefault="007F4C85" w:rsidP="000557B7">
            <w:pPr>
              <w:contextualSpacing/>
              <w:jc w:val="center"/>
              <w:rPr>
                <w:noProof/>
                <w:sz w:val="20"/>
              </w:rPr>
            </w:pPr>
            <w:r w:rsidRPr="004F6DAA">
              <w:rPr>
                <w:b/>
                <w:noProof/>
                <w:sz w:val="20"/>
              </w:rPr>
              <w:t>2026</w:t>
            </w:r>
          </w:p>
        </w:tc>
        <w:tc>
          <w:tcPr>
            <w:tcW w:w="868" w:type="dxa"/>
            <w:vAlign w:val="center"/>
          </w:tcPr>
          <w:p w14:paraId="2B197047" w14:textId="77777777" w:rsidR="000557B7" w:rsidRPr="004F6DAA" w:rsidRDefault="007F4C85" w:rsidP="000557B7">
            <w:pPr>
              <w:contextualSpacing/>
              <w:jc w:val="center"/>
              <w:rPr>
                <w:noProof/>
                <w:sz w:val="20"/>
              </w:rPr>
            </w:pPr>
            <w:r w:rsidRPr="004F6DAA">
              <w:rPr>
                <w:noProof/>
                <w:sz w:val="20"/>
              </w:rPr>
              <w:t>Rok</w:t>
            </w:r>
          </w:p>
          <w:p w14:paraId="09F529BD" w14:textId="77777777" w:rsidR="007F4C85" w:rsidRPr="004F6DAA" w:rsidRDefault="007F4C85" w:rsidP="00263E8C">
            <w:pPr>
              <w:contextualSpacing/>
              <w:jc w:val="center"/>
              <w:rPr>
                <w:b/>
                <w:noProof/>
                <w:sz w:val="18"/>
              </w:rPr>
            </w:pPr>
            <w:r w:rsidRPr="004F6DAA">
              <w:rPr>
                <w:b/>
                <w:noProof/>
                <w:sz w:val="20"/>
              </w:rPr>
              <w:t xml:space="preserve">2027 </w:t>
            </w:r>
          </w:p>
        </w:tc>
        <w:tc>
          <w:tcPr>
            <w:tcW w:w="1777" w:type="dxa"/>
            <w:vAlign w:val="center"/>
          </w:tcPr>
          <w:p w14:paraId="1D4EF840" w14:textId="77777777" w:rsidR="007F4C85" w:rsidRPr="004F6DAA" w:rsidRDefault="007F4C85" w:rsidP="00992B23">
            <w:pPr>
              <w:contextualSpacing/>
              <w:jc w:val="center"/>
              <w:rPr>
                <w:b/>
                <w:noProof/>
                <w:sz w:val="20"/>
              </w:rPr>
            </w:pPr>
            <w:r w:rsidRPr="004F6DAA">
              <w:rPr>
                <w:b/>
                <w:noProof/>
                <w:sz w:val="20"/>
              </w:rPr>
              <w:t>OGÓŁEM</w:t>
            </w:r>
          </w:p>
          <w:p w14:paraId="799678C0" w14:textId="77777777" w:rsidR="007F4C85" w:rsidRPr="004F6DAA" w:rsidRDefault="007F4C85" w:rsidP="00992B23">
            <w:pPr>
              <w:contextualSpacing/>
              <w:jc w:val="center"/>
              <w:rPr>
                <w:b/>
                <w:noProof/>
                <w:sz w:val="20"/>
              </w:rPr>
            </w:pPr>
            <w:r w:rsidRPr="004F6DAA">
              <w:rPr>
                <w:b/>
                <w:noProof/>
                <w:sz w:val="20"/>
              </w:rPr>
              <w:t>(2022–2027)</w:t>
            </w:r>
          </w:p>
        </w:tc>
      </w:tr>
      <w:tr w:rsidR="007F4C85" w:rsidRPr="004F6DAA" w14:paraId="3D282983" w14:textId="77777777" w:rsidTr="00992B23">
        <w:tc>
          <w:tcPr>
            <w:tcW w:w="3960" w:type="dxa"/>
            <w:vMerge w:val="restart"/>
            <w:shd w:val="clear" w:color="auto" w:fill="C0C0C0"/>
            <w:vAlign w:val="center"/>
          </w:tcPr>
          <w:p w14:paraId="436EFEC5" w14:textId="77777777" w:rsidR="007F4C85" w:rsidRPr="004F6DAA" w:rsidRDefault="007F4C85" w:rsidP="000557B7">
            <w:pPr>
              <w:jc w:val="center"/>
              <w:rPr>
                <w:b/>
                <w:noProof/>
              </w:rPr>
            </w:pPr>
            <w:r w:rsidRPr="004F6DAA">
              <w:rPr>
                <w:b/>
                <w:noProof/>
                <w:sz w:val="22"/>
              </w:rPr>
              <w:t xml:space="preserve">OGÓŁEM środki na DZIAŁY </w:t>
            </w:r>
            <w:r w:rsidRPr="00062BFA">
              <w:rPr>
                <w:b/>
                <w:noProof/>
                <w:sz w:val="22"/>
              </w:rPr>
              <w:t>od</w:t>
            </w:r>
            <w:r w:rsidR="00062BFA" w:rsidRPr="00062BFA">
              <w:rPr>
                <w:b/>
                <w:noProof/>
                <w:sz w:val="22"/>
              </w:rPr>
              <w:t> </w:t>
            </w:r>
            <w:r w:rsidRPr="00062BFA">
              <w:rPr>
                <w:b/>
                <w:noProof/>
                <w:sz w:val="22"/>
              </w:rPr>
              <w:t>1</w:t>
            </w:r>
            <w:r w:rsidRPr="004F6DAA">
              <w:rPr>
                <w:b/>
                <w:noProof/>
                <w:sz w:val="22"/>
              </w:rPr>
              <w:t xml:space="preserve"> </w:t>
            </w:r>
            <w:r w:rsidRPr="00062BFA">
              <w:rPr>
                <w:b/>
                <w:noProof/>
                <w:sz w:val="22"/>
              </w:rPr>
              <w:t>do</w:t>
            </w:r>
            <w:r w:rsidR="00062BFA" w:rsidRPr="00062BFA">
              <w:rPr>
                <w:b/>
                <w:noProof/>
                <w:sz w:val="22"/>
              </w:rPr>
              <w:t> </w:t>
            </w:r>
            <w:r w:rsidRPr="00062BFA">
              <w:rPr>
                <w:b/>
                <w:noProof/>
                <w:sz w:val="22"/>
              </w:rPr>
              <w:t>7</w:t>
            </w:r>
            <w:r w:rsidRPr="004F6DAA">
              <w:rPr>
                <w:noProof/>
                <w:sz w:val="22"/>
              </w:rPr>
              <w:t xml:space="preserve"> wieloletnich ram finansowych</w:t>
            </w:r>
            <w:r w:rsidRPr="004F6DAA">
              <w:rPr>
                <w:b/>
                <w:noProof/>
                <w:sz w:val="22"/>
              </w:rPr>
              <w:t xml:space="preserve"> </w:t>
            </w:r>
          </w:p>
        </w:tc>
        <w:tc>
          <w:tcPr>
            <w:tcW w:w="2094" w:type="dxa"/>
            <w:gridSpan w:val="2"/>
            <w:vAlign w:val="center"/>
          </w:tcPr>
          <w:p w14:paraId="143094D9" w14:textId="77777777" w:rsidR="007F4C85" w:rsidRPr="004F6DAA" w:rsidRDefault="007F4C85" w:rsidP="00992B23">
            <w:pPr>
              <w:rPr>
                <w:noProof/>
                <w:sz w:val="14"/>
              </w:rPr>
            </w:pPr>
            <w:r w:rsidRPr="004F6DAA">
              <w:rPr>
                <w:noProof/>
                <w:sz w:val="18"/>
              </w:rPr>
              <w:t>Środki na zobowiązania</w:t>
            </w:r>
          </w:p>
        </w:tc>
        <w:tc>
          <w:tcPr>
            <w:tcW w:w="868" w:type="dxa"/>
            <w:vAlign w:val="center"/>
          </w:tcPr>
          <w:p w14:paraId="26CB1509" w14:textId="77777777" w:rsidR="007F4C85" w:rsidRPr="004F6DAA" w:rsidRDefault="007F4C85" w:rsidP="00992B23">
            <w:pPr>
              <w:spacing w:before="20" w:after="20"/>
              <w:jc w:val="center"/>
              <w:rPr>
                <w:noProof/>
                <w:sz w:val="20"/>
              </w:rPr>
            </w:pPr>
            <w:r w:rsidRPr="004F6DAA">
              <w:rPr>
                <w:noProof/>
                <w:sz w:val="20"/>
              </w:rPr>
              <w:t>0,500</w:t>
            </w:r>
          </w:p>
        </w:tc>
        <w:tc>
          <w:tcPr>
            <w:tcW w:w="868" w:type="dxa"/>
            <w:vAlign w:val="center"/>
          </w:tcPr>
          <w:p w14:paraId="57F2C9B1" w14:textId="77777777" w:rsidR="007F4C85" w:rsidRPr="004F6DAA" w:rsidRDefault="007F4C85" w:rsidP="00726DAE">
            <w:pPr>
              <w:spacing w:before="60" w:after="60"/>
              <w:jc w:val="right"/>
              <w:rPr>
                <w:noProof/>
                <w:sz w:val="20"/>
              </w:rPr>
            </w:pPr>
            <w:r w:rsidRPr="004F6DAA">
              <w:rPr>
                <w:noProof/>
                <w:sz w:val="20"/>
              </w:rPr>
              <w:t>3,269</w:t>
            </w:r>
          </w:p>
        </w:tc>
        <w:tc>
          <w:tcPr>
            <w:tcW w:w="868" w:type="dxa"/>
            <w:vAlign w:val="center"/>
          </w:tcPr>
          <w:p w14:paraId="183079D3" w14:textId="77777777" w:rsidR="007F4C85" w:rsidRPr="004F6DAA" w:rsidRDefault="007F4C85" w:rsidP="00726DAE">
            <w:pPr>
              <w:spacing w:before="60" w:after="60"/>
              <w:jc w:val="right"/>
              <w:rPr>
                <w:noProof/>
                <w:sz w:val="20"/>
              </w:rPr>
            </w:pPr>
            <w:r w:rsidRPr="004F6DAA">
              <w:rPr>
                <w:noProof/>
                <w:sz w:val="20"/>
              </w:rPr>
              <w:t>3,310</w:t>
            </w:r>
          </w:p>
        </w:tc>
        <w:tc>
          <w:tcPr>
            <w:tcW w:w="868" w:type="dxa"/>
            <w:vAlign w:val="center"/>
          </w:tcPr>
          <w:p w14:paraId="16BE440F" w14:textId="77777777" w:rsidR="007F4C85" w:rsidRPr="004F6DAA" w:rsidRDefault="007F4C85" w:rsidP="00726DAE">
            <w:pPr>
              <w:spacing w:before="60" w:after="60"/>
              <w:jc w:val="right"/>
              <w:rPr>
                <w:noProof/>
                <w:sz w:val="20"/>
              </w:rPr>
            </w:pPr>
            <w:r w:rsidRPr="004F6DAA">
              <w:rPr>
                <w:noProof/>
                <w:sz w:val="20"/>
              </w:rPr>
              <w:t>3,190</w:t>
            </w:r>
          </w:p>
        </w:tc>
        <w:tc>
          <w:tcPr>
            <w:tcW w:w="868" w:type="dxa"/>
            <w:vAlign w:val="center"/>
          </w:tcPr>
          <w:p w14:paraId="1C45B3F7" w14:textId="77777777" w:rsidR="007F4C85" w:rsidRPr="004F6DAA" w:rsidRDefault="007F4C85" w:rsidP="00726DAE">
            <w:pPr>
              <w:spacing w:before="60" w:after="60"/>
              <w:jc w:val="right"/>
              <w:rPr>
                <w:noProof/>
                <w:sz w:val="20"/>
              </w:rPr>
            </w:pPr>
            <w:r w:rsidRPr="004F6DAA">
              <w:rPr>
                <w:noProof/>
                <w:sz w:val="20"/>
              </w:rPr>
              <w:t>3,345</w:t>
            </w:r>
          </w:p>
        </w:tc>
        <w:tc>
          <w:tcPr>
            <w:tcW w:w="868" w:type="dxa"/>
            <w:vAlign w:val="center"/>
          </w:tcPr>
          <w:p w14:paraId="3915CD44" w14:textId="77777777" w:rsidR="007F4C85" w:rsidRPr="004F6DAA" w:rsidRDefault="007F4C85" w:rsidP="00726DAE">
            <w:pPr>
              <w:spacing w:before="60" w:after="60"/>
              <w:jc w:val="right"/>
              <w:rPr>
                <w:noProof/>
                <w:sz w:val="20"/>
              </w:rPr>
            </w:pPr>
            <w:r w:rsidRPr="004F6DAA">
              <w:rPr>
                <w:noProof/>
                <w:sz w:val="20"/>
              </w:rPr>
              <w:t>2,905</w:t>
            </w:r>
          </w:p>
        </w:tc>
        <w:tc>
          <w:tcPr>
            <w:tcW w:w="1777" w:type="dxa"/>
            <w:vAlign w:val="center"/>
          </w:tcPr>
          <w:p w14:paraId="14708EEF" w14:textId="77777777" w:rsidR="007F4C85" w:rsidRPr="004F6DAA" w:rsidRDefault="007F4C85" w:rsidP="00726DAE">
            <w:pPr>
              <w:spacing w:before="60" w:after="60"/>
              <w:jc w:val="right"/>
              <w:rPr>
                <w:b/>
                <w:noProof/>
                <w:sz w:val="20"/>
              </w:rPr>
            </w:pPr>
            <w:r w:rsidRPr="004F6DAA">
              <w:rPr>
                <w:b/>
                <w:noProof/>
                <w:sz w:val="20"/>
              </w:rPr>
              <w:t>16,519</w:t>
            </w:r>
          </w:p>
        </w:tc>
      </w:tr>
      <w:tr w:rsidR="007F4C85" w:rsidRPr="004F6DAA" w14:paraId="417CBFAA" w14:textId="77777777" w:rsidTr="00992B23">
        <w:tc>
          <w:tcPr>
            <w:tcW w:w="3960" w:type="dxa"/>
            <w:vMerge/>
            <w:shd w:val="clear" w:color="auto" w:fill="C0C0C0"/>
          </w:tcPr>
          <w:p w14:paraId="48CD5364" w14:textId="77777777" w:rsidR="007F4C85" w:rsidRPr="004F6DAA" w:rsidRDefault="007F4C85" w:rsidP="00992B23">
            <w:pPr>
              <w:rPr>
                <w:noProof/>
                <w:sz w:val="20"/>
              </w:rPr>
            </w:pPr>
          </w:p>
        </w:tc>
        <w:tc>
          <w:tcPr>
            <w:tcW w:w="2094" w:type="dxa"/>
            <w:gridSpan w:val="2"/>
            <w:vAlign w:val="center"/>
          </w:tcPr>
          <w:p w14:paraId="08050424" w14:textId="77777777" w:rsidR="007F4C85" w:rsidRPr="004F6DAA" w:rsidRDefault="007F4C85" w:rsidP="00992B23">
            <w:pPr>
              <w:rPr>
                <w:noProof/>
                <w:sz w:val="14"/>
              </w:rPr>
            </w:pPr>
            <w:r w:rsidRPr="004F6DAA">
              <w:rPr>
                <w:noProof/>
                <w:sz w:val="18"/>
              </w:rPr>
              <w:t>Środki na płatności</w:t>
            </w:r>
          </w:p>
        </w:tc>
        <w:tc>
          <w:tcPr>
            <w:tcW w:w="868" w:type="dxa"/>
            <w:vAlign w:val="center"/>
          </w:tcPr>
          <w:p w14:paraId="437C8044" w14:textId="77777777" w:rsidR="007F4C85" w:rsidRPr="004F6DAA" w:rsidRDefault="007F4C85" w:rsidP="00992B23">
            <w:pPr>
              <w:spacing w:before="20" w:after="20"/>
              <w:jc w:val="center"/>
              <w:rPr>
                <w:noProof/>
                <w:sz w:val="20"/>
              </w:rPr>
            </w:pPr>
            <w:r w:rsidRPr="004F6DAA">
              <w:rPr>
                <w:noProof/>
                <w:sz w:val="20"/>
              </w:rPr>
              <w:t>0,500</w:t>
            </w:r>
          </w:p>
        </w:tc>
        <w:tc>
          <w:tcPr>
            <w:tcW w:w="868" w:type="dxa"/>
            <w:vAlign w:val="center"/>
          </w:tcPr>
          <w:p w14:paraId="1A518A78" w14:textId="77777777" w:rsidR="007F4C85" w:rsidRPr="004F6DAA" w:rsidRDefault="007F4C85" w:rsidP="00726DAE">
            <w:pPr>
              <w:spacing w:before="60" w:after="60"/>
              <w:jc w:val="right"/>
              <w:rPr>
                <w:noProof/>
                <w:sz w:val="20"/>
              </w:rPr>
            </w:pPr>
            <w:r w:rsidRPr="004F6DAA">
              <w:rPr>
                <w:noProof/>
                <w:sz w:val="20"/>
              </w:rPr>
              <w:t>3,269</w:t>
            </w:r>
          </w:p>
        </w:tc>
        <w:tc>
          <w:tcPr>
            <w:tcW w:w="868" w:type="dxa"/>
            <w:vAlign w:val="center"/>
          </w:tcPr>
          <w:p w14:paraId="4539E84C" w14:textId="77777777" w:rsidR="007F4C85" w:rsidRPr="004F6DAA" w:rsidRDefault="007F4C85" w:rsidP="00992B23">
            <w:pPr>
              <w:spacing w:before="60" w:after="60"/>
              <w:jc w:val="right"/>
              <w:rPr>
                <w:noProof/>
                <w:sz w:val="20"/>
              </w:rPr>
            </w:pPr>
            <w:r w:rsidRPr="004F6DAA">
              <w:rPr>
                <w:noProof/>
                <w:sz w:val="20"/>
              </w:rPr>
              <w:t>3,310</w:t>
            </w:r>
          </w:p>
        </w:tc>
        <w:tc>
          <w:tcPr>
            <w:tcW w:w="868" w:type="dxa"/>
            <w:vAlign w:val="center"/>
          </w:tcPr>
          <w:p w14:paraId="5991891E" w14:textId="77777777" w:rsidR="007F4C85" w:rsidRPr="004F6DAA" w:rsidRDefault="007F4C85" w:rsidP="00726DAE">
            <w:pPr>
              <w:spacing w:before="60" w:after="60"/>
              <w:jc w:val="right"/>
              <w:rPr>
                <w:noProof/>
                <w:sz w:val="20"/>
              </w:rPr>
            </w:pPr>
            <w:r w:rsidRPr="004F6DAA">
              <w:rPr>
                <w:noProof/>
                <w:sz w:val="20"/>
              </w:rPr>
              <w:t>3,190</w:t>
            </w:r>
          </w:p>
        </w:tc>
        <w:tc>
          <w:tcPr>
            <w:tcW w:w="868" w:type="dxa"/>
            <w:vAlign w:val="center"/>
          </w:tcPr>
          <w:p w14:paraId="3F46381D" w14:textId="77777777" w:rsidR="007F4C85" w:rsidRPr="004F6DAA" w:rsidRDefault="007F4C85" w:rsidP="00726DAE">
            <w:pPr>
              <w:spacing w:before="60" w:after="60"/>
              <w:jc w:val="right"/>
              <w:rPr>
                <w:noProof/>
                <w:sz w:val="20"/>
              </w:rPr>
            </w:pPr>
            <w:r w:rsidRPr="004F6DAA">
              <w:rPr>
                <w:noProof/>
                <w:sz w:val="20"/>
              </w:rPr>
              <w:t>3,345</w:t>
            </w:r>
          </w:p>
        </w:tc>
        <w:tc>
          <w:tcPr>
            <w:tcW w:w="868" w:type="dxa"/>
            <w:vAlign w:val="center"/>
          </w:tcPr>
          <w:p w14:paraId="03E37FD0" w14:textId="77777777" w:rsidR="007F4C85" w:rsidRPr="004F6DAA" w:rsidRDefault="007F4C85" w:rsidP="00726DAE">
            <w:pPr>
              <w:spacing w:before="60" w:after="60"/>
              <w:jc w:val="right"/>
              <w:rPr>
                <w:noProof/>
                <w:sz w:val="20"/>
              </w:rPr>
            </w:pPr>
            <w:r w:rsidRPr="004F6DAA">
              <w:rPr>
                <w:noProof/>
                <w:sz w:val="20"/>
              </w:rPr>
              <w:t>2,905</w:t>
            </w:r>
          </w:p>
        </w:tc>
        <w:tc>
          <w:tcPr>
            <w:tcW w:w="1777" w:type="dxa"/>
            <w:vAlign w:val="center"/>
          </w:tcPr>
          <w:p w14:paraId="49AB08C8" w14:textId="77777777" w:rsidR="007F4C85" w:rsidRPr="004F6DAA" w:rsidRDefault="007F4C85" w:rsidP="00726DAE">
            <w:pPr>
              <w:spacing w:before="60" w:after="60"/>
              <w:jc w:val="right"/>
              <w:rPr>
                <w:b/>
                <w:noProof/>
                <w:sz w:val="20"/>
              </w:rPr>
            </w:pPr>
            <w:r w:rsidRPr="004F6DAA">
              <w:rPr>
                <w:b/>
                <w:noProof/>
                <w:sz w:val="20"/>
              </w:rPr>
              <w:t>16,519</w:t>
            </w:r>
          </w:p>
        </w:tc>
      </w:tr>
    </w:tbl>
    <w:p w14:paraId="69D1C2E2" w14:textId="77777777" w:rsidR="007F4C85" w:rsidRPr="004F6DAA" w:rsidRDefault="007F4C85" w:rsidP="007F4C85">
      <w:pPr>
        <w:rPr>
          <w:noProof/>
        </w:rPr>
      </w:pPr>
    </w:p>
    <w:p w14:paraId="2F2E480C" w14:textId="77777777" w:rsidR="007F4C85" w:rsidRPr="004F6DAA" w:rsidRDefault="007B7EB7" w:rsidP="007B7EB7">
      <w:pPr>
        <w:pStyle w:val="ManualHeading3"/>
        <w:rPr>
          <w:bCs/>
          <w:noProof/>
          <w:szCs w:val="24"/>
        </w:rPr>
      </w:pPr>
      <w:r w:rsidRPr="007B7EB7">
        <w:t>3.2.2.</w:t>
      </w:r>
      <w:r w:rsidRPr="007B7EB7">
        <w:tab/>
      </w:r>
      <w:r w:rsidR="007F4C85" w:rsidRPr="004F6DAA">
        <w:rPr>
          <w:noProof/>
        </w:rPr>
        <w:t xml:space="preserve">Przewidywany produkt finansowany ze środków operacyjnych </w:t>
      </w:r>
    </w:p>
    <w:p w14:paraId="1D8EB613" w14:textId="77777777" w:rsidR="007F4C85" w:rsidRPr="004F6DAA" w:rsidRDefault="007F4C85" w:rsidP="007F4C85">
      <w:pPr>
        <w:jc w:val="right"/>
        <w:rPr>
          <w:noProof/>
          <w:sz w:val="20"/>
        </w:rPr>
      </w:pPr>
      <w:r w:rsidRPr="004F6DAA">
        <w:rPr>
          <w:noProof/>
          <w:sz w:val="20"/>
        </w:rPr>
        <w:t>Środki na zobowiązania</w:t>
      </w:r>
      <w:r w:rsidR="00062BFA" w:rsidRPr="004F6DAA">
        <w:rPr>
          <w:noProof/>
          <w:sz w:val="20"/>
        </w:rPr>
        <w:t xml:space="preserve"> w</w:t>
      </w:r>
      <w:r w:rsidR="00062BFA">
        <w:rPr>
          <w:noProof/>
          <w:sz w:val="20"/>
        </w:rPr>
        <w:t> </w:t>
      </w:r>
      <w:r w:rsidR="00062BFA" w:rsidRPr="004F6DAA">
        <w:rPr>
          <w:noProof/>
          <w:sz w:val="20"/>
        </w:rPr>
        <w:t>mln</w:t>
      </w:r>
      <w:r w:rsidRPr="004F6DAA">
        <w:rPr>
          <w:noProof/>
          <w:sz w:val="20"/>
        </w:rPr>
        <w:t xml:space="preserve"> EUR (do trzech miejsc po przecinku)</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7F4C85" w:rsidRPr="004F6DAA" w14:paraId="35813923" w14:textId="77777777" w:rsidTr="00992B23">
        <w:trPr>
          <w:jc w:val="center"/>
        </w:trPr>
        <w:tc>
          <w:tcPr>
            <w:tcW w:w="1423" w:type="dxa"/>
            <w:vMerge w:val="restart"/>
            <w:vAlign w:val="center"/>
          </w:tcPr>
          <w:p w14:paraId="06EBB5D9" w14:textId="77777777" w:rsidR="007F4C85" w:rsidRPr="004F6DAA" w:rsidRDefault="007F4C85" w:rsidP="00992B23">
            <w:pPr>
              <w:ind w:right="-29"/>
              <w:jc w:val="center"/>
              <w:rPr>
                <w:b/>
                <w:noProof/>
                <w:sz w:val="18"/>
                <w:szCs w:val="18"/>
              </w:rPr>
            </w:pPr>
            <w:r w:rsidRPr="004F6DAA">
              <w:rPr>
                <w:b/>
                <w:noProof/>
                <w:sz w:val="18"/>
              </w:rPr>
              <w:t>Określić cele</w:t>
            </w:r>
            <w:r w:rsidR="00062BFA" w:rsidRPr="004F6DAA">
              <w:rPr>
                <w:b/>
                <w:noProof/>
                <w:sz w:val="18"/>
              </w:rPr>
              <w:t xml:space="preserve"> i</w:t>
            </w:r>
            <w:r w:rsidR="00062BFA">
              <w:rPr>
                <w:b/>
                <w:noProof/>
                <w:sz w:val="18"/>
              </w:rPr>
              <w:t> </w:t>
            </w:r>
            <w:r w:rsidR="00062BFA" w:rsidRPr="004F6DAA">
              <w:rPr>
                <w:b/>
                <w:noProof/>
                <w:sz w:val="18"/>
              </w:rPr>
              <w:t>pro</w:t>
            </w:r>
            <w:r w:rsidRPr="004F6DAA">
              <w:rPr>
                <w:b/>
                <w:noProof/>
                <w:sz w:val="18"/>
              </w:rPr>
              <w:t xml:space="preserve">dukty </w:t>
            </w:r>
          </w:p>
          <w:p w14:paraId="1BABE920" w14:textId="77777777" w:rsidR="007F4C85" w:rsidRPr="004F6DAA" w:rsidRDefault="007F4C85" w:rsidP="00992B23">
            <w:pPr>
              <w:ind w:right="-29"/>
              <w:jc w:val="center"/>
              <w:rPr>
                <w:b/>
                <w:noProof/>
                <w:sz w:val="18"/>
                <w:szCs w:val="18"/>
              </w:rPr>
            </w:pPr>
          </w:p>
          <w:p w14:paraId="2D1B394F" w14:textId="77777777" w:rsidR="007F4C85" w:rsidRPr="004F6DAA" w:rsidRDefault="007F4C85" w:rsidP="00992B23">
            <w:pPr>
              <w:ind w:right="-29"/>
              <w:jc w:val="center"/>
              <w:rPr>
                <w:noProof/>
                <w:sz w:val="18"/>
                <w:szCs w:val="18"/>
              </w:rPr>
            </w:pPr>
            <w:r w:rsidRPr="004F6DAA">
              <w:rPr>
                <w:noProof/>
                <w:sz w:val="18"/>
              </w:rPr>
              <w:sym w:font="Wingdings" w:char="F0F2"/>
            </w:r>
          </w:p>
        </w:tc>
        <w:tc>
          <w:tcPr>
            <w:tcW w:w="720" w:type="dxa"/>
            <w:vAlign w:val="center"/>
          </w:tcPr>
          <w:p w14:paraId="08724686" w14:textId="77777777" w:rsidR="007F4C85" w:rsidRPr="004F6DAA" w:rsidRDefault="007F4C85" w:rsidP="00992B23">
            <w:pPr>
              <w:ind w:right="-29"/>
              <w:jc w:val="center"/>
              <w:rPr>
                <w:noProof/>
                <w:sz w:val="18"/>
                <w:szCs w:val="18"/>
              </w:rPr>
            </w:pPr>
          </w:p>
        </w:tc>
        <w:tc>
          <w:tcPr>
            <w:tcW w:w="701" w:type="dxa"/>
            <w:vAlign w:val="center"/>
          </w:tcPr>
          <w:p w14:paraId="23082659" w14:textId="77777777" w:rsidR="007F4C85" w:rsidRPr="004F6DAA" w:rsidRDefault="007F4C85" w:rsidP="00992B23">
            <w:pPr>
              <w:ind w:right="-29"/>
              <w:jc w:val="center"/>
              <w:rPr>
                <w:noProof/>
                <w:sz w:val="18"/>
                <w:szCs w:val="18"/>
              </w:rPr>
            </w:pPr>
          </w:p>
        </w:tc>
        <w:tc>
          <w:tcPr>
            <w:tcW w:w="1224" w:type="dxa"/>
            <w:gridSpan w:val="2"/>
            <w:tcBorders>
              <w:left w:val="nil"/>
            </w:tcBorders>
            <w:vAlign w:val="center"/>
          </w:tcPr>
          <w:p w14:paraId="0AB3E97F" w14:textId="77777777" w:rsidR="00E8358F" w:rsidRPr="004F6DAA" w:rsidRDefault="007F4C85" w:rsidP="00372D5D">
            <w:pPr>
              <w:ind w:right="-28"/>
              <w:contextualSpacing/>
              <w:jc w:val="center"/>
              <w:rPr>
                <w:noProof/>
                <w:sz w:val="18"/>
              </w:rPr>
            </w:pPr>
            <w:r w:rsidRPr="004F6DAA">
              <w:rPr>
                <w:noProof/>
                <w:sz w:val="18"/>
              </w:rPr>
              <w:t>Rok</w:t>
            </w:r>
          </w:p>
          <w:p w14:paraId="3311535A" w14:textId="77777777" w:rsidR="007F4C85" w:rsidRPr="004F6DAA" w:rsidRDefault="007F4C85" w:rsidP="00372D5D">
            <w:pPr>
              <w:ind w:right="-28"/>
              <w:contextualSpacing/>
              <w:jc w:val="center"/>
              <w:rPr>
                <w:noProof/>
                <w:sz w:val="18"/>
                <w:szCs w:val="18"/>
              </w:rPr>
            </w:pPr>
            <w:r w:rsidRPr="004F6DAA">
              <w:rPr>
                <w:b/>
                <w:noProof/>
                <w:sz w:val="18"/>
              </w:rPr>
              <w:t>N</w:t>
            </w:r>
          </w:p>
        </w:tc>
        <w:tc>
          <w:tcPr>
            <w:tcW w:w="1260" w:type="dxa"/>
            <w:gridSpan w:val="2"/>
            <w:vAlign w:val="center"/>
          </w:tcPr>
          <w:p w14:paraId="3AB76F99" w14:textId="77777777" w:rsidR="00E8358F" w:rsidRPr="004F6DAA" w:rsidRDefault="007F4C85" w:rsidP="00372D5D">
            <w:pPr>
              <w:ind w:right="-28"/>
              <w:contextualSpacing/>
              <w:jc w:val="center"/>
              <w:rPr>
                <w:noProof/>
                <w:sz w:val="18"/>
              </w:rPr>
            </w:pPr>
            <w:r w:rsidRPr="004F6DAA">
              <w:rPr>
                <w:noProof/>
                <w:sz w:val="18"/>
              </w:rPr>
              <w:t>Rok</w:t>
            </w:r>
          </w:p>
          <w:p w14:paraId="2A411A7F" w14:textId="77777777" w:rsidR="007F4C85" w:rsidRPr="004F6DAA" w:rsidRDefault="007F4C85" w:rsidP="00372D5D">
            <w:pPr>
              <w:ind w:right="-28"/>
              <w:contextualSpacing/>
              <w:jc w:val="center"/>
              <w:rPr>
                <w:noProof/>
                <w:sz w:val="18"/>
                <w:szCs w:val="18"/>
              </w:rPr>
            </w:pPr>
            <w:r w:rsidRPr="004F6DAA">
              <w:rPr>
                <w:b/>
                <w:noProof/>
                <w:sz w:val="18"/>
              </w:rPr>
              <w:t>N + +1</w:t>
            </w:r>
          </w:p>
        </w:tc>
        <w:tc>
          <w:tcPr>
            <w:tcW w:w="1440" w:type="dxa"/>
            <w:gridSpan w:val="2"/>
            <w:vAlign w:val="center"/>
          </w:tcPr>
          <w:p w14:paraId="1EA252C7" w14:textId="77777777" w:rsidR="00E8358F" w:rsidRPr="004F6DAA" w:rsidRDefault="007F4C85" w:rsidP="00372D5D">
            <w:pPr>
              <w:ind w:right="-28"/>
              <w:contextualSpacing/>
              <w:jc w:val="center"/>
              <w:rPr>
                <w:noProof/>
                <w:sz w:val="18"/>
              </w:rPr>
            </w:pPr>
            <w:r w:rsidRPr="004F6DAA">
              <w:rPr>
                <w:noProof/>
                <w:sz w:val="18"/>
              </w:rPr>
              <w:t>Rok</w:t>
            </w:r>
          </w:p>
          <w:p w14:paraId="544E718F" w14:textId="77777777" w:rsidR="007F4C85" w:rsidRPr="004F6DAA" w:rsidRDefault="007F4C85" w:rsidP="00372D5D">
            <w:pPr>
              <w:ind w:right="-28"/>
              <w:contextualSpacing/>
              <w:jc w:val="center"/>
              <w:rPr>
                <w:noProof/>
                <w:sz w:val="18"/>
                <w:szCs w:val="18"/>
              </w:rPr>
            </w:pPr>
            <w:r w:rsidRPr="004F6DAA">
              <w:rPr>
                <w:b/>
                <w:noProof/>
                <w:sz w:val="18"/>
              </w:rPr>
              <w:t>N + +2</w:t>
            </w:r>
          </w:p>
        </w:tc>
        <w:tc>
          <w:tcPr>
            <w:tcW w:w="1620" w:type="dxa"/>
            <w:gridSpan w:val="3"/>
            <w:vAlign w:val="center"/>
          </w:tcPr>
          <w:p w14:paraId="60676FE9" w14:textId="77777777" w:rsidR="00E8358F" w:rsidRPr="004F6DAA" w:rsidRDefault="007F4C85" w:rsidP="00372D5D">
            <w:pPr>
              <w:ind w:right="-28"/>
              <w:contextualSpacing/>
              <w:jc w:val="center"/>
              <w:rPr>
                <w:noProof/>
                <w:sz w:val="18"/>
              </w:rPr>
            </w:pPr>
            <w:r w:rsidRPr="004F6DAA">
              <w:rPr>
                <w:noProof/>
                <w:sz w:val="18"/>
              </w:rPr>
              <w:t>Rok</w:t>
            </w:r>
          </w:p>
          <w:p w14:paraId="7B3D2C3C" w14:textId="77777777" w:rsidR="007F4C85" w:rsidRPr="004F6DAA" w:rsidRDefault="007F4C85" w:rsidP="00372D5D">
            <w:pPr>
              <w:ind w:right="-28"/>
              <w:contextualSpacing/>
              <w:jc w:val="center"/>
              <w:rPr>
                <w:noProof/>
                <w:sz w:val="18"/>
                <w:szCs w:val="18"/>
              </w:rPr>
            </w:pPr>
            <w:r w:rsidRPr="004F6DAA">
              <w:rPr>
                <w:b/>
                <w:noProof/>
                <w:sz w:val="18"/>
              </w:rPr>
              <w:t>N + 3</w:t>
            </w:r>
          </w:p>
        </w:tc>
        <w:tc>
          <w:tcPr>
            <w:tcW w:w="3600" w:type="dxa"/>
            <w:gridSpan w:val="6"/>
            <w:vAlign w:val="center"/>
          </w:tcPr>
          <w:p w14:paraId="74D6FDE4" w14:textId="77777777" w:rsidR="007F4C85" w:rsidRPr="004F6DAA" w:rsidRDefault="007F4C85" w:rsidP="00992B23">
            <w:pPr>
              <w:jc w:val="center"/>
              <w:rPr>
                <w:noProof/>
                <w:sz w:val="18"/>
                <w:szCs w:val="18"/>
              </w:rPr>
            </w:pPr>
            <w:r w:rsidRPr="004F6DAA">
              <w:rPr>
                <w:noProof/>
                <w:sz w:val="18"/>
              </w:rPr>
              <w:t xml:space="preserve">Wprowadzić taką liczbę kolumn dla poszczególnych lat, jaka jest niezbędna, by odzwierciedlić cały okres wpływu (por. </w:t>
            </w:r>
            <w:r w:rsidRPr="00062BFA">
              <w:rPr>
                <w:noProof/>
                <w:sz w:val="18"/>
              </w:rPr>
              <w:t>pkt</w:t>
            </w:r>
            <w:r w:rsidR="00062BFA" w:rsidRPr="00062BFA">
              <w:rPr>
                <w:noProof/>
                <w:sz w:val="18"/>
              </w:rPr>
              <w:t> </w:t>
            </w:r>
            <w:r w:rsidRPr="00062BFA">
              <w:rPr>
                <w:noProof/>
                <w:sz w:val="18"/>
              </w:rPr>
              <w:t>1</w:t>
            </w:r>
            <w:r w:rsidRPr="004F6DAA">
              <w:rPr>
                <w:noProof/>
                <w:sz w:val="18"/>
              </w:rPr>
              <w:t>.6)</w:t>
            </w:r>
          </w:p>
        </w:tc>
        <w:tc>
          <w:tcPr>
            <w:tcW w:w="1620" w:type="dxa"/>
            <w:gridSpan w:val="2"/>
            <w:tcBorders>
              <w:left w:val="nil"/>
              <w:bottom w:val="nil"/>
            </w:tcBorders>
            <w:vAlign w:val="center"/>
          </w:tcPr>
          <w:p w14:paraId="76D71D05" w14:textId="77777777" w:rsidR="007F4C85" w:rsidRPr="004F6DAA" w:rsidRDefault="007F4C85" w:rsidP="00992B23">
            <w:pPr>
              <w:ind w:right="-29"/>
              <w:jc w:val="center"/>
              <w:rPr>
                <w:noProof/>
                <w:sz w:val="18"/>
                <w:szCs w:val="18"/>
              </w:rPr>
            </w:pPr>
            <w:r w:rsidRPr="004F6DAA">
              <w:rPr>
                <w:b/>
                <w:noProof/>
                <w:sz w:val="18"/>
              </w:rPr>
              <w:t>OGÓŁEM</w:t>
            </w:r>
          </w:p>
        </w:tc>
      </w:tr>
      <w:tr w:rsidR="007F4C85" w:rsidRPr="004F6DAA" w14:paraId="00F28F9B" w14:textId="77777777" w:rsidTr="00992B23">
        <w:trPr>
          <w:jc w:val="center"/>
        </w:trPr>
        <w:tc>
          <w:tcPr>
            <w:tcW w:w="1423" w:type="dxa"/>
            <w:vMerge/>
            <w:vAlign w:val="center"/>
          </w:tcPr>
          <w:p w14:paraId="3979B1FB" w14:textId="77777777" w:rsidR="007F4C85" w:rsidRPr="004F6DAA" w:rsidRDefault="007F4C85" w:rsidP="00992B23">
            <w:pPr>
              <w:ind w:right="-29"/>
              <w:jc w:val="center"/>
              <w:rPr>
                <w:noProof/>
                <w:sz w:val="18"/>
                <w:szCs w:val="18"/>
              </w:rPr>
            </w:pPr>
          </w:p>
        </w:tc>
        <w:tc>
          <w:tcPr>
            <w:tcW w:w="12185" w:type="dxa"/>
            <w:gridSpan w:val="19"/>
            <w:vAlign w:val="center"/>
          </w:tcPr>
          <w:p w14:paraId="0CADC1DA" w14:textId="77777777" w:rsidR="007F4C85" w:rsidRPr="004F6DAA" w:rsidRDefault="007F4C85" w:rsidP="00992B23">
            <w:pPr>
              <w:spacing w:before="60" w:after="60"/>
              <w:ind w:right="-29"/>
              <w:jc w:val="center"/>
              <w:rPr>
                <w:noProof/>
                <w:sz w:val="18"/>
                <w:szCs w:val="18"/>
              </w:rPr>
            </w:pPr>
            <w:r w:rsidRPr="004F6DAA">
              <w:rPr>
                <w:b/>
                <w:noProof/>
                <w:sz w:val="18"/>
              </w:rPr>
              <w:t>PRODUKT</w:t>
            </w:r>
          </w:p>
        </w:tc>
      </w:tr>
      <w:tr w:rsidR="007F4C85" w:rsidRPr="004F6DAA" w14:paraId="0C8A1BFA" w14:textId="77777777" w:rsidTr="00992B23">
        <w:trPr>
          <w:cantSplit/>
          <w:trHeight w:val="1134"/>
          <w:jc w:val="center"/>
        </w:trPr>
        <w:tc>
          <w:tcPr>
            <w:tcW w:w="1423" w:type="dxa"/>
            <w:vMerge/>
            <w:vAlign w:val="center"/>
          </w:tcPr>
          <w:p w14:paraId="747BE4C1" w14:textId="77777777" w:rsidR="007F4C85" w:rsidRPr="004F6DAA" w:rsidRDefault="007F4C85" w:rsidP="00992B23">
            <w:pPr>
              <w:rPr>
                <w:noProof/>
                <w:sz w:val="18"/>
                <w:szCs w:val="18"/>
              </w:rPr>
            </w:pPr>
          </w:p>
        </w:tc>
        <w:tc>
          <w:tcPr>
            <w:tcW w:w="720" w:type="dxa"/>
            <w:vAlign w:val="center"/>
          </w:tcPr>
          <w:p w14:paraId="5003A9D6" w14:textId="77777777" w:rsidR="007F4C85" w:rsidRPr="004F6DAA" w:rsidRDefault="007F4C85" w:rsidP="00992B23">
            <w:pPr>
              <w:jc w:val="center"/>
              <w:rPr>
                <w:noProof/>
                <w:sz w:val="18"/>
                <w:szCs w:val="18"/>
              </w:rPr>
            </w:pPr>
            <w:r w:rsidRPr="004F6DAA">
              <w:rPr>
                <w:noProof/>
                <w:sz w:val="18"/>
              </w:rPr>
              <w:t>Rodzaj</w:t>
            </w:r>
            <w:r w:rsidRPr="004F6DAA">
              <w:rPr>
                <w:rStyle w:val="Odwoanieprzypisudolnego"/>
                <w:noProof/>
                <w:sz w:val="18"/>
              </w:rPr>
              <w:footnoteReference w:id="63"/>
            </w:r>
          </w:p>
          <w:p w14:paraId="37976783" w14:textId="77777777" w:rsidR="007F4C85" w:rsidRPr="004F6DAA" w:rsidRDefault="007F4C85" w:rsidP="00992B23">
            <w:pPr>
              <w:spacing w:before="0" w:after="0"/>
              <w:jc w:val="center"/>
              <w:rPr>
                <w:noProof/>
                <w:sz w:val="18"/>
                <w:szCs w:val="18"/>
              </w:rPr>
            </w:pPr>
          </w:p>
        </w:tc>
        <w:tc>
          <w:tcPr>
            <w:tcW w:w="701" w:type="dxa"/>
            <w:vAlign w:val="center"/>
          </w:tcPr>
          <w:p w14:paraId="466ACE3A" w14:textId="77777777" w:rsidR="007F4C85" w:rsidRPr="004F6DAA" w:rsidRDefault="007F4C85" w:rsidP="00992B23">
            <w:pPr>
              <w:jc w:val="center"/>
              <w:rPr>
                <w:noProof/>
                <w:sz w:val="18"/>
                <w:szCs w:val="18"/>
              </w:rPr>
            </w:pPr>
            <w:r w:rsidRPr="004F6DAA">
              <w:rPr>
                <w:noProof/>
                <w:sz w:val="18"/>
              </w:rPr>
              <w:t>Średni koszt</w:t>
            </w:r>
          </w:p>
        </w:tc>
        <w:tc>
          <w:tcPr>
            <w:tcW w:w="504" w:type="dxa"/>
            <w:tcBorders>
              <w:left w:val="nil"/>
              <w:right w:val="dashSmallGap" w:sz="4" w:space="0" w:color="auto"/>
            </w:tcBorders>
            <w:shd w:val="pct10" w:color="auto" w:fill="auto"/>
            <w:textDirection w:val="btLr"/>
            <w:vAlign w:val="center"/>
          </w:tcPr>
          <w:p w14:paraId="0A766569" w14:textId="77777777" w:rsidR="007F4C85" w:rsidRPr="004F6DAA" w:rsidRDefault="007F4C85" w:rsidP="00992B23">
            <w:pPr>
              <w:ind w:left="113" w:right="113"/>
              <w:jc w:val="center"/>
              <w:rPr>
                <w:noProof/>
                <w:sz w:val="18"/>
                <w:szCs w:val="18"/>
              </w:rPr>
            </w:pPr>
            <w:r w:rsidRPr="004F6DAA">
              <w:rPr>
                <w:noProof/>
                <w:sz w:val="18"/>
              </w:rPr>
              <w:t>Liczba</w:t>
            </w:r>
          </w:p>
        </w:tc>
        <w:tc>
          <w:tcPr>
            <w:tcW w:w="720" w:type="dxa"/>
            <w:tcBorders>
              <w:left w:val="dashSmallGap" w:sz="4" w:space="0" w:color="auto"/>
            </w:tcBorders>
            <w:shd w:val="pct10" w:color="auto" w:fill="auto"/>
            <w:vAlign w:val="center"/>
          </w:tcPr>
          <w:p w14:paraId="7B1D148E" w14:textId="77777777" w:rsidR="007F4C85" w:rsidRPr="004F6DAA" w:rsidRDefault="007F4C85" w:rsidP="00992B23">
            <w:pPr>
              <w:jc w:val="center"/>
              <w:rPr>
                <w:noProof/>
                <w:sz w:val="18"/>
                <w:szCs w:val="18"/>
              </w:rPr>
            </w:pPr>
            <w:r w:rsidRPr="004F6DAA">
              <w:rPr>
                <w:noProof/>
                <w:sz w:val="18"/>
              </w:rPr>
              <w:t>Koszt</w:t>
            </w:r>
          </w:p>
        </w:tc>
        <w:tc>
          <w:tcPr>
            <w:tcW w:w="540" w:type="dxa"/>
            <w:tcBorders>
              <w:right w:val="dashSmallGap" w:sz="4" w:space="0" w:color="auto"/>
            </w:tcBorders>
            <w:shd w:val="pct10" w:color="auto" w:fill="auto"/>
            <w:textDirection w:val="btLr"/>
            <w:vAlign w:val="center"/>
          </w:tcPr>
          <w:p w14:paraId="25AA7A42" w14:textId="77777777" w:rsidR="007F4C85" w:rsidRPr="004F6DAA" w:rsidRDefault="007F4C85" w:rsidP="00992B23">
            <w:pPr>
              <w:ind w:left="113" w:right="113"/>
              <w:jc w:val="center"/>
              <w:rPr>
                <w:noProof/>
                <w:sz w:val="18"/>
                <w:szCs w:val="18"/>
              </w:rPr>
            </w:pPr>
            <w:r w:rsidRPr="004F6DAA">
              <w:rPr>
                <w:noProof/>
                <w:sz w:val="18"/>
              </w:rPr>
              <w:t>Liczba</w:t>
            </w:r>
          </w:p>
        </w:tc>
        <w:tc>
          <w:tcPr>
            <w:tcW w:w="720" w:type="dxa"/>
            <w:tcBorders>
              <w:left w:val="dashSmallGap" w:sz="4" w:space="0" w:color="auto"/>
            </w:tcBorders>
            <w:shd w:val="pct10" w:color="auto" w:fill="auto"/>
            <w:vAlign w:val="center"/>
          </w:tcPr>
          <w:p w14:paraId="1820F465" w14:textId="77777777" w:rsidR="007F4C85" w:rsidRPr="004F6DAA" w:rsidRDefault="007F4C85" w:rsidP="00992B23">
            <w:pPr>
              <w:jc w:val="center"/>
              <w:rPr>
                <w:noProof/>
                <w:sz w:val="18"/>
                <w:szCs w:val="18"/>
              </w:rPr>
            </w:pPr>
            <w:r w:rsidRPr="004F6DAA">
              <w:rPr>
                <w:noProof/>
                <w:sz w:val="18"/>
              </w:rPr>
              <w:t>Koszt</w:t>
            </w:r>
          </w:p>
        </w:tc>
        <w:tc>
          <w:tcPr>
            <w:tcW w:w="720" w:type="dxa"/>
            <w:tcBorders>
              <w:right w:val="dashSmallGap" w:sz="4" w:space="0" w:color="auto"/>
            </w:tcBorders>
            <w:shd w:val="pct10" w:color="auto" w:fill="auto"/>
            <w:textDirection w:val="btLr"/>
            <w:vAlign w:val="center"/>
          </w:tcPr>
          <w:p w14:paraId="434C85EE" w14:textId="77777777" w:rsidR="007F4C85" w:rsidRPr="004F6DAA" w:rsidRDefault="007F4C85" w:rsidP="00992B23">
            <w:pPr>
              <w:ind w:left="113" w:right="113"/>
              <w:jc w:val="center"/>
              <w:rPr>
                <w:noProof/>
                <w:sz w:val="18"/>
                <w:szCs w:val="18"/>
              </w:rPr>
            </w:pPr>
            <w:r w:rsidRPr="004F6DAA">
              <w:rPr>
                <w:noProof/>
                <w:sz w:val="18"/>
              </w:rPr>
              <w:t>Liczba</w:t>
            </w:r>
          </w:p>
        </w:tc>
        <w:tc>
          <w:tcPr>
            <w:tcW w:w="720" w:type="dxa"/>
            <w:tcBorders>
              <w:left w:val="dashSmallGap" w:sz="4" w:space="0" w:color="auto"/>
            </w:tcBorders>
            <w:shd w:val="pct10" w:color="auto" w:fill="auto"/>
            <w:vAlign w:val="center"/>
          </w:tcPr>
          <w:p w14:paraId="69BAE0FD" w14:textId="77777777" w:rsidR="007F4C85" w:rsidRPr="004F6DAA" w:rsidRDefault="007F4C85" w:rsidP="00992B23">
            <w:pPr>
              <w:jc w:val="center"/>
              <w:rPr>
                <w:noProof/>
                <w:sz w:val="18"/>
                <w:szCs w:val="18"/>
              </w:rPr>
            </w:pPr>
            <w:r w:rsidRPr="004F6DAA">
              <w:rPr>
                <w:noProof/>
                <w:sz w:val="18"/>
              </w:rPr>
              <w:t>Koszt</w:t>
            </w:r>
          </w:p>
        </w:tc>
        <w:tc>
          <w:tcPr>
            <w:tcW w:w="900" w:type="dxa"/>
            <w:tcBorders>
              <w:right w:val="dashSmallGap" w:sz="4" w:space="0" w:color="auto"/>
            </w:tcBorders>
            <w:shd w:val="pct10" w:color="auto" w:fill="auto"/>
            <w:textDirection w:val="btLr"/>
            <w:vAlign w:val="center"/>
          </w:tcPr>
          <w:p w14:paraId="41562878" w14:textId="77777777" w:rsidR="007F4C85" w:rsidRPr="004F6DAA" w:rsidRDefault="007F4C85" w:rsidP="00992B23">
            <w:pPr>
              <w:ind w:left="113" w:right="113"/>
              <w:jc w:val="center"/>
              <w:rPr>
                <w:noProof/>
                <w:sz w:val="18"/>
                <w:szCs w:val="18"/>
              </w:rPr>
            </w:pPr>
            <w:r w:rsidRPr="004F6DAA">
              <w:rPr>
                <w:noProof/>
                <w:sz w:val="18"/>
              </w:rPr>
              <w:t>Liczba</w:t>
            </w:r>
          </w:p>
        </w:tc>
        <w:tc>
          <w:tcPr>
            <w:tcW w:w="720" w:type="dxa"/>
            <w:gridSpan w:val="2"/>
            <w:tcBorders>
              <w:left w:val="dashSmallGap" w:sz="4" w:space="0" w:color="auto"/>
            </w:tcBorders>
            <w:shd w:val="pct10" w:color="auto" w:fill="auto"/>
            <w:vAlign w:val="center"/>
          </w:tcPr>
          <w:p w14:paraId="215B6647" w14:textId="77777777" w:rsidR="007F4C85" w:rsidRPr="004F6DAA" w:rsidRDefault="007F4C85" w:rsidP="00992B23">
            <w:pPr>
              <w:jc w:val="center"/>
              <w:rPr>
                <w:noProof/>
                <w:sz w:val="18"/>
                <w:szCs w:val="18"/>
              </w:rPr>
            </w:pPr>
            <w:r w:rsidRPr="004F6DAA">
              <w:rPr>
                <w:noProof/>
                <w:sz w:val="18"/>
              </w:rPr>
              <w:t>Koszt</w:t>
            </w:r>
          </w:p>
        </w:tc>
        <w:tc>
          <w:tcPr>
            <w:tcW w:w="540" w:type="dxa"/>
            <w:tcBorders>
              <w:right w:val="dashSmallGap" w:sz="4" w:space="0" w:color="auto"/>
            </w:tcBorders>
            <w:shd w:val="pct10" w:color="auto" w:fill="auto"/>
            <w:textDirection w:val="btLr"/>
            <w:vAlign w:val="center"/>
          </w:tcPr>
          <w:p w14:paraId="4A6F6DBC" w14:textId="77777777" w:rsidR="007F4C85" w:rsidRPr="004F6DAA" w:rsidRDefault="007F4C85" w:rsidP="00992B23">
            <w:pPr>
              <w:ind w:left="113" w:right="113"/>
              <w:jc w:val="center"/>
              <w:rPr>
                <w:noProof/>
                <w:sz w:val="18"/>
                <w:szCs w:val="18"/>
              </w:rPr>
            </w:pPr>
            <w:r w:rsidRPr="004F6DAA">
              <w:rPr>
                <w:noProof/>
                <w:sz w:val="18"/>
              </w:rPr>
              <w:t>Liczba</w:t>
            </w:r>
          </w:p>
        </w:tc>
        <w:tc>
          <w:tcPr>
            <w:tcW w:w="648" w:type="dxa"/>
            <w:tcBorders>
              <w:left w:val="dashSmallGap" w:sz="4" w:space="0" w:color="auto"/>
            </w:tcBorders>
            <w:shd w:val="pct10" w:color="auto" w:fill="auto"/>
            <w:vAlign w:val="center"/>
          </w:tcPr>
          <w:p w14:paraId="2FD1AB20" w14:textId="77777777" w:rsidR="007F4C85" w:rsidRPr="004F6DAA" w:rsidRDefault="007F4C85" w:rsidP="00992B23">
            <w:pPr>
              <w:jc w:val="center"/>
              <w:rPr>
                <w:noProof/>
                <w:sz w:val="18"/>
                <w:szCs w:val="18"/>
              </w:rPr>
            </w:pPr>
            <w:r w:rsidRPr="004F6DAA">
              <w:rPr>
                <w:noProof/>
                <w:sz w:val="18"/>
              </w:rPr>
              <w:t>Koszt</w:t>
            </w:r>
          </w:p>
        </w:tc>
        <w:tc>
          <w:tcPr>
            <w:tcW w:w="432" w:type="dxa"/>
            <w:tcBorders>
              <w:right w:val="dashSmallGap" w:sz="4" w:space="0" w:color="auto"/>
            </w:tcBorders>
            <w:shd w:val="pct10" w:color="auto" w:fill="auto"/>
            <w:textDirection w:val="btLr"/>
            <w:vAlign w:val="center"/>
          </w:tcPr>
          <w:p w14:paraId="199EBEB2" w14:textId="77777777" w:rsidR="007F4C85" w:rsidRPr="004F6DAA" w:rsidRDefault="007F4C85" w:rsidP="00992B23">
            <w:pPr>
              <w:ind w:left="113" w:right="113"/>
              <w:jc w:val="center"/>
              <w:rPr>
                <w:noProof/>
                <w:sz w:val="18"/>
                <w:szCs w:val="18"/>
              </w:rPr>
            </w:pPr>
            <w:r w:rsidRPr="004F6DAA">
              <w:rPr>
                <w:noProof/>
                <w:sz w:val="18"/>
              </w:rPr>
              <w:t>Liczba</w:t>
            </w:r>
          </w:p>
        </w:tc>
        <w:tc>
          <w:tcPr>
            <w:tcW w:w="720" w:type="dxa"/>
            <w:tcBorders>
              <w:left w:val="dashSmallGap" w:sz="4" w:space="0" w:color="auto"/>
            </w:tcBorders>
            <w:shd w:val="pct10" w:color="auto" w:fill="auto"/>
            <w:vAlign w:val="center"/>
          </w:tcPr>
          <w:p w14:paraId="7A0684DB" w14:textId="77777777" w:rsidR="007F4C85" w:rsidRPr="004F6DAA" w:rsidRDefault="007F4C85" w:rsidP="00992B23">
            <w:pPr>
              <w:jc w:val="center"/>
              <w:rPr>
                <w:noProof/>
                <w:sz w:val="18"/>
                <w:szCs w:val="18"/>
              </w:rPr>
            </w:pPr>
            <w:r w:rsidRPr="004F6DAA">
              <w:rPr>
                <w:noProof/>
                <w:sz w:val="18"/>
              </w:rPr>
              <w:t>Koszt</w:t>
            </w:r>
          </w:p>
        </w:tc>
        <w:tc>
          <w:tcPr>
            <w:tcW w:w="540" w:type="dxa"/>
            <w:tcBorders>
              <w:right w:val="dashSmallGap" w:sz="4" w:space="0" w:color="auto"/>
            </w:tcBorders>
            <w:shd w:val="pct10" w:color="auto" w:fill="auto"/>
            <w:textDirection w:val="btLr"/>
            <w:vAlign w:val="center"/>
          </w:tcPr>
          <w:p w14:paraId="6723CFB9" w14:textId="77777777" w:rsidR="007F4C85" w:rsidRPr="004F6DAA" w:rsidRDefault="007F4C85" w:rsidP="00992B23">
            <w:pPr>
              <w:ind w:left="113" w:right="113"/>
              <w:jc w:val="center"/>
              <w:rPr>
                <w:noProof/>
                <w:sz w:val="18"/>
                <w:szCs w:val="18"/>
              </w:rPr>
            </w:pPr>
            <w:r w:rsidRPr="004F6DAA">
              <w:rPr>
                <w:noProof/>
                <w:sz w:val="18"/>
              </w:rPr>
              <w:t>Liczba</w:t>
            </w:r>
          </w:p>
        </w:tc>
        <w:tc>
          <w:tcPr>
            <w:tcW w:w="720" w:type="dxa"/>
            <w:tcBorders>
              <w:left w:val="dashSmallGap" w:sz="4" w:space="0" w:color="auto"/>
            </w:tcBorders>
            <w:shd w:val="pct10" w:color="auto" w:fill="auto"/>
            <w:vAlign w:val="center"/>
          </w:tcPr>
          <w:p w14:paraId="63E4EA4F" w14:textId="77777777" w:rsidR="007F4C85" w:rsidRPr="004F6DAA" w:rsidRDefault="007F4C85" w:rsidP="00992B23">
            <w:pPr>
              <w:jc w:val="center"/>
              <w:rPr>
                <w:noProof/>
                <w:sz w:val="18"/>
                <w:szCs w:val="18"/>
              </w:rPr>
            </w:pPr>
            <w:r w:rsidRPr="004F6DAA">
              <w:rPr>
                <w:noProof/>
                <w:sz w:val="18"/>
              </w:rPr>
              <w:t>Koszt</w:t>
            </w:r>
          </w:p>
        </w:tc>
        <w:tc>
          <w:tcPr>
            <w:tcW w:w="720" w:type="dxa"/>
            <w:tcBorders>
              <w:right w:val="dashSmallGap" w:sz="4" w:space="0" w:color="auto"/>
            </w:tcBorders>
            <w:shd w:val="pct10" w:color="auto" w:fill="auto"/>
            <w:vAlign w:val="center"/>
          </w:tcPr>
          <w:p w14:paraId="5FFDCD70" w14:textId="77777777" w:rsidR="007F4C85" w:rsidRPr="004F6DAA" w:rsidRDefault="007F4C85" w:rsidP="00992B23">
            <w:pPr>
              <w:jc w:val="center"/>
              <w:rPr>
                <w:noProof/>
                <w:sz w:val="18"/>
                <w:szCs w:val="18"/>
              </w:rPr>
            </w:pPr>
            <w:r w:rsidRPr="004F6DAA">
              <w:rPr>
                <w:noProof/>
                <w:sz w:val="18"/>
              </w:rPr>
              <w:t>Liczba ogółem</w:t>
            </w:r>
          </w:p>
        </w:tc>
        <w:tc>
          <w:tcPr>
            <w:tcW w:w="900" w:type="dxa"/>
            <w:tcBorders>
              <w:left w:val="dashSmallGap" w:sz="4" w:space="0" w:color="auto"/>
            </w:tcBorders>
            <w:shd w:val="pct10" w:color="auto" w:fill="auto"/>
            <w:vAlign w:val="center"/>
          </w:tcPr>
          <w:p w14:paraId="26BF1B61" w14:textId="77777777" w:rsidR="007F4C85" w:rsidRPr="004F6DAA" w:rsidRDefault="007F4C85" w:rsidP="00992B23">
            <w:pPr>
              <w:jc w:val="center"/>
              <w:rPr>
                <w:noProof/>
                <w:sz w:val="18"/>
                <w:szCs w:val="18"/>
              </w:rPr>
            </w:pPr>
            <w:r w:rsidRPr="004F6DAA">
              <w:rPr>
                <w:noProof/>
                <w:sz w:val="18"/>
              </w:rPr>
              <w:t>Koszt całkowity</w:t>
            </w:r>
          </w:p>
        </w:tc>
      </w:tr>
      <w:tr w:rsidR="007F4C85" w:rsidRPr="004F6DAA" w14:paraId="4CC84A40" w14:textId="77777777" w:rsidTr="00992B23">
        <w:trPr>
          <w:jc w:val="center"/>
        </w:trPr>
        <w:tc>
          <w:tcPr>
            <w:tcW w:w="2844" w:type="dxa"/>
            <w:gridSpan w:val="3"/>
            <w:vAlign w:val="center"/>
          </w:tcPr>
          <w:p w14:paraId="29600117" w14:textId="77777777" w:rsidR="007F4C85" w:rsidRPr="004F6DAA" w:rsidRDefault="007F4C85" w:rsidP="00992B23">
            <w:pPr>
              <w:spacing w:before="60" w:after="60"/>
              <w:ind w:right="-29"/>
              <w:jc w:val="center"/>
              <w:rPr>
                <w:noProof/>
                <w:sz w:val="18"/>
                <w:szCs w:val="18"/>
              </w:rPr>
            </w:pPr>
            <w:r w:rsidRPr="004F6DAA">
              <w:rPr>
                <w:noProof/>
                <w:sz w:val="18"/>
              </w:rPr>
              <w:t xml:space="preserve">CEL SZCZEGÓŁOWY </w:t>
            </w:r>
            <w:r w:rsidRPr="00062BFA">
              <w:rPr>
                <w:noProof/>
                <w:sz w:val="18"/>
              </w:rPr>
              <w:t>nr</w:t>
            </w:r>
            <w:r w:rsidR="00062BFA" w:rsidRPr="00062BFA">
              <w:rPr>
                <w:noProof/>
                <w:sz w:val="18"/>
              </w:rPr>
              <w:t> </w:t>
            </w:r>
            <w:r w:rsidRPr="00062BFA">
              <w:rPr>
                <w:noProof/>
                <w:sz w:val="18"/>
              </w:rPr>
              <w:t>1</w:t>
            </w:r>
            <w:r w:rsidRPr="004F6DAA">
              <w:rPr>
                <w:rStyle w:val="Odwoanieprzypisudolnego"/>
                <w:noProof/>
                <w:sz w:val="18"/>
              </w:rPr>
              <w:footnoteReference w:id="64"/>
            </w:r>
            <w:r w:rsidRPr="004F6DAA">
              <w:rPr>
                <w:noProof/>
                <w:sz w:val="18"/>
              </w:rPr>
              <w:t>...</w:t>
            </w:r>
          </w:p>
        </w:tc>
        <w:tc>
          <w:tcPr>
            <w:tcW w:w="504" w:type="dxa"/>
            <w:tcBorders>
              <w:top w:val="nil"/>
              <w:left w:val="nil"/>
              <w:bottom w:val="nil"/>
              <w:right w:val="nil"/>
            </w:tcBorders>
          </w:tcPr>
          <w:p w14:paraId="63169CD4"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758B6A2C" w14:textId="77777777" w:rsidR="007F4C85" w:rsidRPr="004F6DAA" w:rsidRDefault="007F4C85" w:rsidP="00992B23">
            <w:pPr>
              <w:spacing w:before="60" w:after="60"/>
              <w:ind w:right="-29"/>
              <w:jc w:val="center"/>
              <w:rPr>
                <w:noProof/>
                <w:sz w:val="18"/>
                <w:szCs w:val="18"/>
              </w:rPr>
            </w:pPr>
          </w:p>
        </w:tc>
        <w:tc>
          <w:tcPr>
            <w:tcW w:w="540" w:type="dxa"/>
            <w:tcBorders>
              <w:top w:val="nil"/>
              <w:left w:val="nil"/>
              <w:bottom w:val="nil"/>
              <w:right w:val="nil"/>
            </w:tcBorders>
          </w:tcPr>
          <w:p w14:paraId="00750F2D"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25D3E81F"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4D7CBEA2"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45AA3C3C" w14:textId="77777777" w:rsidR="007F4C85" w:rsidRPr="004F6DAA" w:rsidRDefault="007F4C85" w:rsidP="00992B23">
            <w:pPr>
              <w:spacing w:before="60" w:after="60"/>
              <w:ind w:right="-29"/>
              <w:jc w:val="center"/>
              <w:rPr>
                <w:noProof/>
                <w:sz w:val="18"/>
                <w:szCs w:val="18"/>
              </w:rPr>
            </w:pPr>
          </w:p>
        </w:tc>
        <w:tc>
          <w:tcPr>
            <w:tcW w:w="900" w:type="dxa"/>
            <w:tcBorders>
              <w:top w:val="nil"/>
              <w:left w:val="nil"/>
              <w:bottom w:val="nil"/>
              <w:right w:val="nil"/>
            </w:tcBorders>
          </w:tcPr>
          <w:p w14:paraId="2ED590D5" w14:textId="77777777" w:rsidR="007F4C85" w:rsidRPr="004F6DAA" w:rsidRDefault="007F4C85" w:rsidP="00992B23">
            <w:pPr>
              <w:spacing w:before="60" w:after="60"/>
              <w:ind w:right="-29"/>
              <w:jc w:val="center"/>
              <w:rPr>
                <w:noProof/>
                <w:sz w:val="18"/>
                <w:szCs w:val="18"/>
              </w:rPr>
            </w:pPr>
          </w:p>
        </w:tc>
        <w:tc>
          <w:tcPr>
            <w:tcW w:w="720" w:type="dxa"/>
            <w:gridSpan w:val="2"/>
            <w:tcBorders>
              <w:top w:val="nil"/>
              <w:left w:val="nil"/>
              <w:bottom w:val="nil"/>
              <w:right w:val="nil"/>
            </w:tcBorders>
          </w:tcPr>
          <w:p w14:paraId="5221F659" w14:textId="77777777" w:rsidR="007F4C85" w:rsidRPr="004F6DAA" w:rsidRDefault="007F4C85" w:rsidP="00992B23">
            <w:pPr>
              <w:spacing w:before="60" w:after="60"/>
              <w:ind w:right="-29"/>
              <w:jc w:val="center"/>
              <w:rPr>
                <w:noProof/>
                <w:sz w:val="18"/>
                <w:szCs w:val="18"/>
              </w:rPr>
            </w:pPr>
          </w:p>
        </w:tc>
        <w:tc>
          <w:tcPr>
            <w:tcW w:w="540" w:type="dxa"/>
            <w:tcBorders>
              <w:top w:val="nil"/>
              <w:left w:val="nil"/>
              <w:bottom w:val="nil"/>
              <w:right w:val="nil"/>
            </w:tcBorders>
          </w:tcPr>
          <w:p w14:paraId="7BF48C4B" w14:textId="77777777" w:rsidR="007F4C85" w:rsidRPr="004F6DAA" w:rsidRDefault="007F4C85" w:rsidP="00992B23">
            <w:pPr>
              <w:spacing w:before="60" w:after="60"/>
              <w:ind w:right="-29"/>
              <w:jc w:val="center"/>
              <w:rPr>
                <w:noProof/>
                <w:sz w:val="18"/>
                <w:szCs w:val="18"/>
              </w:rPr>
            </w:pPr>
          </w:p>
        </w:tc>
        <w:tc>
          <w:tcPr>
            <w:tcW w:w="648" w:type="dxa"/>
            <w:tcBorders>
              <w:top w:val="nil"/>
              <w:left w:val="nil"/>
              <w:bottom w:val="nil"/>
              <w:right w:val="nil"/>
            </w:tcBorders>
          </w:tcPr>
          <w:p w14:paraId="6FB722E3" w14:textId="77777777" w:rsidR="007F4C85" w:rsidRPr="004F6DAA" w:rsidRDefault="007F4C85" w:rsidP="00992B23">
            <w:pPr>
              <w:spacing w:before="60" w:after="60"/>
              <w:ind w:right="-29"/>
              <w:jc w:val="center"/>
              <w:rPr>
                <w:noProof/>
                <w:sz w:val="18"/>
                <w:szCs w:val="18"/>
              </w:rPr>
            </w:pPr>
          </w:p>
        </w:tc>
        <w:tc>
          <w:tcPr>
            <w:tcW w:w="432" w:type="dxa"/>
            <w:tcBorders>
              <w:top w:val="nil"/>
              <w:left w:val="nil"/>
              <w:bottom w:val="nil"/>
              <w:right w:val="nil"/>
            </w:tcBorders>
          </w:tcPr>
          <w:p w14:paraId="5FC2523A"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3CD96D56" w14:textId="77777777" w:rsidR="007F4C85" w:rsidRPr="004F6DAA" w:rsidRDefault="007F4C85" w:rsidP="00992B23">
            <w:pPr>
              <w:spacing w:before="60" w:after="60"/>
              <w:ind w:right="-29"/>
              <w:jc w:val="center"/>
              <w:rPr>
                <w:noProof/>
                <w:sz w:val="18"/>
                <w:szCs w:val="18"/>
              </w:rPr>
            </w:pPr>
          </w:p>
        </w:tc>
        <w:tc>
          <w:tcPr>
            <w:tcW w:w="540" w:type="dxa"/>
            <w:tcBorders>
              <w:top w:val="nil"/>
              <w:left w:val="nil"/>
              <w:bottom w:val="nil"/>
              <w:right w:val="nil"/>
            </w:tcBorders>
          </w:tcPr>
          <w:p w14:paraId="7C445627"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64AA152B"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6BFB0E53" w14:textId="77777777" w:rsidR="007F4C85" w:rsidRPr="004F6DAA" w:rsidRDefault="007F4C85" w:rsidP="00992B23">
            <w:pPr>
              <w:spacing w:before="60" w:after="60"/>
              <w:ind w:right="-29"/>
              <w:jc w:val="center"/>
              <w:rPr>
                <w:noProof/>
                <w:sz w:val="18"/>
                <w:szCs w:val="18"/>
              </w:rPr>
            </w:pPr>
          </w:p>
        </w:tc>
        <w:tc>
          <w:tcPr>
            <w:tcW w:w="900" w:type="dxa"/>
            <w:tcBorders>
              <w:top w:val="nil"/>
              <w:left w:val="nil"/>
              <w:bottom w:val="nil"/>
              <w:right w:val="nil"/>
            </w:tcBorders>
          </w:tcPr>
          <w:p w14:paraId="19618216" w14:textId="77777777" w:rsidR="007F4C85" w:rsidRPr="004F6DAA" w:rsidRDefault="007F4C85" w:rsidP="00992B23">
            <w:pPr>
              <w:spacing w:before="60" w:after="60"/>
              <w:ind w:right="-29"/>
              <w:jc w:val="center"/>
              <w:rPr>
                <w:noProof/>
                <w:sz w:val="18"/>
                <w:szCs w:val="18"/>
              </w:rPr>
            </w:pPr>
          </w:p>
        </w:tc>
      </w:tr>
      <w:tr w:rsidR="007F4C85" w:rsidRPr="004F6DAA" w14:paraId="1EAE28E5" w14:textId="77777777" w:rsidTr="00992B23">
        <w:trPr>
          <w:trHeight w:hRule="exact" w:val="369"/>
          <w:jc w:val="center"/>
        </w:trPr>
        <w:tc>
          <w:tcPr>
            <w:tcW w:w="1423" w:type="dxa"/>
          </w:tcPr>
          <w:p w14:paraId="3AD5654C" w14:textId="77777777" w:rsidR="007F4C85" w:rsidRPr="004F6DAA" w:rsidRDefault="007F4C85" w:rsidP="00992B23">
            <w:pPr>
              <w:ind w:right="-29"/>
              <w:jc w:val="center"/>
              <w:rPr>
                <w:noProof/>
                <w:sz w:val="18"/>
                <w:szCs w:val="18"/>
              </w:rPr>
            </w:pPr>
            <w:r w:rsidRPr="004F6DAA">
              <w:rPr>
                <w:noProof/>
                <w:sz w:val="18"/>
              </w:rPr>
              <w:t>- Produkt</w:t>
            </w:r>
          </w:p>
        </w:tc>
        <w:tc>
          <w:tcPr>
            <w:tcW w:w="720" w:type="dxa"/>
          </w:tcPr>
          <w:p w14:paraId="279BEB9A" w14:textId="77777777" w:rsidR="007F4C85" w:rsidRPr="004F6DAA" w:rsidRDefault="007F4C85" w:rsidP="00992B23">
            <w:pPr>
              <w:ind w:right="-29"/>
              <w:jc w:val="center"/>
              <w:rPr>
                <w:noProof/>
                <w:sz w:val="18"/>
                <w:szCs w:val="18"/>
              </w:rPr>
            </w:pPr>
          </w:p>
        </w:tc>
        <w:tc>
          <w:tcPr>
            <w:tcW w:w="701" w:type="dxa"/>
          </w:tcPr>
          <w:p w14:paraId="23AA485E" w14:textId="77777777" w:rsidR="007F4C85" w:rsidRPr="004F6DAA" w:rsidRDefault="007F4C85" w:rsidP="00992B23">
            <w:pPr>
              <w:ind w:right="-29"/>
              <w:jc w:val="center"/>
              <w:rPr>
                <w:noProof/>
                <w:sz w:val="18"/>
                <w:szCs w:val="18"/>
              </w:rPr>
            </w:pPr>
          </w:p>
        </w:tc>
        <w:tc>
          <w:tcPr>
            <w:tcW w:w="504" w:type="dxa"/>
            <w:tcBorders>
              <w:right w:val="dashSmallGap" w:sz="4" w:space="0" w:color="auto"/>
            </w:tcBorders>
          </w:tcPr>
          <w:p w14:paraId="56A6F452" w14:textId="77777777" w:rsidR="007F4C85" w:rsidRPr="004F6DAA" w:rsidRDefault="007F4C85" w:rsidP="00992B23">
            <w:pPr>
              <w:ind w:right="-29"/>
              <w:jc w:val="center"/>
              <w:rPr>
                <w:noProof/>
                <w:sz w:val="18"/>
                <w:szCs w:val="18"/>
              </w:rPr>
            </w:pPr>
          </w:p>
        </w:tc>
        <w:tc>
          <w:tcPr>
            <w:tcW w:w="720" w:type="dxa"/>
            <w:tcBorders>
              <w:left w:val="dashSmallGap" w:sz="4" w:space="0" w:color="auto"/>
            </w:tcBorders>
          </w:tcPr>
          <w:p w14:paraId="5DF7D424" w14:textId="77777777" w:rsidR="007F4C85" w:rsidRPr="004F6DAA" w:rsidRDefault="007F4C85" w:rsidP="00992B23">
            <w:pPr>
              <w:ind w:right="-29"/>
              <w:jc w:val="center"/>
              <w:rPr>
                <w:noProof/>
                <w:sz w:val="18"/>
                <w:szCs w:val="18"/>
              </w:rPr>
            </w:pPr>
          </w:p>
        </w:tc>
        <w:tc>
          <w:tcPr>
            <w:tcW w:w="540" w:type="dxa"/>
            <w:tcBorders>
              <w:right w:val="dashSmallGap" w:sz="4" w:space="0" w:color="auto"/>
            </w:tcBorders>
          </w:tcPr>
          <w:p w14:paraId="07924791" w14:textId="77777777" w:rsidR="007F4C85" w:rsidRPr="004F6DAA" w:rsidRDefault="007F4C85" w:rsidP="00992B23">
            <w:pPr>
              <w:ind w:right="-29"/>
              <w:jc w:val="center"/>
              <w:rPr>
                <w:noProof/>
                <w:sz w:val="18"/>
                <w:szCs w:val="18"/>
              </w:rPr>
            </w:pPr>
          </w:p>
        </w:tc>
        <w:tc>
          <w:tcPr>
            <w:tcW w:w="720" w:type="dxa"/>
            <w:tcBorders>
              <w:left w:val="dashSmallGap" w:sz="4" w:space="0" w:color="auto"/>
            </w:tcBorders>
          </w:tcPr>
          <w:p w14:paraId="11D03B07" w14:textId="77777777" w:rsidR="007F4C85" w:rsidRPr="004F6DAA" w:rsidRDefault="007F4C85" w:rsidP="00992B23">
            <w:pPr>
              <w:ind w:right="-29"/>
              <w:jc w:val="center"/>
              <w:rPr>
                <w:noProof/>
                <w:sz w:val="18"/>
                <w:szCs w:val="18"/>
              </w:rPr>
            </w:pPr>
          </w:p>
        </w:tc>
        <w:tc>
          <w:tcPr>
            <w:tcW w:w="720" w:type="dxa"/>
            <w:tcBorders>
              <w:right w:val="dashSmallGap" w:sz="4" w:space="0" w:color="auto"/>
            </w:tcBorders>
          </w:tcPr>
          <w:p w14:paraId="7C753B9A" w14:textId="77777777" w:rsidR="007F4C85" w:rsidRPr="004F6DAA" w:rsidRDefault="007F4C85" w:rsidP="00992B23">
            <w:pPr>
              <w:ind w:right="-29"/>
              <w:jc w:val="center"/>
              <w:rPr>
                <w:noProof/>
                <w:sz w:val="18"/>
                <w:szCs w:val="18"/>
              </w:rPr>
            </w:pPr>
          </w:p>
        </w:tc>
        <w:tc>
          <w:tcPr>
            <w:tcW w:w="720" w:type="dxa"/>
            <w:tcBorders>
              <w:left w:val="dashSmallGap" w:sz="4" w:space="0" w:color="auto"/>
            </w:tcBorders>
          </w:tcPr>
          <w:p w14:paraId="387C8EC3" w14:textId="77777777" w:rsidR="007F4C85" w:rsidRPr="004F6DAA" w:rsidRDefault="007F4C85" w:rsidP="00992B23">
            <w:pPr>
              <w:ind w:right="-29"/>
              <w:jc w:val="center"/>
              <w:rPr>
                <w:noProof/>
                <w:sz w:val="18"/>
                <w:szCs w:val="18"/>
              </w:rPr>
            </w:pPr>
          </w:p>
        </w:tc>
        <w:tc>
          <w:tcPr>
            <w:tcW w:w="900" w:type="dxa"/>
            <w:tcBorders>
              <w:right w:val="dashSmallGap" w:sz="4" w:space="0" w:color="auto"/>
            </w:tcBorders>
          </w:tcPr>
          <w:p w14:paraId="1D7DA695" w14:textId="77777777" w:rsidR="007F4C85" w:rsidRPr="004F6DAA" w:rsidRDefault="007F4C85" w:rsidP="00992B23">
            <w:pPr>
              <w:ind w:right="-29"/>
              <w:jc w:val="center"/>
              <w:rPr>
                <w:noProof/>
                <w:sz w:val="18"/>
                <w:szCs w:val="18"/>
              </w:rPr>
            </w:pPr>
          </w:p>
        </w:tc>
        <w:tc>
          <w:tcPr>
            <w:tcW w:w="720" w:type="dxa"/>
            <w:gridSpan w:val="2"/>
            <w:tcBorders>
              <w:left w:val="dashSmallGap" w:sz="4" w:space="0" w:color="auto"/>
            </w:tcBorders>
          </w:tcPr>
          <w:p w14:paraId="786C7080" w14:textId="77777777" w:rsidR="007F4C85" w:rsidRPr="004F6DAA" w:rsidRDefault="007F4C85" w:rsidP="00992B23">
            <w:pPr>
              <w:ind w:right="-29"/>
              <w:jc w:val="center"/>
              <w:rPr>
                <w:noProof/>
                <w:sz w:val="18"/>
                <w:szCs w:val="18"/>
              </w:rPr>
            </w:pPr>
          </w:p>
        </w:tc>
        <w:tc>
          <w:tcPr>
            <w:tcW w:w="540" w:type="dxa"/>
            <w:tcBorders>
              <w:right w:val="dashSmallGap" w:sz="4" w:space="0" w:color="auto"/>
            </w:tcBorders>
          </w:tcPr>
          <w:p w14:paraId="7324DE8D" w14:textId="77777777" w:rsidR="007F4C85" w:rsidRPr="004F6DAA" w:rsidRDefault="007F4C85" w:rsidP="00992B23">
            <w:pPr>
              <w:ind w:right="-29"/>
              <w:jc w:val="center"/>
              <w:rPr>
                <w:noProof/>
                <w:sz w:val="18"/>
                <w:szCs w:val="18"/>
              </w:rPr>
            </w:pPr>
          </w:p>
        </w:tc>
        <w:tc>
          <w:tcPr>
            <w:tcW w:w="648" w:type="dxa"/>
            <w:tcBorders>
              <w:left w:val="dashSmallGap" w:sz="4" w:space="0" w:color="auto"/>
            </w:tcBorders>
          </w:tcPr>
          <w:p w14:paraId="687AB165" w14:textId="77777777" w:rsidR="007F4C85" w:rsidRPr="004F6DAA" w:rsidRDefault="007F4C85" w:rsidP="00992B23">
            <w:pPr>
              <w:ind w:right="-29"/>
              <w:jc w:val="center"/>
              <w:rPr>
                <w:noProof/>
                <w:sz w:val="18"/>
                <w:szCs w:val="18"/>
              </w:rPr>
            </w:pPr>
          </w:p>
        </w:tc>
        <w:tc>
          <w:tcPr>
            <w:tcW w:w="432" w:type="dxa"/>
            <w:tcBorders>
              <w:right w:val="dashSmallGap" w:sz="4" w:space="0" w:color="auto"/>
            </w:tcBorders>
          </w:tcPr>
          <w:p w14:paraId="45F4585E" w14:textId="77777777" w:rsidR="007F4C85" w:rsidRPr="004F6DAA" w:rsidRDefault="007F4C85" w:rsidP="00992B23">
            <w:pPr>
              <w:ind w:right="-29"/>
              <w:jc w:val="center"/>
              <w:rPr>
                <w:noProof/>
                <w:sz w:val="18"/>
                <w:szCs w:val="18"/>
              </w:rPr>
            </w:pPr>
          </w:p>
        </w:tc>
        <w:tc>
          <w:tcPr>
            <w:tcW w:w="720" w:type="dxa"/>
            <w:tcBorders>
              <w:left w:val="dashSmallGap" w:sz="4" w:space="0" w:color="auto"/>
            </w:tcBorders>
          </w:tcPr>
          <w:p w14:paraId="49EEDE79" w14:textId="77777777" w:rsidR="007F4C85" w:rsidRPr="004F6DAA" w:rsidRDefault="007F4C85" w:rsidP="00992B23">
            <w:pPr>
              <w:ind w:right="-29"/>
              <w:jc w:val="center"/>
              <w:rPr>
                <w:noProof/>
                <w:sz w:val="18"/>
                <w:szCs w:val="18"/>
              </w:rPr>
            </w:pPr>
          </w:p>
        </w:tc>
        <w:tc>
          <w:tcPr>
            <w:tcW w:w="540" w:type="dxa"/>
            <w:tcBorders>
              <w:right w:val="dashSmallGap" w:sz="4" w:space="0" w:color="auto"/>
            </w:tcBorders>
          </w:tcPr>
          <w:p w14:paraId="6BD99701" w14:textId="77777777" w:rsidR="007F4C85" w:rsidRPr="004F6DAA" w:rsidRDefault="007F4C85" w:rsidP="00992B23">
            <w:pPr>
              <w:ind w:right="-29"/>
              <w:jc w:val="center"/>
              <w:rPr>
                <w:noProof/>
                <w:sz w:val="18"/>
                <w:szCs w:val="18"/>
              </w:rPr>
            </w:pPr>
          </w:p>
        </w:tc>
        <w:tc>
          <w:tcPr>
            <w:tcW w:w="720" w:type="dxa"/>
            <w:tcBorders>
              <w:left w:val="dashSmallGap" w:sz="4" w:space="0" w:color="auto"/>
            </w:tcBorders>
          </w:tcPr>
          <w:p w14:paraId="1582F368" w14:textId="77777777" w:rsidR="007F4C85" w:rsidRPr="004F6DAA" w:rsidRDefault="007F4C85" w:rsidP="00992B23">
            <w:pPr>
              <w:ind w:right="-29"/>
              <w:jc w:val="center"/>
              <w:rPr>
                <w:noProof/>
                <w:sz w:val="18"/>
                <w:szCs w:val="18"/>
              </w:rPr>
            </w:pPr>
          </w:p>
        </w:tc>
        <w:tc>
          <w:tcPr>
            <w:tcW w:w="720" w:type="dxa"/>
          </w:tcPr>
          <w:p w14:paraId="5BC0A1F0" w14:textId="77777777" w:rsidR="007F4C85" w:rsidRPr="004F6DAA" w:rsidRDefault="007F4C85" w:rsidP="00992B23">
            <w:pPr>
              <w:ind w:right="-29"/>
              <w:jc w:val="center"/>
              <w:rPr>
                <w:noProof/>
                <w:sz w:val="18"/>
                <w:szCs w:val="18"/>
              </w:rPr>
            </w:pPr>
          </w:p>
        </w:tc>
        <w:tc>
          <w:tcPr>
            <w:tcW w:w="900" w:type="dxa"/>
          </w:tcPr>
          <w:p w14:paraId="08116722" w14:textId="77777777" w:rsidR="007F4C85" w:rsidRPr="004F6DAA" w:rsidRDefault="007F4C85" w:rsidP="00992B23">
            <w:pPr>
              <w:ind w:right="-29"/>
              <w:jc w:val="center"/>
              <w:rPr>
                <w:noProof/>
                <w:sz w:val="18"/>
                <w:szCs w:val="18"/>
              </w:rPr>
            </w:pPr>
          </w:p>
        </w:tc>
      </w:tr>
      <w:tr w:rsidR="007F4C85" w:rsidRPr="004F6DAA" w14:paraId="6826390B" w14:textId="77777777" w:rsidTr="00992B23">
        <w:trPr>
          <w:trHeight w:hRule="exact" w:val="369"/>
          <w:jc w:val="center"/>
        </w:trPr>
        <w:tc>
          <w:tcPr>
            <w:tcW w:w="1423" w:type="dxa"/>
          </w:tcPr>
          <w:p w14:paraId="1A638CBF" w14:textId="77777777" w:rsidR="007F4C85" w:rsidRPr="004F6DAA" w:rsidRDefault="007F4C85" w:rsidP="00992B23">
            <w:pPr>
              <w:ind w:right="-29"/>
              <w:jc w:val="center"/>
              <w:rPr>
                <w:noProof/>
                <w:sz w:val="18"/>
                <w:szCs w:val="18"/>
              </w:rPr>
            </w:pPr>
            <w:r w:rsidRPr="004F6DAA">
              <w:rPr>
                <w:noProof/>
                <w:sz w:val="18"/>
              </w:rPr>
              <w:t>- Produkt</w:t>
            </w:r>
          </w:p>
        </w:tc>
        <w:tc>
          <w:tcPr>
            <w:tcW w:w="720" w:type="dxa"/>
          </w:tcPr>
          <w:p w14:paraId="781B2DA9" w14:textId="77777777" w:rsidR="007F4C85" w:rsidRPr="004F6DAA" w:rsidRDefault="007F4C85" w:rsidP="00992B23">
            <w:pPr>
              <w:ind w:right="-29"/>
              <w:jc w:val="center"/>
              <w:rPr>
                <w:noProof/>
                <w:sz w:val="18"/>
                <w:szCs w:val="18"/>
              </w:rPr>
            </w:pPr>
          </w:p>
        </w:tc>
        <w:tc>
          <w:tcPr>
            <w:tcW w:w="701" w:type="dxa"/>
          </w:tcPr>
          <w:p w14:paraId="45B3A807" w14:textId="77777777" w:rsidR="007F4C85" w:rsidRPr="004F6DAA" w:rsidRDefault="007F4C85" w:rsidP="00992B23">
            <w:pPr>
              <w:ind w:right="-29"/>
              <w:jc w:val="center"/>
              <w:rPr>
                <w:noProof/>
                <w:sz w:val="18"/>
                <w:szCs w:val="18"/>
              </w:rPr>
            </w:pPr>
          </w:p>
        </w:tc>
        <w:tc>
          <w:tcPr>
            <w:tcW w:w="504" w:type="dxa"/>
            <w:tcBorders>
              <w:right w:val="dashSmallGap" w:sz="4" w:space="0" w:color="auto"/>
            </w:tcBorders>
          </w:tcPr>
          <w:p w14:paraId="1841E34C" w14:textId="77777777" w:rsidR="007F4C85" w:rsidRPr="004F6DAA" w:rsidRDefault="007F4C85" w:rsidP="00992B23">
            <w:pPr>
              <w:ind w:right="-29"/>
              <w:jc w:val="center"/>
              <w:rPr>
                <w:noProof/>
                <w:sz w:val="18"/>
                <w:szCs w:val="18"/>
              </w:rPr>
            </w:pPr>
          </w:p>
        </w:tc>
        <w:tc>
          <w:tcPr>
            <w:tcW w:w="720" w:type="dxa"/>
            <w:tcBorders>
              <w:left w:val="dashSmallGap" w:sz="4" w:space="0" w:color="auto"/>
            </w:tcBorders>
          </w:tcPr>
          <w:p w14:paraId="32B98A6A" w14:textId="77777777" w:rsidR="007F4C85" w:rsidRPr="004F6DAA" w:rsidRDefault="007F4C85" w:rsidP="00992B23">
            <w:pPr>
              <w:ind w:right="-29"/>
              <w:jc w:val="center"/>
              <w:rPr>
                <w:noProof/>
                <w:sz w:val="18"/>
                <w:szCs w:val="18"/>
              </w:rPr>
            </w:pPr>
          </w:p>
        </w:tc>
        <w:tc>
          <w:tcPr>
            <w:tcW w:w="540" w:type="dxa"/>
            <w:tcBorders>
              <w:right w:val="dashSmallGap" w:sz="4" w:space="0" w:color="auto"/>
            </w:tcBorders>
          </w:tcPr>
          <w:p w14:paraId="12FFDA01" w14:textId="77777777" w:rsidR="007F4C85" w:rsidRPr="004F6DAA" w:rsidRDefault="007F4C85" w:rsidP="00992B23">
            <w:pPr>
              <w:ind w:right="-29"/>
              <w:jc w:val="center"/>
              <w:rPr>
                <w:noProof/>
                <w:sz w:val="18"/>
                <w:szCs w:val="18"/>
              </w:rPr>
            </w:pPr>
          </w:p>
        </w:tc>
        <w:tc>
          <w:tcPr>
            <w:tcW w:w="720" w:type="dxa"/>
            <w:tcBorders>
              <w:left w:val="dashSmallGap" w:sz="4" w:space="0" w:color="auto"/>
            </w:tcBorders>
          </w:tcPr>
          <w:p w14:paraId="7C5B1580" w14:textId="77777777" w:rsidR="007F4C85" w:rsidRPr="004F6DAA" w:rsidRDefault="007F4C85" w:rsidP="00992B23">
            <w:pPr>
              <w:ind w:right="-29"/>
              <w:jc w:val="center"/>
              <w:rPr>
                <w:noProof/>
                <w:sz w:val="18"/>
                <w:szCs w:val="18"/>
              </w:rPr>
            </w:pPr>
          </w:p>
        </w:tc>
        <w:tc>
          <w:tcPr>
            <w:tcW w:w="720" w:type="dxa"/>
            <w:tcBorders>
              <w:right w:val="dashSmallGap" w:sz="4" w:space="0" w:color="auto"/>
            </w:tcBorders>
          </w:tcPr>
          <w:p w14:paraId="4D54D818" w14:textId="77777777" w:rsidR="007F4C85" w:rsidRPr="004F6DAA" w:rsidRDefault="007F4C85" w:rsidP="00992B23">
            <w:pPr>
              <w:ind w:right="-29"/>
              <w:jc w:val="center"/>
              <w:rPr>
                <w:noProof/>
                <w:sz w:val="18"/>
                <w:szCs w:val="18"/>
              </w:rPr>
            </w:pPr>
          </w:p>
        </w:tc>
        <w:tc>
          <w:tcPr>
            <w:tcW w:w="720" w:type="dxa"/>
            <w:tcBorders>
              <w:left w:val="dashSmallGap" w:sz="4" w:space="0" w:color="auto"/>
            </w:tcBorders>
          </w:tcPr>
          <w:p w14:paraId="4AF2EFA7" w14:textId="77777777" w:rsidR="007F4C85" w:rsidRPr="004F6DAA" w:rsidRDefault="007F4C85" w:rsidP="00992B23">
            <w:pPr>
              <w:ind w:right="-29"/>
              <w:jc w:val="center"/>
              <w:rPr>
                <w:noProof/>
                <w:sz w:val="18"/>
                <w:szCs w:val="18"/>
              </w:rPr>
            </w:pPr>
          </w:p>
        </w:tc>
        <w:tc>
          <w:tcPr>
            <w:tcW w:w="900" w:type="dxa"/>
            <w:tcBorders>
              <w:right w:val="dashSmallGap" w:sz="4" w:space="0" w:color="auto"/>
            </w:tcBorders>
          </w:tcPr>
          <w:p w14:paraId="64E0B8D3" w14:textId="77777777" w:rsidR="007F4C85" w:rsidRPr="004F6DAA" w:rsidRDefault="007F4C85" w:rsidP="00992B23">
            <w:pPr>
              <w:ind w:right="-29"/>
              <w:jc w:val="center"/>
              <w:rPr>
                <w:noProof/>
                <w:sz w:val="18"/>
                <w:szCs w:val="18"/>
              </w:rPr>
            </w:pPr>
          </w:p>
        </w:tc>
        <w:tc>
          <w:tcPr>
            <w:tcW w:w="720" w:type="dxa"/>
            <w:gridSpan w:val="2"/>
            <w:tcBorders>
              <w:left w:val="dashSmallGap" w:sz="4" w:space="0" w:color="auto"/>
            </w:tcBorders>
          </w:tcPr>
          <w:p w14:paraId="1C1F6AB8" w14:textId="77777777" w:rsidR="007F4C85" w:rsidRPr="004F6DAA" w:rsidRDefault="007F4C85" w:rsidP="00992B23">
            <w:pPr>
              <w:ind w:right="-29"/>
              <w:jc w:val="center"/>
              <w:rPr>
                <w:noProof/>
                <w:sz w:val="18"/>
                <w:szCs w:val="18"/>
              </w:rPr>
            </w:pPr>
          </w:p>
        </w:tc>
        <w:tc>
          <w:tcPr>
            <w:tcW w:w="540" w:type="dxa"/>
            <w:tcBorders>
              <w:right w:val="dashSmallGap" w:sz="4" w:space="0" w:color="auto"/>
            </w:tcBorders>
          </w:tcPr>
          <w:p w14:paraId="7C4DD62E" w14:textId="77777777" w:rsidR="007F4C85" w:rsidRPr="004F6DAA" w:rsidRDefault="007F4C85" w:rsidP="00992B23">
            <w:pPr>
              <w:ind w:right="-29"/>
              <w:jc w:val="center"/>
              <w:rPr>
                <w:noProof/>
                <w:sz w:val="18"/>
                <w:szCs w:val="18"/>
              </w:rPr>
            </w:pPr>
          </w:p>
        </w:tc>
        <w:tc>
          <w:tcPr>
            <w:tcW w:w="648" w:type="dxa"/>
            <w:tcBorders>
              <w:left w:val="dashSmallGap" w:sz="4" w:space="0" w:color="auto"/>
            </w:tcBorders>
          </w:tcPr>
          <w:p w14:paraId="511E8B89" w14:textId="77777777" w:rsidR="007F4C85" w:rsidRPr="004F6DAA" w:rsidRDefault="007F4C85" w:rsidP="00992B23">
            <w:pPr>
              <w:ind w:right="-29"/>
              <w:jc w:val="center"/>
              <w:rPr>
                <w:noProof/>
                <w:sz w:val="18"/>
                <w:szCs w:val="18"/>
              </w:rPr>
            </w:pPr>
          </w:p>
        </w:tc>
        <w:tc>
          <w:tcPr>
            <w:tcW w:w="432" w:type="dxa"/>
            <w:tcBorders>
              <w:right w:val="dashSmallGap" w:sz="4" w:space="0" w:color="auto"/>
            </w:tcBorders>
          </w:tcPr>
          <w:p w14:paraId="1BDBE51B" w14:textId="77777777" w:rsidR="007F4C85" w:rsidRPr="004F6DAA" w:rsidRDefault="007F4C85" w:rsidP="00992B23">
            <w:pPr>
              <w:ind w:right="-29"/>
              <w:jc w:val="center"/>
              <w:rPr>
                <w:noProof/>
                <w:sz w:val="18"/>
                <w:szCs w:val="18"/>
              </w:rPr>
            </w:pPr>
          </w:p>
        </w:tc>
        <w:tc>
          <w:tcPr>
            <w:tcW w:w="720" w:type="dxa"/>
            <w:tcBorders>
              <w:left w:val="dashSmallGap" w:sz="4" w:space="0" w:color="auto"/>
            </w:tcBorders>
          </w:tcPr>
          <w:p w14:paraId="5DF10A95" w14:textId="77777777" w:rsidR="007F4C85" w:rsidRPr="004F6DAA" w:rsidRDefault="007F4C85" w:rsidP="00992B23">
            <w:pPr>
              <w:ind w:right="-29"/>
              <w:jc w:val="center"/>
              <w:rPr>
                <w:noProof/>
                <w:sz w:val="18"/>
                <w:szCs w:val="18"/>
              </w:rPr>
            </w:pPr>
          </w:p>
        </w:tc>
        <w:tc>
          <w:tcPr>
            <w:tcW w:w="540" w:type="dxa"/>
            <w:tcBorders>
              <w:right w:val="dashSmallGap" w:sz="4" w:space="0" w:color="auto"/>
            </w:tcBorders>
          </w:tcPr>
          <w:p w14:paraId="032FE4CD" w14:textId="77777777" w:rsidR="007F4C85" w:rsidRPr="004F6DAA" w:rsidRDefault="007F4C85" w:rsidP="00992B23">
            <w:pPr>
              <w:ind w:right="-29"/>
              <w:jc w:val="center"/>
              <w:rPr>
                <w:noProof/>
                <w:sz w:val="18"/>
                <w:szCs w:val="18"/>
              </w:rPr>
            </w:pPr>
          </w:p>
        </w:tc>
        <w:tc>
          <w:tcPr>
            <w:tcW w:w="720" w:type="dxa"/>
            <w:tcBorders>
              <w:left w:val="dashSmallGap" w:sz="4" w:space="0" w:color="auto"/>
            </w:tcBorders>
          </w:tcPr>
          <w:p w14:paraId="5F694AD0" w14:textId="77777777" w:rsidR="007F4C85" w:rsidRPr="004F6DAA" w:rsidRDefault="007F4C85" w:rsidP="00992B23">
            <w:pPr>
              <w:ind w:right="-29"/>
              <w:jc w:val="center"/>
              <w:rPr>
                <w:noProof/>
                <w:sz w:val="18"/>
                <w:szCs w:val="18"/>
              </w:rPr>
            </w:pPr>
          </w:p>
        </w:tc>
        <w:tc>
          <w:tcPr>
            <w:tcW w:w="720" w:type="dxa"/>
          </w:tcPr>
          <w:p w14:paraId="6567EC33" w14:textId="77777777" w:rsidR="007F4C85" w:rsidRPr="004F6DAA" w:rsidRDefault="007F4C85" w:rsidP="00992B23">
            <w:pPr>
              <w:ind w:right="-29"/>
              <w:jc w:val="center"/>
              <w:rPr>
                <w:noProof/>
                <w:sz w:val="18"/>
                <w:szCs w:val="18"/>
              </w:rPr>
            </w:pPr>
          </w:p>
        </w:tc>
        <w:tc>
          <w:tcPr>
            <w:tcW w:w="900" w:type="dxa"/>
          </w:tcPr>
          <w:p w14:paraId="5EDD3AD0" w14:textId="77777777" w:rsidR="007F4C85" w:rsidRPr="004F6DAA" w:rsidRDefault="007F4C85" w:rsidP="00992B23">
            <w:pPr>
              <w:ind w:right="-29"/>
              <w:jc w:val="center"/>
              <w:rPr>
                <w:noProof/>
                <w:sz w:val="18"/>
                <w:szCs w:val="18"/>
              </w:rPr>
            </w:pPr>
          </w:p>
        </w:tc>
      </w:tr>
      <w:tr w:rsidR="007F4C85" w:rsidRPr="004F6DAA" w14:paraId="07C8FE86" w14:textId="77777777" w:rsidTr="00992B23">
        <w:trPr>
          <w:trHeight w:hRule="exact" w:val="369"/>
          <w:jc w:val="center"/>
        </w:trPr>
        <w:tc>
          <w:tcPr>
            <w:tcW w:w="1423" w:type="dxa"/>
          </w:tcPr>
          <w:p w14:paraId="1D674206" w14:textId="77777777" w:rsidR="007F4C85" w:rsidRPr="004F6DAA" w:rsidRDefault="007F4C85" w:rsidP="00992B23">
            <w:pPr>
              <w:ind w:right="-29"/>
              <w:jc w:val="center"/>
              <w:rPr>
                <w:noProof/>
                <w:sz w:val="18"/>
                <w:szCs w:val="18"/>
              </w:rPr>
            </w:pPr>
            <w:r w:rsidRPr="004F6DAA">
              <w:rPr>
                <w:noProof/>
                <w:sz w:val="18"/>
              </w:rPr>
              <w:t>- Produkt</w:t>
            </w:r>
          </w:p>
        </w:tc>
        <w:tc>
          <w:tcPr>
            <w:tcW w:w="720" w:type="dxa"/>
          </w:tcPr>
          <w:p w14:paraId="1D5CB0A8" w14:textId="77777777" w:rsidR="007F4C85" w:rsidRPr="004F6DAA" w:rsidRDefault="007F4C85" w:rsidP="00992B23">
            <w:pPr>
              <w:ind w:right="-29"/>
              <w:jc w:val="center"/>
              <w:rPr>
                <w:noProof/>
                <w:sz w:val="18"/>
                <w:szCs w:val="18"/>
              </w:rPr>
            </w:pPr>
          </w:p>
        </w:tc>
        <w:tc>
          <w:tcPr>
            <w:tcW w:w="701" w:type="dxa"/>
          </w:tcPr>
          <w:p w14:paraId="07F1D3A8" w14:textId="77777777" w:rsidR="007F4C85" w:rsidRPr="004F6DAA" w:rsidRDefault="007F4C85" w:rsidP="00992B23">
            <w:pPr>
              <w:ind w:right="-29"/>
              <w:jc w:val="center"/>
              <w:rPr>
                <w:noProof/>
                <w:sz w:val="18"/>
                <w:szCs w:val="18"/>
              </w:rPr>
            </w:pPr>
          </w:p>
        </w:tc>
        <w:tc>
          <w:tcPr>
            <w:tcW w:w="504" w:type="dxa"/>
          </w:tcPr>
          <w:p w14:paraId="63519777" w14:textId="77777777" w:rsidR="007F4C85" w:rsidRPr="004F6DAA" w:rsidRDefault="007F4C85" w:rsidP="00992B23">
            <w:pPr>
              <w:ind w:right="-29"/>
              <w:jc w:val="center"/>
              <w:rPr>
                <w:noProof/>
                <w:sz w:val="18"/>
                <w:szCs w:val="18"/>
              </w:rPr>
            </w:pPr>
          </w:p>
        </w:tc>
        <w:tc>
          <w:tcPr>
            <w:tcW w:w="720" w:type="dxa"/>
          </w:tcPr>
          <w:p w14:paraId="4C2C9C5A" w14:textId="77777777" w:rsidR="007F4C85" w:rsidRPr="004F6DAA" w:rsidRDefault="007F4C85" w:rsidP="00992B23">
            <w:pPr>
              <w:ind w:right="-29"/>
              <w:jc w:val="center"/>
              <w:rPr>
                <w:noProof/>
                <w:sz w:val="18"/>
                <w:szCs w:val="18"/>
              </w:rPr>
            </w:pPr>
          </w:p>
        </w:tc>
        <w:tc>
          <w:tcPr>
            <w:tcW w:w="540" w:type="dxa"/>
          </w:tcPr>
          <w:p w14:paraId="667706A7" w14:textId="77777777" w:rsidR="007F4C85" w:rsidRPr="004F6DAA" w:rsidRDefault="007F4C85" w:rsidP="00992B23">
            <w:pPr>
              <w:ind w:right="-29"/>
              <w:jc w:val="center"/>
              <w:rPr>
                <w:noProof/>
                <w:sz w:val="18"/>
                <w:szCs w:val="18"/>
              </w:rPr>
            </w:pPr>
          </w:p>
        </w:tc>
        <w:tc>
          <w:tcPr>
            <w:tcW w:w="720" w:type="dxa"/>
          </w:tcPr>
          <w:p w14:paraId="7F472C53" w14:textId="77777777" w:rsidR="007F4C85" w:rsidRPr="004F6DAA" w:rsidRDefault="007F4C85" w:rsidP="00992B23">
            <w:pPr>
              <w:ind w:right="-29"/>
              <w:jc w:val="center"/>
              <w:rPr>
                <w:noProof/>
                <w:sz w:val="18"/>
                <w:szCs w:val="18"/>
              </w:rPr>
            </w:pPr>
          </w:p>
        </w:tc>
        <w:tc>
          <w:tcPr>
            <w:tcW w:w="720" w:type="dxa"/>
          </w:tcPr>
          <w:p w14:paraId="687C6F6D" w14:textId="77777777" w:rsidR="007F4C85" w:rsidRPr="004F6DAA" w:rsidRDefault="007F4C85" w:rsidP="00992B23">
            <w:pPr>
              <w:ind w:right="-29"/>
              <w:jc w:val="center"/>
              <w:rPr>
                <w:noProof/>
                <w:sz w:val="18"/>
                <w:szCs w:val="18"/>
              </w:rPr>
            </w:pPr>
          </w:p>
        </w:tc>
        <w:tc>
          <w:tcPr>
            <w:tcW w:w="720" w:type="dxa"/>
          </w:tcPr>
          <w:p w14:paraId="08CB8B6F" w14:textId="77777777" w:rsidR="007F4C85" w:rsidRPr="004F6DAA" w:rsidRDefault="007F4C85" w:rsidP="00992B23">
            <w:pPr>
              <w:ind w:right="-29"/>
              <w:jc w:val="center"/>
              <w:rPr>
                <w:noProof/>
                <w:sz w:val="18"/>
                <w:szCs w:val="18"/>
              </w:rPr>
            </w:pPr>
          </w:p>
        </w:tc>
        <w:tc>
          <w:tcPr>
            <w:tcW w:w="900" w:type="dxa"/>
          </w:tcPr>
          <w:p w14:paraId="03B0C4D8" w14:textId="77777777" w:rsidR="007F4C85" w:rsidRPr="004F6DAA" w:rsidRDefault="007F4C85" w:rsidP="00992B23">
            <w:pPr>
              <w:ind w:right="-29"/>
              <w:jc w:val="center"/>
              <w:rPr>
                <w:noProof/>
                <w:sz w:val="18"/>
                <w:szCs w:val="18"/>
              </w:rPr>
            </w:pPr>
          </w:p>
        </w:tc>
        <w:tc>
          <w:tcPr>
            <w:tcW w:w="720" w:type="dxa"/>
            <w:gridSpan w:val="2"/>
          </w:tcPr>
          <w:p w14:paraId="2F7C49B1" w14:textId="77777777" w:rsidR="007F4C85" w:rsidRPr="004F6DAA" w:rsidRDefault="007F4C85" w:rsidP="00992B23">
            <w:pPr>
              <w:ind w:right="-29"/>
              <w:jc w:val="center"/>
              <w:rPr>
                <w:noProof/>
                <w:sz w:val="18"/>
                <w:szCs w:val="18"/>
              </w:rPr>
            </w:pPr>
          </w:p>
        </w:tc>
        <w:tc>
          <w:tcPr>
            <w:tcW w:w="540" w:type="dxa"/>
          </w:tcPr>
          <w:p w14:paraId="4E23E01E" w14:textId="77777777" w:rsidR="007F4C85" w:rsidRPr="004F6DAA" w:rsidRDefault="007F4C85" w:rsidP="00992B23">
            <w:pPr>
              <w:ind w:right="-29"/>
              <w:jc w:val="center"/>
              <w:rPr>
                <w:noProof/>
                <w:sz w:val="18"/>
                <w:szCs w:val="18"/>
              </w:rPr>
            </w:pPr>
          </w:p>
        </w:tc>
        <w:tc>
          <w:tcPr>
            <w:tcW w:w="648" w:type="dxa"/>
          </w:tcPr>
          <w:p w14:paraId="5159D06A" w14:textId="77777777" w:rsidR="007F4C85" w:rsidRPr="004F6DAA" w:rsidRDefault="007F4C85" w:rsidP="00992B23">
            <w:pPr>
              <w:ind w:right="-29"/>
              <w:jc w:val="center"/>
              <w:rPr>
                <w:noProof/>
                <w:sz w:val="18"/>
                <w:szCs w:val="18"/>
              </w:rPr>
            </w:pPr>
          </w:p>
        </w:tc>
        <w:tc>
          <w:tcPr>
            <w:tcW w:w="432" w:type="dxa"/>
          </w:tcPr>
          <w:p w14:paraId="7D9D5376" w14:textId="77777777" w:rsidR="007F4C85" w:rsidRPr="004F6DAA" w:rsidRDefault="007F4C85" w:rsidP="00992B23">
            <w:pPr>
              <w:ind w:right="-29"/>
              <w:jc w:val="center"/>
              <w:rPr>
                <w:noProof/>
                <w:sz w:val="18"/>
                <w:szCs w:val="18"/>
              </w:rPr>
            </w:pPr>
          </w:p>
        </w:tc>
        <w:tc>
          <w:tcPr>
            <w:tcW w:w="720" w:type="dxa"/>
          </w:tcPr>
          <w:p w14:paraId="1797D7B9" w14:textId="77777777" w:rsidR="007F4C85" w:rsidRPr="004F6DAA" w:rsidRDefault="007F4C85" w:rsidP="00992B23">
            <w:pPr>
              <w:ind w:right="-29"/>
              <w:jc w:val="center"/>
              <w:rPr>
                <w:noProof/>
                <w:sz w:val="18"/>
                <w:szCs w:val="18"/>
              </w:rPr>
            </w:pPr>
          </w:p>
        </w:tc>
        <w:tc>
          <w:tcPr>
            <w:tcW w:w="540" w:type="dxa"/>
          </w:tcPr>
          <w:p w14:paraId="373B7F71" w14:textId="77777777" w:rsidR="007F4C85" w:rsidRPr="004F6DAA" w:rsidRDefault="007F4C85" w:rsidP="00992B23">
            <w:pPr>
              <w:ind w:right="-29"/>
              <w:jc w:val="center"/>
              <w:rPr>
                <w:noProof/>
                <w:sz w:val="18"/>
                <w:szCs w:val="18"/>
              </w:rPr>
            </w:pPr>
          </w:p>
        </w:tc>
        <w:tc>
          <w:tcPr>
            <w:tcW w:w="720" w:type="dxa"/>
          </w:tcPr>
          <w:p w14:paraId="0094E47A" w14:textId="77777777" w:rsidR="007F4C85" w:rsidRPr="004F6DAA" w:rsidRDefault="007F4C85" w:rsidP="00992B23">
            <w:pPr>
              <w:ind w:right="-29"/>
              <w:jc w:val="center"/>
              <w:rPr>
                <w:noProof/>
                <w:sz w:val="18"/>
                <w:szCs w:val="18"/>
              </w:rPr>
            </w:pPr>
          </w:p>
        </w:tc>
        <w:tc>
          <w:tcPr>
            <w:tcW w:w="720" w:type="dxa"/>
          </w:tcPr>
          <w:p w14:paraId="6B0DC84D" w14:textId="77777777" w:rsidR="007F4C85" w:rsidRPr="004F6DAA" w:rsidRDefault="007F4C85" w:rsidP="00992B23">
            <w:pPr>
              <w:ind w:right="-29"/>
              <w:jc w:val="center"/>
              <w:rPr>
                <w:noProof/>
                <w:sz w:val="18"/>
                <w:szCs w:val="18"/>
              </w:rPr>
            </w:pPr>
          </w:p>
        </w:tc>
        <w:tc>
          <w:tcPr>
            <w:tcW w:w="900" w:type="dxa"/>
          </w:tcPr>
          <w:p w14:paraId="0ACA23B8" w14:textId="77777777" w:rsidR="007F4C85" w:rsidRPr="004F6DAA" w:rsidRDefault="007F4C85" w:rsidP="00992B23">
            <w:pPr>
              <w:ind w:right="-29"/>
              <w:jc w:val="center"/>
              <w:rPr>
                <w:noProof/>
                <w:sz w:val="18"/>
                <w:szCs w:val="18"/>
              </w:rPr>
            </w:pPr>
          </w:p>
        </w:tc>
      </w:tr>
      <w:tr w:rsidR="007F4C85" w:rsidRPr="004F6DAA" w14:paraId="5251A237" w14:textId="77777777" w:rsidTr="00992B23">
        <w:trPr>
          <w:trHeight w:val="77"/>
          <w:jc w:val="center"/>
        </w:trPr>
        <w:tc>
          <w:tcPr>
            <w:tcW w:w="2844" w:type="dxa"/>
            <w:gridSpan w:val="3"/>
            <w:tcBorders>
              <w:bottom w:val="single" w:sz="12" w:space="0" w:color="auto"/>
            </w:tcBorders>
            <w:vAlign w:val="center"/>
          </w:tcPr>
          <w:p w14:paraId="44D90264" w14:textId="77777777" w:rsidR="007F4C85" w:rsidRPr="004F6DAA" w:rsidRDefault="007F4C85" w:rsidP="00992B23">
            <w:pPr>
              <w:ind w:right="-29"/>
              <w:jc w:val="center"/>
              <w:rPr>
                <w:noProof/>
                <w:sz w:val="18"/>
                <w:szCs w:val="18"/>
              </w:rPr>
            </w:pPr>
            <w:r w:rsidRPr="004F6DAA">
              <w:rPr>
                <w:noProof/>
                <w:sz w:val="18"/>
              </w:rPr>
              <w:t xml:space="preserve">Cel szczegółowy </w:t>
            </w:r>
            <w:r w:rsidRPr="00062BFA">
              <w:rPr>
                <w:noProof/>
                <w:sz w:val="18"/>
              </w:rPr>
              <w:t>nr</w:t>
            </w:r>
            <w:r w:rsidR="00062BFA" w:rsidRPr="00062BFA">
              <w:rPr>
                <w:noProof/>
                <w:sz w:val="18"/>
              </w:rPr>
              <w:t> </w:t>
            </w:r>
            <w:r w:rsidRPr="00062BFA">
              <w:rPr>
                <w:noProof/>
                <w:sz w:val="18"/>
              </w:rPr>
              <w:t>1</w:t>
            </w:r>
            <w:r w:rsidRPr="004F6DAA">
              <w:rPr>
                <w:noProof/>
                <w:sz w:val="18"/>
              </w:rPr>
              <w:t xml:space="preserve"> – suma cząstkowa</w:t>
            </w:r>
          </w:p>
        </w:tc>
        <w:tc>
          <w:tcPr>
            <w:tcW w:w="504" w:type="dxa"/>
            <w:tcBorders>
              <w:bottom w:val="single" w:sz="12" w:space="0" w:color="auto"/>
            </w:tcBorders>
          </w:tcPr>
          <w:p w14:paraId="543D9A82"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5A5D4172" w14:textId="77777777" w:rsidR="007F4C85" w:rsidRPr="004F6DAA" w:rsidRDefault="007F4C85" w:rsidP="00992B23">
            <w:pPr>
              <w:ind w:right="-29"/>
              <w:jc w:val="center"/>
              <w:rPr>
                <w:noProof/>
                <w:sz w:val="18"/>
                <w:szCs w:val="18"/>
              </w:rPr>
            </w:pPr>
          </w:p>
        </w:tc>
        <w:tc>
          <w:tcPr>
            <w:tcW w:w="540" w:type="dxa"/>
            <w:tcBorders>
              <w:bottom w:val="single" w:sz="12" w:space="0" w:color="auto"/>
            </w:tcBorders>
          </w:tcPr>
          <w:p w14:paraId="46A4928C"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3296E06C"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612C67B9"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7F9411E6" w14:textId="77777777" w:rsidR="007F4C85" w:rsidRPr="004F6DAA" w:rsidRDefault="007F4C85" w:rsidP="00992B23">
            <w:pPr>
              <w:ind w:right="-29"/>
              <w:jc w:val="center"/>
              <w:rPr>
                <w:noProof/>
                <w:sz w:val="18"/>
                <w:szCs w:val="18"/>
              </w:rPr>
            </w:pPr>
          </w:p>
        </w:tc>
        <w:tc>
          <w:tcPr>
            <w:tcW w:w="900" w:type="dxa"/>
            <w:tcBorders>
              <w:bottom w:val="single" w:sz="12" w:space="0" w:color="auto"/>
            </w:tcBorders>
          </w:tcPr>
          <w:p w14:paraId="6E7FA1C2" w14:textId="77777777" w:rsidR="007F4C85" w:rsidRPr="004F6DAA" w:rsidRDefault="007F4C85" w:rsidP="00992B23">
            <w:pPr>
              <w:ind w:right="-29"/>
              <w:jc w:val="center"/>
              <w:rPr>
                <w:noProof/>
                <w:sz w:val="18"/>
                <w:szCs w:val="18"/>
              </w:rPr>
            </w:pPr>
          </w:p>
        </w:tc>
        <w:tc>
          <w:tcPr>
            <w:tcW w:w="720" w:type="dxa"/>
            <w:gridSpan w:val="2"/>
            <w:tcBorders>
              <w:bottom w:val="single" w:sz="12" w:space="0" w:color="auto"/>
            </w:tcBorders>
          </w:tcPr>
          <w:p w14:paraId="316D7D66" w14:textId="77777777" w:rsidR="007F4C85" w:rsidRPr="004F6DAA" w:rsidRDefault="007F4C85" w:rsidP="00992B23">
            <w:pPr>
              <w:ind w:right="-29"/>
              <w:jc w:val="center"/>
              <w:rPr>
                <w:noProof/>
                <w:sz w:val="18"/>
                <w:szCs w:val="18"/>
              </w:rPr>
            </w:pPr>
          </w:p>
        </w:tc>
        <w:tc>
          <w:tcPr>
            <w:tcW w:w="540" w:type="dxa"/>
            <w:tcBorders>
              <w:bottom w:val="single" w:sz="12" w:space="0" w:color="auto"/>
            </w:tcBorders>
          </w:tcPr>
          <w:p w14:paraId="50707783" w14:textId="77777777" w:rsidR="007F4C85" w:rsidRPr="004F6DAA" w:rsidRDefault="007F4C85" w:rsidP="00992B23">
            <w:pPr>
              <w:ind w:right="-29"/>
              <w:jc w:val="center"/>
              <w:rPr>
                <w:noProof/>
                <w:sz w:val="18"/>
                <w:szCs w:val="18"/>
              </w:rPr>
            </w:pPr>
          </w:p>
        </w:tc>
        <w:tc>
          <w:tcPr>
            <w:tcW w:w="648" w:type="dxa"/>
            <w:tcBorders>
              <w:bottom w:val="single" w:sz="12" w:space="0" w:color="auto"/>
            </w:tcBorders>
          </w:tcPr>
          <w:p w14:paraId="05A5C50B" w14:textId="77777777" w:rsidR="007F4C85" w:rsidRPr="004F6DAA" w:rsidRDefault="007F4C85" w:rsidP="00992B23">
            <w:pPr>
              <w:ind w:right="-29"/>
              <w:jc w:val="center"/>
              <w:rPr>
                <w:noProof/>
                <w:sz w:val="18"/>
                <w:szCs w:val="18"/>
              </w:rPr>
            </w:pPr>
          </w:p>
        </w:tc>
        <w:tc>
          <w:tcPr>
            <w:tcW w:w="432" w:type="dxa"/>
            <w:tcBorders>
              <w:bottom w:val="single" w:sz="12" w:space="0" w:color="auto"/>
            </w:tcBorders>
          </w:tcPr>
          <w:p w14:paraId="4384F26A"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5E54A7EB" w14:textId="77777777" w:rsidR="007F4C85" w:rsidRPr="004F6DAA" w:rsidRDefault="007F4C85" w:rsidP="00992B23">
            <w:pPr>
              <w:ind w:right="-29"/>
              <w:jc w:val="center"/>
              <w:rPr>
                <w:noProof/>
                <w:sz w:val="18"/>
                <w:szCs w:val="18"/>
              </w:rPr>
            </w:pPr>
          </w:p>
        </w:tc>
        <w:tc>
          <w:tcPr>
            <w:tcW w:w="540" w:type="dxa"/>
            <w:tcBorders>
              <w:bottom w:val="single" w:sz="12" w:space="0" w:color="auto"/>
            </w:tcBorders>
          </w:tcPr>
          <w:p w14:paraId="70BAD349"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4A488D75"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5C6797BF" w14:textId="77777777" w:rsidR="007F4C85" w:rsidRPr="004F6DAA" w:rsidRDefault="007F4C85" w:rsidP="00992B23">
            <w:pPr>
              <w:ind w:right="-29"/>
              <w:jc w:val="center"/>
              <w:rPr>
                <w:noProof/>
                <w:sz w:val="18"/>
                <w:szCs w:val="18"/>
              </w:rPr>
            </w:pPr>
          </w:p>
        </w:tc>
        <w:tc>
          <w:tcPr>
            <w:tcW w:w="900" w:type="dxa"/>
            <w:tcBorders>
              <w:bottom w:val="single" w:sz="12" w:space="0" w:color="auto"/>
            </w:tcBorders>
          </w:tcPr>
          <w:p w14:paraId="0D3556DA" w14:textId="77777777" w:rsidR="007F4C85" w:rsidRPr="004F6DAA" w:rsidRDefault="007F4C85" w:rsidP="00992B23">
            <w:pPr>
              <w:ind w:right="-29"/>
              <w:jc w:val="center"/>
              <w:rPr>
                <w:noProof/>
                <w:sz w:val="18"/>
                <w:szCs w:val="18"/>
              </w:rPr>
            </w:pPr>
          </w:p>
        </w:tc>
      </w:tr>
      <w:tr w:rsidR="007F4C85" w:rsidRPr="004F6DAA" w14:paraId="1706763A" w14:textId="77777777" w:rsidTr="00992B23">
        <w:trPr>
          <w:jc w:val="center"/>
        </w:trPr>
        <w:tc>
          <w:tcPr>
            <w:tcW w:w="2844" w:type="dxa"/>
            <w:gridSpan w:val="3"/>
            <w:vAlign w:val="center"/>
          </w:tcPr>
          <w:p w14:paraId="20C8FA97" w14:textId="77777777" w:rsidR="007F4C85" w:rsidRPr="004F6DAA" w:rsidRDefault="007F4C85" w:rsidP="00992B23">
            <w:pPr>
              <w:spacing w:before="60" w:after="60"/>
              <w:ind w:right="-29"/>
              <w:jc w:val="center"/>
              <w:rPr>
                <w:noProof/>
                <w:sz w:val="18"/>
                <w:szCs w:val="18"/>
              </w:rPr>
            </w:pPr>
            <w:r w:rsidRPr="004F6DAA">
              <w:rPr>
                <w:noProof/>
                <w:sz w:val="18"/>
              </w:rPr>
              <w:t xml:space="preserve">CEL SZCZEGÓŁOWY </w:t>
            </w:r>
            <w:r w:rsidRPr="00062BFA">
              <w:rPr>
                <w:noProof/>
                <w:sz w:val="18"/>
              </w:rPr>
              <w:t>nr</w:t>
            </w:r>
            <w:r w:rsidR="00062BFA" w:rsidRPr="00062BFA">
              <w:rPr>
                <w:noProof/>
                <w:sz w:val="18"/>
              </w:rPr>
              <w:t> </w:t>
            </w:r>
            <w:r w:rsidRPr="00062BFA">
              <w:rPr>
                <w:noProof/>
                <w:sz w:val="18"/>
              </w:rPr>
              <w:t>2</w:t>
            </w:r>
          </w:p>
        </w:tc>
        <w:tc>
          <w:tcPr>
            <w:tcW w:w="504" w:type="dxa"/>
            <w:tcBorders>
              <w:top w:val="nil"/>
              <w:left w:val="nil"/>
              <w:bottom w:val="nil"/>
              <w:right w:val="nil"/>
            </w:tcBorders>
          </w:tcPr>
          <w:p w14:paraId="594227D4"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59FED9F7" w14:textId="77777777" w:rsidR="007F4C85" w:rsidRPr="004F6DAA" w:rsidRDefault="007F4C85" w:rsidP="00992B23">
            <w:pPr>
              <w:spacing w:before="60" w:after="60"/>
              <w:ind w:right="-29"/>
              <w:jc w:val="center"/>
              <w:rPr>
                <w:noProof/>
                <w:sz w:val="18"/>
                <w:szCs w:val="18"/>
              </w:rPr>
            </w:pPr>
          </w:p>
        </w:tc>
        <w:tc>
          <w:tcPr>
            <w:tcW w:w="540" w:type="dxa"/>
            <w:tcBorders>
              <w:top w:val="nil"/>
              <w:left w:val="nil"/>
              <w:bottom w:val="nil"/>
              <w:right w:val="nil"/>
            </w:tcBorders>
          </w:tcPr>
          <w:p w14:paraId="20FCAC6D"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186FA752"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0E72A07A"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5E8317D3" w14:textId="77777777" w:rsidR="007F4C85" w:rsidRPr="004F6DAA" w:rsidRDefault="007F4C85" w:rsidP="00992B23">
            <w:pPr>
              <w:spacing w:before="60" w:after="60"/>
              <w:ind w:right="-29"/>
              <w:jc w:val="center"/>
              <w:rPr>
                <w:noProof/>
                <w:sz w:val="18"/>
                <w:szCs w:val="18"/>
              </w:rPr>
            </w:pPr>
          </w:p>
        </w:tc>
        <w:tc>
          <w:tcPr>
            <w:tcW w:w="900" w:type="dxa"/>
            <w:tcBorders>
              <w:top w:val="nil"/>
              <w:left w:val="nil"/>
              <w:bottom w:val="nil"/>
              <w:right w:val="nil"/>
            </w:tcBorders>
          </w:tcPr>
          <w:p w14:paraId="6635D9A2" w14:textId="77777777" w:rsidR="007F4C85" w:rsidRPr="004F6DAA" w:rsidRDefault="007F4C85" w:rsidP="00992B23">
            <w:pPr>
              <w:spacing w:before="60" w:after="60"/>
              <w:ind w:right="-29"/>
              <w:jc w:val="center"/>
              <w:rPr>
                <w:noProof/>
                <w:sz w:val="18"/>
                <w:szCs w:val="18"/>
              </w:rPr>
            </w:pPr>
          </w:p>
        </w:tc>
        <w:tc>
          <w:tcPr>
            <w:tcW w:w="720" w:type="dxa"/>
            <w:gridSpan w:val="2"/>
            <w:tcBorders>
              <w:top w:val="nil"/>
              <w:left w:val="nil"/>
              <w:bottom w:val="nil"/>
              <w:right w:val="nil"/>
            </w:tcBorders>
          </w:tcPr>
          <w:p w14:paraId="3AEB0FD7" w14:textId="77777777" w:rsidR="007F4C85" w:rsidRPr="004F6DAA" w:rsidRDefault="007F4C85" w:rsidP="00992B23">
            <w:pPr>
              <w:spacing w:before="60" w:after="60"/>
              <w:ind w:right="-29"/>
              <w:jc w:val="center"/>
              <w:rPr>
                <w:noProof/>
                <w:sz w:val="18"/>
                <w:szCs w:val="18"/>
              </w:rPr>
            </w:pPr>
          </w:p>
        </w:tc>
        <w:tc>
          <w:tcPr>
            <w:tcW w:w="540" w:type="dxa"/>
            <w:tcBorders>
              <w:top w:val="nil"/>
              <w:left w:val="nil"/>
              <w:bottom w:val="nil"/>
              <w:right w:val="nil"/>
            </w:tcBorders>
          </w:tcPr>
          <w:p w14:paraId="66CB8BD6" w14:textId="77777777" w:rsidR="007F4C85" w:rsidRPr="004F6DAA" w:rsidRDefault="007F4C85" w:rsidP="00992B23">
            <w:pPr>
              <w:spacing w:before="60" w:after="60"/>
              <w:ind w:right="-29"/>
              <w:jc w:val="center"/>
              <w:rPr>
                <w:noProof/>
                <w:sz w:val="18"/>
                <w:szCs w:val="18"/>
              </w:rPr>
            </w:pPr>
          </w:p>
        </w:tc>
        <w:tc>
          <w:tcPr>
            <w:tcW w:w="648" w:type="dxa"/>
            <w:tcBorders>
              <w:top w:val="nil"/>
              <w:left w:val="nil"/>
              <w:bottom w:val="nil"/>
              <w:right w:val="nil"/>
            </w:tcBorders>
          </w:tcPr>
          <w:p w14:paraId="29C07DB1" w14:textId="77777777" w:rsidR="007F4C85" w:rsidRPr="004F6DAA" w:rsidRDefault="007F4C85" w:rsidP="00992B23">
            <w:pPr>
              <w:spacing w:before="60" w:after="60"/>
              <w:ind w:right="-29"/>
              <w:jc w:val="center"/>
              <w:rPr>
                <w:noProof/>
                <w:sz w:val="18"/>
                <w:szCs w:val="18"/>
              </w:rPr>
            </w:pPr>
          </w:p>
        </w:tc>
        <w:tc>
          <w:tcPr>
            <w:tcW w:w="432" w:type="dxa"/>
            <w:tcBorders>
              <w:top w:val="nil"/>
              <w:left w:val="nil"/>
              <w:bottom w:val="nil"/>
              <w:right w:val="nil"/>
            </w:tcBorders>
          </w:tcPr>
          <w:p w14:paraId="58A2A6D2"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72E6B6FA" w14:textId="77777777" w:rsidR="007F4C85" w:rsidRPr="004F6DAA" w:rsidRDefault="007F4C85" w:rsidP="00992B23">
            <w:pPr>
              <w:spacing w:before="60" w:after="60"/>
              <w:ind w:right="-29"/>
              <w:jc w:val="center"/>
              <w:rPr>
                <w:noProof/>
                <w:sz w:val="18"/>
                <w:szCs w:val="18"/>
              </w:rPr>
            </w:pPr>
          </w:p>
        </w:tc>
        <w:tc>
          <w:tcPr>
            <w:tcW w:w="540" w:type="dxa"/>
            <w:tcBorders>
              <w:top w:val="nil"/>
              <w:left w:val="nil"/>
              <w:bottom w:val="nil"/>
              <w:right w:val="nil"/>
            </w:tcBorders>
          </w:tcPr>
          <w:p w14:paraId="18069C38"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50A3CC83" w14:textId="77777777" w:rsidR="007F4C85" w:rsidRPr="004F6DAA" w:rsidRDefault="007F4C85" w:rsidP="00992B23">
            <w:pPr>
              <w:spacing w:before="60" w:after="60"/>
              <w:ind w:right="-29"/>
              <w:jc w:val="center"/>
              <w:rPr>
                <w:noProof/>
                <w:sz w:val="18"/>
                <w:szCs w:val="18"/>
              </w:rPr>
            </w:pPr>
          </w:p>
        </w:tc>
        <w:tc>
          <w:tcPr>
            <w:tcW w:w="720" w:type="dxa"/>
            <w:tcBorders>
              <w:top w:val="nil"/>
              <w:left w:val="nil"/>
              <w:bottom w:val="nil"/>
              <w:right w:val="nil"/>
            </w:tcBorders>
          </w:tcPr>
          <w:p w14:paraId="36E991F6" w14:textId="77777777" w:rsidR="007F4C85" w:rsidRPr="004F6DAA" w:rsidRDefault="007F4C85" w:rsidP="00992B23">
            <w:pPr>
              <w:spacing w:before="60" w:after="60"/>
              <w:ind w:right="-29"/>
              <w:jc w:val="center"/>
              <w:rPr>
                <w:noProof/>
                <w:sz w:val="18"/>
                <w:szCs w:val="18"/>
              </w:rPr>
            </w:pPr>
          </w:p>
        </w:tc>
        <w:tc>
          <w:tcPr>
            <w:tcW w:w="900" w:type="dxa"/>
            <w:tcBorders>
              <w:top w:val="nil"/>
              <w:left w:val="nil"/>
              <w:bottom w:val="nil"/>
              <w:right w:val="nil"/>
            </w:tcBorders>
          </w:tcPr>
          <w:p w14:paraId="39915213" w14:textId="77777777" w:rsidR="007F4C85" w:rsidRPr="004F6DAA" w:rsidRDefault="007F4C85" w:rsidP="00992B23">
            <w:pPr>
              <w:spacing w:before="60" w:after="60"/>
              <w:ind w:right="-29"/>
              <w:jc w:val="center"/>
              <w:rPr>
                <w:noProof/>
                <w:sz w:val="18"/>
                <w:szCs w:val="18"/>
              </w:rPr>
            </w:pPr>
          </w:p>
        </w:tc>
      </w:tr>
      <w:tr w:rsidR="007F4C85" w:rsidRPr="004F6DAA" w14:paraId="34563EE6" w14:textId="77777777" w:rsidTr="00992B23">
        <w:trPr>
          <w:trHeight w:hRule="exact" w:val="369"/>
          <w:jc w:val="center"/>
        </w:trPr>
        <w:tc>
          <w:tcPr>
            <w:tcW w:w="1423" w:type="dxa"/>
          </w:tcPr>
          <w:p w14:paraId="6DF241F2" w14:textId="77777777" w:rsidR="007F4C85" w:rsidRPr="004F6DAA" w:rsidRDefault="007F4C85" w:rsidP="00992B23">
            <w:pPr>
              <w:ind w:right="-29"/>
              <w:jc w:val="center"/>
              <w:rPr>
                <w:noProof/>
                <w:sz w:val="18"/>
                <w:szCs w:val="18"/>
              </w:rPr>
            </w:pPr>
            <w:r w:rsidRPr="004F6DAA">
              <w:rPr>
                <w:noProof/>
                <w:sz w:val="18"/>
              </w:rPr>
              <w:t>- Produkt</w:t>
            </w:r>
          </w:p>
        </w:tc>
        <w:tc>
          <w:tcPr>
            <w:tcW w:w="720" w:type="dxa"/>
          </w:tcPr>
          <w:p w14:paraId="01D8C792" w14:textId="77777777" w:rsidR="007F4C85" w:rsidRPr="004F6DAA" w:rsidRDefault="007F4C85" w:rsidP="00992B23">
            <w:pPr>
              <w:ind w:right="-29"/>
              <w:jc w:val="center"/>
              <w:rPr>
                <w:noProof/>
                <w:sz w:val="18"/>
                <w:szCs w:val="18"/>
              </w:rPr>
            </w:pPr>
          </w:p>
        </w:tc>
        <w:tc>
          <w:tcPr>
            <w:tcW w:w="701" w:type="dxa"/>
          </w:tcPr>
          <w:p w14:paraId="746CD9D1" w14:textId="77777777" w:rsidR="007F4C85" w:rsidRPr="004F6DAA" w:rsidRDefault="007F4C85" w:rsidP="00992B23">
            <w:pPr>
              <w:ind w:right="-29"/>
              <w:jc w:val="center"/>
              <w:rPr>
                <w:noProof/>
                <w:sz w:val="18"/>
                <w:szCs w:val="18"/>
              </w:rPr>
            </w:pPr>
          </w:p>
        </w:tc>
        <w:tc>
          <w:tcPr>
            <w:tcW w:w="504" w:type="dxa"/>
          </w:tcPr>
          <w:p w14:paraId="0EED2676" w14:textId="77777777" w:rsidR="007F4C85" w:rsidRPr="004F6DAA" w:rsidRDefault="007F4C85" w:rsidP="00992B23">
            <w:pPr>
              <w:ind w:right="-29"/>
              <w:jc w:val="center"/>
              <w:rPr>
                <w:noProof/>
                <w:sz w:val="18"/>
                <w:szCs w:val="18"/>
              </w:rPr>
            </w:pPr>
          </w:p>
        </w:tc>
        <w:tc>
          <w:tcPr>
            <w:tcW w:w="720" w:type="dxa"/>
          </w:tcPr>
          <w:p w14:paraId="3AE926E7" w14:textId="77777777" w:rsidR="007F4C85" w:rsidRPr="004F6DAA" w:rsidRDefault="007F4C85" w:rsidP="00992B23">
            <w:pPr>
              <w:ind w:right="-29"/>
              <w:jc w:val="center"/>
              <w:rPr>
                <w:noProof/>
                <w:sz w:val="18"/>
                <w:szCs w:val="18"/>
              </w:rPr>
            </w:pPr>
          </w:p>
        </w:tc>
        <w:tc>
          <w:tcPr>
            <w:tcW w:w="540" w:type="dxa"/>
          </w:tcPr>
          <w:p w14:paraId="1D8641F0" w14:textId="77777777" w:rsidR="007F4C85" w:rsidRPr="004F6DAA" w:rsidRDefault="007F4C85" w:rsidP="00992B23">
            <w:pPr>
              <w:ind w:right="-29"/>
              <w:jc w:val="center"/>
              <w:rPr>
                <w:noProof/>
                <w:sz w:val="18"/>
                <w:szCs w:val="18"/>
              </w:rPr>
            </w:pPr>
          </w:p>
        </w:tc>
        <w:tc>
          <w:tcPr>
            <w:tcW w:w="720" w:type="dxa"/>
          </w:tcPr>
          <w:p w14:paraId="429C5BBF" w14:textId="77777777" w:rsidR="007F4C85" w:rsidRPr="004F6DAA" w:rsidRDefault="007F4C85" w:rsidP="00992B23">
            <w:pPr>
              <w:ind w:right="-29"/>
              <w:jc w:val="center"/>
              <w:rPr>
                <w:noProof/>
                <w:sz w:val="18"/>
                <w:szCs w:val="18"/>
              </w:rPr>
            </w:pPr>
          </w:p>
        </w:tc>
        <w:tc>
          <w:tcPr>
            <w:tcW w:w="720" w:type="dxa"/>
          </w:tcPr>
          <w:p w14:paraId="037873C6" w14:textId="77777777" w:rsidR="007F4C85" w:rsidRPr="004F6DAA" w:rsidRDefault="007F4C85" w:rsidP="00992B23">
            <w:pPr>
              <w:ind w:right="-29"/>
              <w:jc w:val="center"/>
              <w:rPr>
                <w:noProof/>
                <w:sz w:val="18"/>
                <w:szCs w:val="18"/>
              </w:rPr>
            </w:pPr>
          </w:p>
        </w:tc>
        <w:tc>
          <w:tcPr>
            <w:tcW w:w="720" w:type="dxa"/>
          </w:tcPr>
          <w:p w14:paraId="3EFE2E0C" w14:textId="77777777" w:rsidR="007F4C85" w:rsidRPr="004F6DAA" w:rsidRDefault="007F4C85" w:rsidP="00992B23">
            <w:pPr>
              <w:ind w:right="-29"/>
              <w:jc w:val="center"/>
              <w:rPr>
                <w:noProof/>
                <w:sz w:val="18"/>
                <w:szCs w:val="18"/>
              </w:rPr>
            </w:pPr>
          </w:p>
        </w:tc>
        <w:tc>
          <w:tcPr>
            <w:tcW w:w="900" w:type="dxa"/>
          </w:tcPr>
          <w:p w14:paraId="38396843" w14:textId="77777777" w:rsidR="007F4C85" w:rsidRPr="004F6DAA" w:rsidRDefault="007F4C85" w:rsidP="00992B23">
            <w:pPr>
              <w:ind w:right="-29"/>
              <w:jc w:val="center"/>
              <w:rPr>
                <w:noProof/>
                <w:sz w:val="18"/>
                <w:szCs w:val="18"/>
              </w:rPr>
            </w:pPr>
          </w:p>
        </w:tc>
        <w:tc>
          <w:tcPr>
            <w:tcW w:w="720" w:type="dxa"/>
            <w:gridSpan w:val="2"/>
          </w:tcPr>
          <w:p w14:paraId="0D61AD62" w14:textId="77777777" w:rsidR="007F4C85" w:rsidRPr="004F6DAA" w:rsidRDefault="007F4C85" w:rsidP="00992B23">
            <w:pPr>
              <w:ind w:right="-29"/>
              <w:jc w:val="center"/>
              <w:rPr>
                <w:noProof/>
                <w:sz w:val="18"/>
                <w:szCs w:val="18"/>
              </w:rPr>
            </w:pPr>
          </w:p>
        </w:tc>
        <w:tc>
          <w:tcPr>
            <w:tcW w:w="540" w:type="dxa"/>
          </w:tcPr>
          <w:p w14:paraId="7745304F" w14:textId="77777777" w:rsidR="007F4C85" w:rsidRPr="004F6DAA" w:rsidRDefault="007F4C85" w:rsidP="00992B23">
            <w:pPr>
              <w:ind w:right="-29"/>
              <w:jc w:val="center"/>
              <w:rPr>
                <w:noProof/>
                <w:sz w:val="18"/>
                <w:szCs w:val="18"/>
              </w:rPr>
            </w:pPr>
          </w:p>
        </w:tc>
        <w:tc>
          <w:tcPr>
            <w:tcW w:w="648" w:type="dxa"/>
          </w:tcPr>
          <w:p w14:paraId="345B513E" w14:textId="77777777" w:rsidR="007F4C85" w:rsidRPr="004F6DAA" w:rsidRDefault="007F4C85" w:rsidP="00992B23">
            <w:pPr>
              <w:ind w:right="-29"/>
              <w:jc w:val="center"/>
              <w:rPr>
                <w:noProof/>
                <w:sz w:val="18"/>
                <w:szCs w:val="18"/>
              </w:rPr>
            </w:pPr>
          </w:p>
        </w:tc>
        <w:tc>
          <w:tcPr>
            <w:tcW w:w="432" w:type="dxa"/>
          </w:tcPr>
          <w:p w14:paraId="2E488BD2" w14:textId="77777777" w:rsidR="007F4C85" w:rsidRPr="004F6DAA" w:rsidRDefault="007F4C85" w:rsidP="00992B23">
            <w:pPr>
              <w:ind w:right="-29"/>
              <w:jc w:val="center"/>
              <w:rPr>
                <w:noProof/>
                <w:sz w:val="18"/>
                <w:szCs w:val="18"/>
              </w:rPr>
            </w:pPr>
          </w:p>
        </w:tc>
        <w:tc>
          <w:tcPr>
            <w:tcW w:w="720" w:type="dxa"/>
          </w:tcPr>
          <w:p w14:paraId="3028B807" w14:textId="77777777" w:rsidR="007F4C85" w:rsidRPr="004F6DAA" w:rsidRDefault="007F4C85" w:rsidP="00992B23">
            <w:pPr>
              <w:ind w:right="-29"/>
              <w:jc w:val="center"/>
              <w:rPr>
                <w:noProof/>
                <w:sz w:val="18"/>
                <w:szCs w:val="18"/>
              </w:rPr>
            </w:pPr>
          </w:p>
        </w:tc>
        <w:tc>
          <w:tcPr>
            <w:tcW w:w="540" w:type="dxa"/>
          </w:tcPr>
          <w:p w14:paraId="2528BBFC" w14:textId="77777777" w:rsidR="007F4C85" w:rsidRPr="004F6DAA" w:rsidRDefault="007F4C85" w:rsidP="00992B23">
            <w:pPr>
              <w:ind w:right="-29"/>
              <w:jc w:val="center"/>
              <w:rPr>
                <w:noProof/>
                <w:sz w:val="18"/>
                <w:szCs w:val="18"/>
              </w:rPr>
            </w:pPr>
          </w:p>
        </w:tc>
        <w:tc>
          <w:tcPr>
            <w:tcW w:w="720" w:type="dxa"/>
          </w:tcPr>
          <w:p w14:paraId="26C08B6A" w14:textId="77777777" w:rsidR="007F4C85" w:rsidRPr="004F6DAA" w:rsidRDefault="007F4C85" w:rsidP="00992B23">
            <w:pPr>
              <w:ind w:right="-29"/>
              <w:jc w:val="center"/>
              <w:rPr>
                <w:noProof/>
                <w:sz w:val="18"/>
                <w:szCs w:val="18"/>
              </w:rPr>
            </w:pPr>
          </w:p>
        </w:tc>
        <w:tc>
          <w:tcPr>
            <w:tcW w:w="720" w:type="dxa"/>
          </w:tcPr>
          <w:p w14:paraId="43B12551" w14:textId="77777777" w:rsidR="007F4C85" w:rsidRPr="004F6DAA" w:rsidRDefault="007F4C85" w:rsidP="00992B23">
            <w:pPr>
              <w:ind w:right="-29"/>
              <w:jc w:val="center"/>
              <w:rPr>
                <w:noProof/>
                <w:sz w:val="18"/>
                <w:szCs w:val="18"/>
              </w:rPr>
            </w:pPr>
          </w:p>
        </w:tc>
        <w:tc>
          <w:tcPr>
            <w:tcW w:w="900" w:type="dxa"/>
          </w:tcPr>
          <w:p w14:paraId="7DF17D06" w14:textId="77777777" w:rsidR="007F4C85" w:rsidRPr="004F6DAA" w:rsidRDefault="007F4C85" w:rsidP="00992B23">
            <w:pPr>
              <w:ind w:right="-29"/>
              <w:jc w:val="center"/>
              <w:rPr>
                <w:noProof/>
                <w:sz w:val="18"/>
                <w:szCs w:val="18"/>
              </w:rPr>
            </w:pPr>
          </w:p>
        </w:tc>
      </w:tr>
      <w:tr w:rsidR="007F4C85" w:rsidRPr="004F6DAA" w14:paraId="5A46F320" w14:textId="77777777" w:rsidTr="00992B23">
        <w:trPr>
          <w:jc w:val="center"/>
        </w:trPr>
        <w:tc>
          <w:tcPr>
            <w:tcW w:w="2844" w:type="dxa"/>
            <w:gridSpan w:val="3"/>
            <w:tcBorders>
              <w:bottom w:val="single" w:sz="12" w:space="0" w:color="auto"/>
            </w:tcBorders>
            <w:vAlign w:val="center"/>
          </w:tcPr>
          <w:p w14:paraId="6BB7D0CC" w14:textId="77777777" w:rsidR="007F4C85" w:rsidRPr="004F6DAA" w:rsidRDefault="007F4C85" w:rsidP="00992B23">
            <w:pPr>
              <w:jc w:val="center"/>
              <w:rPr>
                <w:noProof/>
                <w:sz w:val="18"/>
                <w:szCs w:val="18"/>
              </w:rPr>
            </w:pPr>
            <w:r w:rsidRPr="004F6DAA">
              <w:rPr>
                <w:noProof/>
                <w:sz w:val="18"/>
              </w:rPr>
              <w:t xml:space="preserve">Cel szczegółowy </w:t>
            </w:r>
            <w:r w:rsidRPr="00062BFA">
              <w:rPr>
                <w:noProof/>
                <w:sz w:val="18"/>
              </w:rPr>
              <w:t>nr</w:t>
            </w:r>
            <w:r w:rsidR="00062BFA" w:rsidRPr="00062BFA">
              <w:rPr>
                <w:noProof/>
                <w:sz w:val="18"/>
              </w:rPr>
              <w:t> </w:t>
            </w:r>
            <w:r w:rsidRPr="00062BFA">
              <w:rPr>
                <w:noProof/>
                <w:sz w:val="18"/>
              </w:rPr>
              <w:t>2</w:t>
            </w:r>
            <w:r w:rsidRPr="004F6DAA">
              <w:rPr>
                <w:noProof/>
                <w:sz w:val="18"/>
              </w:rPr>
              <w:t xml:space="preserve"> – suma cząstkowa</w:t>
            </w:r>
          </w:p>
        </w:tc>
        <w:tc>
          <w:tcPr>
            <w:tcW w:w="504" w:type="dxa"/>
            <w:tcBorders>
              <w:bottom w:val="single" w:sz="12" w:space="0" w:color="auto"/>
            </w:tcBorders>
          </w:tcPr>
          <w:p w14:paraId="05D21ABF"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6858D5F2" w14:textId="77777777" w:rsidR="007F4C85" w:rsidRPr="004F6DAA" w:rsidRDefault="007F4C85" w:rsidP="00992B23">
            <w:pPr>
              <w:ind w:right="-29"/>
              <w:jc w:val="center"/>
              <w:rPr>
                <w:noProof/>
                <w:sz w:val="18"/>
                <w:szCs w:val="18"/>
              </w:rPr>
            </w:pPr>
          </w:p>
        </w:tc>
        <w:tc>
          <w:tcPr>
            <w:tcW w:w="540" w:type="dxa"/>
            <w:tcBorders>
              <w:bottom w:val="single" w:sz="12" w:space="0" w:color="auto"/>
            </w:tcBorders>
          </w:tcPr>
          <w:p w14:paraId="33148679"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35779677"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47D42A26"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3161C241" w14:textId="77777777" w:rsidR="007F4C85" w:rsidRPr="004F6DAA" w:rsidRDefault="007F4C85" w:rsidP="00992B23">
            <w:pPr>
              <w:ind w:right="-29"/>
              <w:jc w:val="center"/>
              <w:rPr>
                <w:noProof/>
                <w:sz w:val="18"/>
                <w:szCs w:val="18"/>
              </w:rPr>
            </w:pPr>
          </w:p>
        </w:tc>
        <w:tc>
          <w:tcPr>
            <w:tcW w:w="951" w:type="dxa"/>
            <w:gridSpan w:val="2"/>
            <w:tcBorders>
              <w:bottom w:val="single" w:sz="12" w:space="0" w:color="auto"/>
            </w:tcBorders>
          </w:tcPr>
          <w:p w14:paraId="0E661846" w14:textId="77777777" w:rsidR="007F4C85" w:rsidRPr="004F6DAA" w:rsidRDefault="007F4C85" w:rsidP="00992B23">
            <w:pPr>
              <w:ind w:right="-29"/>
              <w:jc w:val="center"/>
              <w:rPr>
                <w:noProof/>
                <w:sz w:val="18"/>
                <w:szCs w:val="18"/>
              </w:rPr>
            </w:pPr>
          </w:p>
        </w:tc>
        <w:tc>
          <w:tcPr>
            <w:tcW w:w="669" w:type="dxa"/>
            <w:tcBorders>
              <w:bottom w:val="single" w:sz="12" w:space="0" w:color="auto"/>
            </w:tcBorders>
          </w:tcPr>
          <w:p w14:paraId="7DBDF50A" w14:textId="77777777" w:rsidR="007F4C85" w:rsidRPr="004F6DAA" w:rsidRDefault="007F4C85" w:rsidP="00992B23">
            <w:pPr>
              <w:ind w:right="-29"/>
              <w:jc w:val="center"/>
              <w:rPr>
                <w:noProof/>
                <w:sz w:val="18"/>
                <w:szCs w:val="18"/>
              </w:rPr>
            </w:pPr>
          </w:p>
        </w:tc>
        <w:tc>
          <w:tcPr>
            <w:tcW w:w="540" w:type="dxa"/>
            <w:tcBorders>
              <w:bottom w:val="single" w:sz="12" w:space="0" w:color="auto"/>
            </w:tcBorders>
          </w:tcPr>
          <w:p w14:paraId="7B6E8900" w14:textId="77777777" w:rsidR="007F4C85" w:rsidRPr="004F6DAA" w:rsidRDefault="007F4C85" w:rsidP="00992B23">
            <w:pPr>
              <w:ind w:right="-29"/>
              <w:jc w:val="center"/>
              <w:rPr>
                <w:noProof/>
                <w:sz w:val="18"/>
                <w:szCs w:val="18"/>
              </w:rPr>
            </w:pPr>
          </w:p>
        </w:tc>
        <w:tc>
          <w:tcPr>
            <w:tcW w:w="648" w:type="dxa"/>
            <w:tcBorders>
              <w:bottom w:val="single" w:sz="12" w:space="0" w:color="auto"/>
            </w:tcBorders>
          </w:tcPr>
          <w:p w14:paraId="5A8AB551" w14:textId="77777777" w:rsidR="007F4C85" w:rsidRPr="004F6DAA" w:rsidRDefault="007F4C85" w:rsidP="00992B23">
            <w:pPr>
              <w:ind w:right="-29"/>
              <w:jc w:val="center"/>
              <w:rPr>
                <w:noProof/>
                <w:sz w:val="18"/>
                <w:szCs w:val="18"/>
              </w:rPr>
            </w:pPr>
          </w:p>
        </w:tc>
        <w:tc>
          <w:tcPr>
            <w:tcW w:w="432" w:type="dxa"/>
            <w:tcBorders>
              <w:bottom w:val="single" w:sz="12" w:space="0" w:color="auto"/>
            </w:tcBorders>
          </w:tcPr>
          <w:p w14:paraId="165AC90F"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33DFF5C1" w14:textId="77777777" w:rsidR="007F4C85" w:rsidRPr="004F6DAA" w:rsidRDefault="007F4C85" w:rsidP="00992B23">
            <w:pPr>
              <w:ind w:right="-29"/>
              <w:jc w:val="center"/>
              <w:rPr>
                <w:noProof/>
                <w:sz w:val="18"/>
                <w:szCs w:val="18"/>
              </w:rPr>
            </w:pPr>
          </w:p>
        </w:tc>
        <w:tc>
          <w:tcPr>
            <w:tcW w:w="540" w:type="dxa"/>
            <w:tcBorders>
              <w:bottom w:val="single" w:sz="12" w:space="0" w:color="auto"/>
            </w:tcBorders>
          </w:tcPr>
          <w:p w14:paraId="31E3B485"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07913021" w14:textId="77777777" w:rsidR="007F4C85" w:rsidRPr="004F6DAA" w:rsidRDefault="007F4C85" w:rsidP="00992B23">
            <w:pPr>
              <w:ind w:right="-29"/>
              <w:jc w:val="center"/>
              <w:rPr>
                <w:noProof/>
                <w:sz w:val="18"/>
                <w:szCs w:val="18"/>
              </w:rPr>
            </w:pPr>
          </w:p>
        </w:tc>
        <w:tc>
          <w:tcPr>
            <w:tcW w:w="720" w:type="dxa"/>
            <w:tcBorders>
              <w:bottom w:val="single" w:sz="12" w:space="0" w:color="auto"/>
            </w:tcBorders>
          </w:tcPr>
          <w:p w14:paraId="67F02559" w14:textId="77777777" w:rsidR="007F4C85" w:rsidRPr="004F6DAA" w:rsidRDefault="007F4C85" w:rsidP="00992B23">
            <w:pPr>
              <w:ind w:right="-29"/>
              <w:jc w:val="center"/>
              <w:rPr>
                <w:noProof/>
                <w:sz w:val="18"/>
                <w:szCs w:val="18"/>
              </w:rPr>
            </w:pPr>
          </w:p>
        </w:tc>
        <w:tc>
          <w:tcPr>
            <w:tcW w:w="900" w:type="dxa"/>
            <w:tcBorders>
              <w:bottom w:val="single" w:sz="12" w:space="0" w:color="auto"/>
            </w:tcBorders>
          </w:tcPr>
          <w:p w14:paraId="02D5AC7D" w14:textId="77777777" w:rsidR="007F4C85" w:rsidRPr="004F6DAA" w:rsidRDefault="007F4C85" w:rsidP="00992B23">
            <w:pPr>
              <w:ind w:right="-29"/>
              <w:jc w:val="center"/>
              <w:rPr>
                <w:noProof/>
                <w:sz w:val="18"/>
                <w:szCs w:val="18"/>
              </w:rPr>
            </w:pPr>
          </w:p>
        </w:tc>
      </w:tr>
      <w:tr w:rsidR="007F4C85" w:rsidRPr="004F6DAA" w14:paraId="6BFC6C2B" w14:textId="77777777" w:rsidTr="00992B23">
        <w:trPr>
          <w:jc w:val="center"/>
        </w:trPr>
        <w:tc>
          <w:tcPr>
            <w:tcW w:w="2844" w:type="dxa"/>
            <w:gridSpan w:val="3"/>
            <w:tcBorders>
              <w:top w:val="single" w:sz="12" w:space="0" w:color="auto"/>
              <w:left w:val="single" w:sz="12" w:space="0" w:color="auto"/>
              <w:bottom w:val="single" w:sz="12" w:space="0" w:color="auto"/>
            </w:tcBorders>
            <w:vAlign w:val="center"/>
          </w:tcPr>
          <w:p w14:paraId="6EEA09E9" w14:textId="77777777" w:rsidR="007F4C85" w:rsidRPr="004F6DAA" w:rsidRDefault="007F4C85" w:rsidP="00992B23">
            <w:pPr>
              <w:ind w:right="-29"/>
              <w:jc w:val="center"/>
              <w:rPr>
                <w:noProof/>
                <w:sz w:val="18"/>
                <w:szCs w:val="18"/>
              </w:rPr>
            </w:pPr>
            <w:r w:rsidRPr="004F6DAA">
              <w:rPr>
                <w:b/>
                <w:noProof/>
                <w:sz w:val="18"/>
              </w:rPr>
              <w:t>OGÓŁEM</w:t>
            </w:r>
          </w:p>
        </w:tc>
        <w:tc>
          <w:tcPr>
            <w:tcW w:w="504" w:type="dxa"/>
            <w:tcBorders>
              <w:top w:val="single" w:sz="12" w:space="0" w:color="auto"/>
              <w:bottom w:val="single" w:sz="12" w:space="0" w:color="auto"/>
            </w:tcBorders>
          </w:tcPr>
          <w:p w14:paraId="238B2715" w14:textId="77777777" w:rsidR="007F4C85" w:rsidRPr="004F6DAA" w:rsidRDefault="007F4C85" w:rsidP="00992B23">
            <w:pPr>
              <w:spacing w:before="180" w:after="180"/>
              <w:ind w:right="-29"/>
              <w:jc w:val="center"/>
              <w:rPr>
                <w:noProof/>
                <w:sz w:val="18"/>
                <w:szCs w:val="18"/>
              </w:rPr>
            </w:pPr>
          </w:p>
        </w:tc>
        <w:tc>
          <w:tcPr>
            <w:tcW w:w="720" w:type="dxa"/>
            <w:tcBorders>
              <w:top w:val="single" w:sz="12" w:space="0" w:color="auto"/>
              <w:bottom w:val="single" w:sz="12" w:space="0" w:color="auto"/>
            </w:tcBorders>
          </w:tcPr>
          <w:p w14:paraId="2C6718C9" w14:textId="77777777" w:rsidR="007F4C85" w:rsidRPr="004F6DAA" w:rsidRDefault="007F4C85" w:rsidP="00992B23">
            <w:pPr>
              <w:spacing w:before="180" w:after="180"/>
              <w:ind w:right="-29"/>
              <w:jc w:val="center"/>
              <w:rPr>
                <w:noProof/>
                <w:sz w:val="18"/>
                <w:szCs w:val="18"/>
              </w:rPr>
            </w:pPr>
          </w:p>
        </w:tc>
        <w:tc>
          <w:tcPr>
            <w:tcW w:w="540" w:type="dxa"/>
            <w:tcBorders>
              <w:top w:val="single" w:sz="12" w:space="0" w:color="auto"/>
              <w:bottom w:val="single" w:sz="12" w:space="0" w:color="auto"/>
            </w:tcBorders>
          </w:tcPr>
          <w:p w14:paraId="0A2EADCA" w14:textId="77777777" w:rsidR="007F4C85" w:rsidRPr="004F6DAA" w:rsidRDefault="007F4C85" w:rsidP="00992B23">
            <w:pPr>
              <w:spacing w:before="180" w:after="180"/>
              <w:ind w:right="-29"/>
              <w:jc w:val="center"/>
              <w:rPr>
                <w:noProof/>
                <w:sz w:val="18"/>
                <w:szCs w:val="18"/>
              </w:rPr>
            </w:pPr>
          </w:p>
        </w:tc>
        <w:tc>
          <w:tcPr>
            <w:tcW w:w="720" w:type="dxa"/>
            <w:tcBorders>
              <w:top w:val="single" w:sz="12" w:space="0" w:color="auto"/>
              <w:bottom w:val="single" w:sz="12" w:space="0" w:color="auto"/>
            </w:tcBorders>
          </w:tcPr>
          <w:p w14:paraId="3BCDDEE6" w14:textId="77777777" w:rsidR="007F4C85" w:rsidRPr="004F6DAA" w:rsidRDefault="007F4C85" w:rsidP="00992B23">
            <w:pPr>
              <w:spacing w:before="180" w:after="180"/>
              <w:ind w:right="-29"/>
              <w:jc w:val="center"/>
              <w:rPr>
                <w:noProof/>
                <w:sz w:val="18"/>
                <w:szCs w:val="18"/>
              </w:rPr>
            </w:pPr>
          </w:p>
        </w:tc>
        <w:tc>
          <w:tcPr>
            <w:tcW w:w="720" w:type="dxa"/>
            <w:tcBorders>
              <w:top w:val="single" w:sz="12" w:space="0" w:color="auto"/>
              <w:bottom w:val="single" w:sz="12" w:space="0" w:color="auto"/>
            </w:tcBorders>
          </w:tcPr>
          <w:p w14:paraId="63ECE017" w14:textId="77777777" w:rsidR="007F4C85" w:rsidRPr="004F6DAA" w:rsidRDefault="007F4C85" w:rsidP="00992B23">
            <w:pPr>
              <w:spacing w:before="180" w:after="180"/>
              <w:ind w:right="-29"/>
              <w:jc w:val="center"/>
              <w:rPr>
                <w:noProof/>
                <w:sz w:val="18"/>
                <w:szCs w:val="18"/>
              </w:rPr>
            </w:pPr>
          </w:p>
        </w:tc>
        <w:tc>
          <w:tcPr>
            <w:tcW w:w="720" w:type="dxa"/>
            <w:tcBorders>
              <w:top w:val="single" w:sz="12" w:space="0" w:color="auto"/>
              <w:bottom w:val="single" w:sz="12" w:space="0" w:color="auto"/>
            </w:tcBorders>
          </w:tcPr>
          <w:p w14:paraId="115DB796" w14:textId="77777777" w:rsidR="007F4C85" w:rsidRPr="004F6DAA" w:rsidRDefault="007F4C85" w:rsidP="00992B23">
            <w:pPr>
              <w:spacing w:before="180" w:after="180"/>
              <w:ind w:right="-29"/>
              <w:jc w:val="center"/>
              <w:rPr>
                <w:noProof/>
                <w:sz w:val="18"/>
                <w:szCs w:val="18"/>
              </w:rPr>
            </w:pPr>
          </w:p>
        </w:tc>
        <w:tc>
          <w:tcPr>
            <w:tcW w:w="900" w:type="dxa"/>
            <w:tcBorders>
              <w:top w:val="single" w:sz="12" w:space="0" w:color="auto"/>
              <w:bottom w:val="single" w:sz="12" w:space="0" w:color="auto"/>
            </w:tcBorders>
          </w:tcPr>
          <w:p w14:paraId="5358B82D" w14:textId="77777777" w:rsidR="007F4C85" w:rsidRPr="004F6DAA" w:rsidRDefault="007F4C85" w:rsidP="00992B23">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0D9E8984" w14:textId="77777777" w:rsidR="007F4C85" w:rsidRPr="004F6DAA" w:rsidRDefault="007F4C85" w:rsidP="00992B23">
            <w:pPr>
              <w:spacing w:before="180" w:after="180"/>
              <w:ind w:right="-29"/>
              <w:jc w:val="center"/>
              <w:rPr>
                <w:noProof/>
                <w:sz w:val="18"/>
                <w:szCs w:val="18"/>
              </w:rPr>
            </w:pPr>
          </w:p>
        </w:tc>
        <w:tc>
          <w:tcPr>
            <w:tcW w:w="540" w:type="dxa"/>
            <w:tcBorders>
              <w:top w:val="single" w:sz="12" w:space="0" w:color="auto"/>
              <w:bottom w:val="single" w:sz="12" w:space="0" w:color="auto"/>
            </w:tcBorders>
          </w:tcPr>
          <w:p w14:paraId="160E4766" w14:textId="77777777" w:rsidR="007F4C85" w:rsidRPr="004F6DAA" w:rsidRDefault="007F4C85" w:rsidP="00992B23">
            <w:pPr>
              <w:spacing w:before="180" w:after="180"/>
              <w:ind w:right="-29"/>
              <w:jc w:val="center"/>
              <w:rPr>
                <w:noProof/>
                <w:sz w:val="18"/>
                <w:szCs w:val="18"/>
              </w:rPr>
            </w:pPr>
          </w:p>
        </w:tc>
        <w:tc>
          <w:tcPr>
            <w:tcW w:w="648" w:type="dxa"/>
            <w:tcBorders>
              <w:top w:val="single" w:sz="12" w:space="0" w:color="auto"/>
              <w:bottom w:val="single" w:sz="12" w:space="0" w:color="auto"/>
            </w:tcBorders>
          </w:tcPr>
          <w:p w14:paraId="3CD5E19B" w14:textId="77777777" w:rsidR="007F4C85" w:rsidRPr="004F6DAA" w:rsidRDefault="007F4C85" w:rsidP="00992B23">
            <w:pPr>
              <w:spacing w:before="180" w:after="180"/>
              <w:ind w:right="-29"/>
              <w:jc w:val="center"/>
              <w:rPr>
                <w:noProof/>
                <w:sz w:val="18"/>
                <w:szCs w:val="18"/>
              </w:rPr>
            </w:pPr>
          </w:p>
        </w:tc>
        <w:tc>
          <w:tcPr>
            <w:tcW w:w="432" w:type="dxa"/>
            <w:tcBorders>
              <w:top w:val="single" w:sz="12" w:space="0" w:color="auto"/>
              <w:bottom w:val="single" w:sz="12" w:space="0" w:color="auto"/>
            </w:tcBorders>
          </w:tcPr>
          <w:p w14:paraId="743CD112" w14:textId="77777777" w:rsidR="007F4C85" w:rsidRPr="004F6DAA" w:rsidRDefault="007F4C85" w:rsidP="00992B23">
            <w:pPr>
              <w:spacing w:before="180" w:after="180"/>
              <w:ind w:right="-29"/>
              <w:jc w:val="center"/>
              <w:rPr>
                <w:noProof/>
                <w:sz w:val="18"/>
                <w:szCs w:val="18"/>
              </w:rPr>
            </w:pPr>
          </w:p>
        </w:tc>
        <w:tc>
          <w:tcPr>
            <w:tcW w:w="720" w:type="dxa"/>
            <w:tcBorders>
              <w:top w:val="single" w:sz="12" w:space="0" w:color="auto"/>
              <w:bottom w:val="single" w:sz="12" w:space="0" w:color="auto"/>
            </w:tcBorders>
          </w:tcPr>
          <w:p w14:paraId="5C2D909B" w14:textId="77777777" w:rsidR="007F4C85" w:rsidRPr="004F6DAA" w:rsidRDefault="007F4C85" w:rsidP="00992B23">
            <w:pPr>
              <w:spacing w:before="180" w:after="180"/>
              <w:ind w:right="-29"/>
              <w:jc w:val="center"/>
              <w:rPr>
                <w:noProof/>
                <w:sz w:val="18"/>
                <w:szCs w:val="18"/>
              </w:rPr>
            </w:pPr>
          </w:p>
        </w:tc>
        <w:tc>
          <w:tcPr>
            <w:tcW w:w="540" w:type="dxa"/>
            <w:tcBorders>
              <w:top w:val="single" w:sz="12" w:space="0" w:color="auto"/>
              <w:bottom w:val="single" w:sz="12" w:space="0" w:color="auto"/>
            </w:tcBorders>
          </w:tcPr>
          <w:p w14:paraId="5B1167E5" w14:textId="77777777" w:rsidR="007F4C85" w:rsidRPr="004F6DAA" w:rsidRDefault="007F4C85" w:rsidP="00992B23">
            <w:pPr>
              <w:spacing w:before="180" w:after="180"/>
              <w:ind w:right="-29"/>
              <w:jc w:val="center"/>
              <w:rPr>
                <w:noProof/>
                <w:sz w:val="18"/>
                <w:szCs w:val="18"/>
              </w:rPr>
            </w:pPr>
          </w:p>
        </w:tc>
        <w:tc>
          <w:tcPr>
            <w:tcW w:w="720" w:type="dxa"/>
            <w:tcBorders>
              <w:top w:val="single" w:sz="12" w:space="0" w:color="auto"/>
              <w:bottom w:val="single" w:sz="12" w:space="0" w:color="auto"/>
            </w:tcBorders>
          </w:tcPr>
          <w:p w14:paraId="45CB9103" w14:textId="77777777" w:rsidR="007F4C85" w:rsidRPr="004F6DAA" w:rsidRDefault="007F4C85" w:rsidP="00992B23">
            <w:pPr>
              <w:spacing w:before="180" w:after="180"/>
              <w:ind w:right="-29"/>
              <w:jc w:val="center"/>
              <w:rPr>
                <w:noProof/>
                <w:sz w:val="18"/>
                <w:szCs w:val="18"/>
              </w:rPr>
            </w:pPr>
          </w:p>
        </w:tc>
        <w:tc>
          <w:tcPr>
            <w:tcW w:w="720" w:type="dxa"/>
            <w:tcBorders>
              <w:top w:val="single" w:sz="12" w:space="0" w:color="auto"/>
              <w:bottom w:val="single" w:sz="12" w:space="0" w:color="auto"/>
            </w:tcBorders>
          </w:tcPr>
          <w:p w14:paraId="2D86EB3F" w14:textId="77777777" w:rsidR="007F4C85" w:rsidRPr="004F6DAA" w:rsidRDefault="007F4C85" w:rsidP="00992B23">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2BFB8A7B" w14:textId="77777777" w:rsidR="007F4C85" w:rsidRPr="004F6DAA" w:rsidRDefault="007F4C85" w:rsidP="00992B23">
            <w:pPr>
              <w:spacing w:before="180" w:after="180"/>
              <w:ind w:right="-29"/>
              <w:jc w:val="center"/>
              <w:rPr>
                <w:noProof/>
                <w:sz w:val="18"/>
                <w:szCs w:val="18"/>
              </w:rPr>
            </w:pPr>
          </w:p>
        </w:tc>
      </w:tr>
    </w:tbl>
    <w:p w14:paraId="4DCEA581" w14:textId="77777777" w:rsidR="007F4C85" w:rsidRPr="004F6DAA" w:rsidRDefault="007F4C85" w:rsidP="007F4C85">
      <w:pPr>
        <w:rPr>
          <w:noProof/>
        </w:rPr>
        <w:sectPr w:rsidR="007F4C85" w:rsidRPr="004F6DAA" w:rsidSect="00007A34">
          <w:headerReference w:type="default" r:id="rId21"/>
          <w:footerReference w:type="default" r:id="rId22"/>
          <w:headerReference w:type="first" r:id="rId23"/>
          <w:footerReference w:type="first" r:id="rId24"/>
          <w:pgSz w:w="16840" w:h="11907" w:orient="landscape" w:code="9"/>
          <w:pgMar w:top="1134" w:right="1418" w:bottom="567" w:left="1418" w:header="709" w:footer="709" w:gutter="0"/>
          <w:cols w:space="708"/>
          <w:docGrid w:linePitch="360"/>
        </w:sectPr>
      </w:pPr>
    </w:p>
    <w:p w14:paraId="0BB037AF" w14:textId="77777777" w:rsidR="007F4C85" w:rsidRPr="004F6DAA" w:rsidRDefault="007B7EB7" w:rsidP="007B7EB7">
      <w:pPr>
        <w:pStyle w:val="ManualHeading3"/>
        <w:rPr>
          <w:bCs/>
          <w:noProof/>
          <w:szCs w:val="24"/>
        </w:rPr>
      </w:pPr>
      <w:r w:rsidRPr="007B7EB7">
        <w:t>3.2.3.</w:t>
      </w:r>
      <w:r w:rsidRPr="007B7EB7">
        <w:tab/>
      </w:r>
      <w:r w:rsidR="007F4C85" w:rsidRPr="004F6DAA">
        <w:rPr>
          <w:noProof/>
        </w:rPr>
        <w:t xml:space="preserve">Podsumowanie szacunkowego wpływu na środki administracyjne </w:t>
      </w:r>
    </w:p>
    <w:p w14:paraId="0254E4AF" w14:textId="77777777" w:rsidR="007F4C85" w:rsidRPr="004F6DAA" w:rsidRDefault="007F4C85" w:rsidP="007F4C85">
      <w:pPr>
        <w:pStyle w:val="ListDash1"/>
        <w:rPr>
          <w:noProof/>
        </w:rPr>
      </w:pPr>
      <w:r w:rsidRPr="004F6DAA">
        <w:rPr>
          <w:noProof/>
        </w:rPr>
        <w:sym w:font="Wingdings" w:char="F0A8"/>
      </w:r>
      <w:r w:rsidRPr="004F6DAA">
        <w:rPr>
          <w:noProof/>
        </w:rPr>
        <w:tab/>
        <w:t>Wniosek/inicjatywa nie wiąże się</w:t>
      </w:r>
      <w:r w:rsidR="00062BFA" w:rsidRPr="004F6DAA">
        <w:rPr>
          <w:noProof/>
        </w:rPr>
        <w:t xml:space="preserve"> z</w:t>
      </w:r>
      <w:r w:rsidR="00062BFA">
        <w:rPr>
          <w:noProof/>
        </w:rPr>
        <w:t> </w:t>
      </w:r>
      <w:r w:rsidR="00062BFA" w:rsidRPr="004F6DAA">
        <w:rPr>
          <w:noProof/>
        </w:rPr>
        <w:t>kon</w:t>
      </w:r>
      <w:r w:rsidRPr="004F6DAA">
        <w:rPr>
          <w:noProof/>
        </w:rPr>
        <w:t xml:space="preserve">iecznością wykorzystania środków administracyjnych </w:t>
      </w:r>
    </w:p>
    <w:p w14:paraId="0DD5B238" w14:textId="77777777" w:rsidR="007F4C85" w:rsidRPr="004F6DAA" w:rsidRDefault="007F4C85" w:rsidP="007F4C85">
      <w:pPr>
        <w:pStyle w:val="ListDash1"/>
        <w:rPr>
          <w:noProof/>
        </w:rPr>
      </w:pPr>
      <w:r w:rsidRPr="004F6DAA">
        <w:rPr>
          <w:noProof/>
        </w:rPr>
        <w:sym w:font="Wingdings" w:char="F0FE"/>
      </w:r>
      <w:r w:rsidRPr="004F6DAA">
        <w:rPr>
          <w:noProof/>
        </w:rPr>
        <w:tab/>
        <w:t>Wniosek/inicjatywa wiąże się</w:t>
      </w:r>
      <w:r w:rsidR="00062BFA" w:rsidRPr="004F6DAA">
        <w:rPr>
          <w:noProof/>
        </w:rPr>
        <w:t xml:space="preserve"> z</w:t>
      </w:r>
      <w:r w:rsidR="00062BFA">
        <w:rPr>
          <w:noProof/>
        </w:rPr>
        <w:t> </w:t>
      </w:r>
      <w:r w:rsidR="00062BFA" w:rsidRPr="004F6DAA">
        <w:rPr>
          <w:noProof/>
        </w:rPr>
        <w:t>kon</w:t>
      </w:r>
      <w:r w:rsidRPr="004F6DAA">
        <w:rPr>
          <w:noProof/>
        </w:rPr>
        <w:t>iecznością wykorzystania środków administracyjnych, jak określono poniżej:</w:t>
      </w:r>
    </w:p>
    <w:p w14:paraId="5A22BB01" w14:textId="77777777" w:rsidR="007F4C85" w:rsidRPr="004F6DAA" w:rsidRDefault="007F4C85" w:rsidP="007F4C85">
      <w:pPr>
        <w:jc w:val="right"/>
        <w:rPr>
          <w:noProof/>
          <w:sz w:val="20"/>
        </w:rPr>
      </w:pPr>
      <w:r w:rsidRPr="004F6DAA">
        <w:rPr>
          <w:noProof/>
          <w:sz w:val="20"/>
        </w:rPr>
        <w:t>w mln EUR (do trzech miejsc po przecinku)</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7F4C85" w:rsidRPr="004F6DAA" w14:paraId="64EFAA11" w14:textId="77777777" w:rsidTr="002A54C1">
        <w:trPr>
          <w:trHeight w:val="585"/>
        </w:trPr>
        <w:tc>
          <w:tcPr>
            <w:tcW w:w="1980" w:type="dxa"/>
          </w:tcPr>
          <w:p w14:paraId="016CE9BD" w14:textId="77777777" w:rsidR="007F4C85" w:rsidRPr="004F6DAA" w:rsidRDefault="007F4C85" w:rsidP="002A54C1">
            <w:pPr>
              <w:rPr>
                <w:noProof/>
                <w:sz w:val="16"/>
                <w:szCs w:val="16"/>
              </w:rPr>
            </w:pPr>
          </w:p>
        </w:tc>
        <w:tc>
          <w:tcPr>
            <w:tcW w:w="1080" w:type="dxa"/>
            <w:vAlign w:val="center"/>
          </w:tcPr>
          <w:p w14:paraId="4A4F9901" w14:textId="77777777" w:rsidR="002A54C1" w:rsidRPr="004F6DAA" w:rsidRDefault="002A54C1" w:rsidP="002A54C1">
            <w:pPr>
              <w:contextualSpacing/>
              <w:jc w:val="center"/>
              <w:rPr>
                <w:noProof/>
                <w:sz w:val="20"/>
              </w:rPr>
            </w:pPr>
            <w:r w:rsidRPr="004F6DAA">
              <w:rPr>
                <w:noProof/>
                <w:sz w:val="20"/>
              </w:rPr>
              <w:t>Rok</w:t>
            </w:r>
          </w:p>
          <w:p w14:paraId="6AAD8EAF" w14:textId="77777777" w:rsidR="007F4C85" w:rsidRPr="004F6DAA" w:rsidRDefault="002A54C1" w:rsidP="002A54C1">
            <w:pPr>
              <w:contextualSpacing/>
              <w:jc w:val="center"/>
              <w:rPr>
                <w:noProof/>
                <w:sz w:val="20"/>
              </w:rPr>
            </w:pPr>
            <w:r w:rsidRPr="004F6DAA">
              <w:rPr>
                <w:b/>
                <w:noProof/>
                <w:sz w:val="20"/>
              </w:rPr>
              <w:t>2022</w:t>
            </w:r>
          </w:p>
        </w:tc>
        <w:tc>
          <w:tcPr>
            <w:tcW w:w="1080" w:type="dxa"/>
            <w:vAlign w:val="center"/>
          </w:tcPr>
          <w:p w14:paraId="1F47B448" w14:textId="77777777" w:rsidR="002A54C1" w:rsidRPr="004F6DAA" w:rsidRDefault="007F4C85" w:rsidP="002A54C1">
            <w:pPr>
              <w:contextualSpacing/>
              <w:jc w:val="center"/>
              <w:rPr>
                <w:noProof/>
                <w:sz w:val="20"/>
              </w:rPr>
            </w:pPr>
            <w:r w:rsidRPr="004F6DAA">
              <w:rPr>
                <w:noProof/>
                <w:sz w:val="20"/>
              </w:rPr>
              <w:t>Rok</w:t>
            </w:r>
          </w:p>
          <w:p w14:paraId="1CDBE66E" w14:textId="77777777" w:rsidR="007F4C85" w:rsidRPr="004F6DAA" w:rsidRDefault="007F4C85" w:rsidP="002A54C1">
            <w:pPr>
              <w:contextualSpacing/>
              <w:jc w:val="center"/>
              <w:rPr>
                <w:noProof/>
                <w:sz w:val="16"/>
                <w:szCs w:val="16"/>
              </w:rPr>
            </w:pPr>
            <w:r w:rsidRPr="004F6DAA">
              <w:rPr>
                <w:b/>
                <w:noProof/>
                <w:sz w:val="20"/>
              </w:rPr>
              <w:t>2023</w:t>
            </w:r>
          </w:p>
        </w:tc>
        <w:tc>
          <w:tcPr>
            <w:tcW w:w="1080" w:type="dxa"/>
            <w:vAlign w:val="center"/>
          </w:tcPr>
          <w:p w14:paraId="3B23CD3F" w14:textId="77777777" w:rsidR="002A54C1" w:rsidRPr="004F6DAA" w:rsidRDefault="007F4C85" w:rsidP="002A54C1">
            <w:pPr>
              <w:contextualSpacing/>
              <w:jc w:val="center"/>
              <w:rPr>
                <w:noProof/>
                <w:sz w:val="20"/>
              </w:rPr>
            </w:pPr>
            <w:r w:rsidRPr="004F6DAA">
              <w:rPr>
                <w:noProof/>
                <w:sz w:val="20"/>
              </w:rPr>
              <w:t>Rok</w:t>
            </w:r>
          </w:p>
          <w:p w14:paraId="6785C812" w14:textId="77777777" w:rsidR="007F4C85" w:rsidRPr="004F6DAA" w:rsidRDefault="007F4C85" w:rsidP="002A54C1">
            <w:pPr>
              <w:contextualSpacing/>
              <w:jc w:val="center"/>
              <w:rPr>
                <w:noProof/>
                <w:sz w:val="16"/>
                <w:szCs w:val="16"/>
              </w:rPr>
            </w:pPr>
            <w:r w:rsidRPr="004F6DAA">
              <w:rPr>
                <w:b/>
                <w:noProof/>
                <w:sz w:val="20"/>
              </w:rPr>
              <w:t>2024</w:t>
            </w:r>
          </w:p>
        </w:tc>
        <w:tc>
          <w:tcPr>
            <w:tcW w:w="1080" w:type="dxa"/>
            <w:vAlign w:val="center"/>
          </w:tcPr>
          <w:p w14:paraId="125940BF" w14:textId="77777777" w:rsidR="002A54C1" w:rsidRPr="004F6DAA" w:rsidRDefault="007F4C85" w:rsidP="002A54C1">
            <w:pPr>
              <w:contextualSpacing/>
              <w:jc w:val="center"/>
              <w:rPr>
                <w:noProof/>
                <w:sz w:val="20"/>
              </w:rPr>
            </w:pPr>
            <w:r w:rsidRPr="004F6DAA">
              <w:rPr>
                <w:noProof/>
                <w:sz w:val="20"/>
              </w:rPr>
              <w:t>Rok</w:t>
            </w:r>
          </w:p>
          <w:p w14:paraId="05158993" w14:textId="77777777" w:rsidR="007F4C85" w:rsidRPr="004F6DAA" w:rsidRDefault="007F4C85" w:rsidP="002A54C1">
            <w:pPr>
              <w:contextualSpacing/>
              <w:jc w:val="center"/>
              <w:rPr>
                <w:noProof/>
                <w:sz w:val="16"/>
                <w:szCs w:val="16"/>
              </w:rPr>
            </w:pPr>
            <w:r w:rsidRPr="004F6DAA">
              <w:rPr>
                <w:b/>
                <w:noProof/>
                <w:sz w:val="20"/>
              </w:rPr>
              <w:t>2025</w:t>
            </w:r>
          </w:p>
        </w:tc>
        <w:tc>
          <w:tcPr>
            <w:tcW w:w="1080" w:type="dxa"/>
            <w:vAlign w:val="center"/>
          </w:tcPr>
          <w:p w14:paraId="264B89FF" w14:textId="77777777" w:rsidR="002A54C1" w:rsidRPr="004F6DAA" w:rsidRDefault="007F4C85" w:rsidP="002A54C1">
            <w:pPr>
              <w:contextualSpacing/>
              <w:jc w:val="center"/>
              <w:rPr>
                <w:noProof/>
                <w:sz w:val="20"/>
              </w:rPr>
            </w:pPr>
            <w:r w:rsidRPr="004F6DAA">
              <w:rPr>
                <w:noProof/>
                <w:sz w:val="20"/>
              </w:rPr>
              <w:t>Rok</w:t>
            </w:r>
          </w:p>
          <w:p w14:paraId="3AF9BAF4" w14:textId="77777777" w:rsidR="007F4C85" w:rsidRPr="004F6DAA" w:rsidRDefault="007F4C85" w:rsidP="002A54C1">
            <w:pPr>
              <w:contextualSpacing/>
              <w:jc w:val="center"/>
              <w:rPr>
                <w:noProof/>
                <w:sz w:val="16"/>
                <w:szCs w:val="16"/>
              </w:rPr>
            </w:pPr>
            <w:r w:rsidRPr="004F6DAA">
              <w:rPr>
                <w:b/>
                <w:noProof/>
                <w:sz w:val="20"/>
              </w:rPr>
              <w:t>2026</w:t>
            </w:r>
          </w:p>
        </w:tc>
        <w:tc>
          <w:tcPr>
            <w:tcW w:w="1080" w:type="dxa"/>
            <w:vAlign w:val="center"/>
          </w:tcPr>
          <w:p w14:paraId="1985E8C7" w14:textId="77777777" w:rsidR="002A54C1" w:rsidRPr="004F6DAA" w:rsidRDefault="007F4C85" w:rsidP="002A54C1">
            <w:pPr>
              <w:contextualSpacing/>
              <w:jc w:val="center"/>
              <w:rPr>
                <w:noProof/>
                <w:sz w:val="20"/>
              </w:rPr>
            </w:pPr>
            <w:r w:rsidRPr="004F6DAA">
              <w:rPr>
                <w:noProof/>
                <w:sz w:val="20"/>
              </w:rPr>
              <w:t>Rok</w:t>
            </w:r>
          </w:p>
          <w:p w14:paraId="413FCE5E" w14:textId="77777777" w:rsidR="007F4C85" w:rsidRPr="004F6DAA" w:rsidRDefault="007F4C85" w:rsidP="002A54C1">
            <w:pPr>
              <w:contextualSpacing/>
              <w:jc w:val="center"/>
              <w:rPr>
                <w:b/>
                <w:noProof/>
                <w:sz w:val="16"/>
                <w:szCs w:val="16"/>
              </w:rPr>
            </w:pPr>
            <w:r w:rsidRPr="004F6DAA">
              <w:rPr>
                <w:b/>
                <w:noProof/>
                <w:sz w:val="20"/>
              </w:rPr>
              <w:t>2027</w:t>
            </w:r>
          </w:p>
        </w:tc>
        <w:tc>
          <w:tcPr>
            <w:tcW w:w="1080" w:type="dxa"/>
            <w:vAlign w:val="center"/>
          </w:tcPr>
          <w:p w14:paraId="47DCCF34" w14:textId="77777777" w:rsidR="007F4C85" w:rsidRPr="004F6DAA" w:rsidRDefault="007F4C85" w:rsidP="002A54C1">
            <w:pPr>
              <w:contextualSpacing/>
              <w:jc w:val="center"/>
              <w:rPr>
                <w:b/>
                <w:noProof/>
                <w:sz w:val="16"/>
              </w:rPr>
            </w:pPr>
            <w:r w:rsidRPr="004F6DAA">
              <w:rPr>
                <w:b/>
                <w:noProof/>
                <w:sz w:val="16"/>
              </w:rPr>
              <w:t>OGÓŁEM</w:t>
            </w:r>
          </w:p>
          <w:p w14:paraId="7D05DCAC" w14:textId="77777777" w:rsidR="007F4C85" w:rsidRPr="004F6DAA" w:rsidRDefault="007F4C85" w:rsidP="002A54C1">
            <w:pPr>
              <w:contextualSpacing/>
              <w:jc w:val="center"/>
              <w:rPr>
                <w:b/>
                <w:noProof/>
                <w:sz w:val="16"/>
                <w:szCs w:val="16"/>
              </w:rPr>
            </w:pPr>
            <w:r w:rsidRPr="004F6DAA">
              <w:rPr>
                <w:b/>
                <w:noProof/>
                <w:sz w:val="16"/>
              </w:rPr>
              <w:t>(2023–2027)</w:t>
            </w:r>
          </w:p>
        </w:tc>
      </w:tr>
    </w:tbl>
    <w:p w14:paraId="595C4A7B" w14:textId="77777777" w:rsidR="007F4C85" w:rsidRPr="004F6DAA" w:rsidRDefault="007F4C85" w:rsidP="007F4C85">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7F4C85" w:rsidRPr="004F6DAA" w14:paraId="1C9849BA" w14:textId="77777777" w:rsidTr="00992B23">
        <w:trPr>
          <w:trHeight w:val="585"/>
        </w:trPr>
        <w:tc>
          <w:tcPr>
            <w:tcW w:w="1980" w:type="dxa"/>
            <w:shd w:val="clear" w:color="auto" w:fill="CCCCCC"/>
            <w:vAlign w:val="center"/>
          </w:tcPr>
          <w:p w14:paraId="44A237A3" w14:textId="77777777" w:rsidR="007F4C85" w:rsidRPr="004F6DAA" w:rsidRDefault="007F4C85" w:rsidP="00C93423">
            <w:pPr>
              <w:spacing w:before="60" w:after="60" w:line="200" w:lineRule="exact"/>
              <w:jc w:val="center"/>
              <w:rPr>
                <w:b/>
                <w:noProof/>
                <w:sz w:val="16"/>
                <w:szCs w:val="16"/>
              </w:rPr>
            </w:pPr>
            <w:r w:rsidRPr="004F6DAA">
              <w:rPr>
                <w:b/>
                <w:noProof/>
                <w:sz w:val="16"/>
              </w:rPr>
              <w:t>DZIAŁ 7 wieloletnich ram finansowych</w:t>
            </w:r>
          </w:p>
        </w:tc>
        <w:tc>
          <w:tcPr>
            <w:tcW w:w="1080" w:type="dxa"/>
          </w:tcPr>
          <w:p w14:paraId="1E3D31B9"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2CA940F4"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742D93B3"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138829AC"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69B377D6"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25092A1B"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6BA10DB8" w14:textId="77777777" w:rsidR="007F4C85" w:rsidRPr="004F6DAA" w:rsidRDefault="007F4C85" w:rsidP="00992B23">
            <w:pPr>
              <w:spacing w:before="60" w:after="60" w:line="200" w:lineRule="exact"/>
              <w:jc w:val="right"/>
              <w:rPr>
                <w:b/>
                <w:noProof/>
                <w:sz w:val="16"/>
                <w:szCs w:val="16"/>
              </w:rPr>
            </w:pPr>
          </w:p>
        </w:tc>
      </w:tr>
      <w:tr w:rsidR="007F4C85" w:rsidRPr="004F6DAA" w14:paraId="3388D3CC" w14:textId="77777777" w:rsidTr="00992B23">
        <w:trPr>
          <w:trHeight w:val="585"/>
        </w:trPr>
        <w:tc>
          <w:tcPr>
            <w:tcW w:w="1980" w:type="dxa"/>
            <w:vAlign w:val="center"/>
          </w:tcPr>
          <w:p w14:paraId="19511E0B" w14:textId="77777777" w:rsidR="007F4C85" w:rsidRPr="004F6DAA" w:rsidRDefault="007F4C85" w:rsidP="00992B23">
            <w:pPr>
              <w:spacing w:before="60" w:after="60" w:line="200" w:lineRule="exact"/>
              <w:ind w:left="72"/>
              <w:jc w:val="left"/>
              <w:rPr>
                <w:noProof/>
                <w:sz w:val="16"/>
                <w:szCs w:val="16"/>
              </w:rPr>
            </w:pPr>
            <w:r w:rsidRPr="004F6DAA">
              <w:rPr>
                <w:noProof/>
                <w:sz w:val="16"/>
              </w:rPr>
              <w:t xml:space="preserve">Zasoby ludzkie </w:t>
            </w:r>
          </w:p>
        </w:tc>
        <w:tc>
          <w:tcPr>
            <w:tcW w:w="1080" w:type="dxa"/>
            <w:vAlign w:val="center"/>
          </w:tcPr>
          <w:p w14:paraId="57FA4BAF" w14:textId="77777777" w:rsidR="007F4C85" w:rsidRPr="004F6DAA" w:rsidRDefault="007F4C85" w:rsidP="00992B23">
            <w:pPr>
              <w:spacing w:before="60" w:after="60" w:line="200" w:lineRule="exact"/>
              <w:jc w:val="center"/>
              <w:rPr>
                <w:noProof/>
                <w:sz w:val="20"/>
              </w:rPr>
            </w:pPr>
            <w:r w:rsidRPr="004F6DAA">
              <w:rPr>
                <w:noProof/>
                <w:sz w:val="20"/>
              </w:rPr>
              <w:t>-</w:t>
            </w:r>
          </w:p>
        </w:tc>
        <w:tc>
          <w:tcPr>
            <w:tcW w:w="1080" w:type="dxa"/>
            <w:vAlign w:val="center"/>
          </w:tcPr>
          <w:p w14:paraId="3836618D" w14:textId="77777777" w:rsidR="007F4C85" w:rsidRPr="004F6DAA" w:rsidRDefault="007F4C85" w:rsidP="00726DAE">
            <w:pPr>
              <w:spacing w:before="60" w:after="60" w:line="200" w:lineRule="exact"/>
              <w:jc w:val="right"/>
              <w:rPr>
                <w:noProof/>
                <w:sz w:val="16"/>
                <w:szCs w:val="16"/>
              </w:rPr>
            </w:pPr>
            <w:r w:rsidRPr="004F6DAA">
              <w:rPr>
                <w:noProof/>
                <w:sz w:val="20"/>
              </w:rPr>
              <w:t>1,216</w:t>
            </w:r>
          </w:p>
        </w:tc>
        <w:tc>
          <w:tcPr>
            <w:tcW w:w="1080" w:type="dxa"/>
            <w:vAlign w:val="center"/>
          </w:tcPr>
          <w:p w14:paraId="1949240F" w14:textId="77777777" w:rsidR="007F4C85" w:rsidRPr="004F6DAA" w:rsidRDefault="007F4C85" w:rsidP="00726DAE">
            <w:pPr>
              <w:spacing w:before="60" w:after="60" w:line="200" w:lineRule="exact"/>
              <w:jc w:val="right"/>
              <w:rPr>
                <w:noProof/>
                <w:sz w:val="20"/>
              </w:rPr>
            </w:pPr>
            <w:r w:rsidRPr="004F6DAA">
              <w:rPr>
                <w:noProof/>
                <w:sz w:val="20"/>
              </w:rPr>
              <w:t>1,216</w:t>
            </w:r>
          </w:p>
        </w:tc>
        <w:tc>
          <w:tcPr>
            <w:tcW w:w="1080" w:type="dxa"/>
            <w:vAlign w:val="center"/>
          </w:tcPr>
          <w:p w14:paraId="25F91204" w14:textId="77777777" w:rsidR="007F4C85" w:rsidRPr="004F6DAA" w:rsidRDefault="007F4C85" w:rsidP="00726DAE">
            <w:pPr>
              <w:spacing w:before="60" w:after="60" w:line="200" w:lineRule="exact"/>
              <w:jc w:val="right"/>
              <w:rPr>
                <w:noProof/>
                <w:sz w:val="20"/>
              </w:rPr>
            </w:pPr>
            <w:r w:rsidRPr="004F6DAA">
              <w:rPr>
                <w:noProof/>
                <w:sz w:val="20"/>
              </w:rPr>
              <w:t>1,216</w:t>
            </w:r>
          </w:p>
        </w:tc>
        <w:tc>
          <w:tcPr>
            <w:tcW w:w="1080" w:type="dxa"/>
            <w:vAlign w:val="center"/>
          </w:tcPr>
          <w:p w14:paraId="5F34F0A1" w14:textId="77777777" w:rsidR="007F4C85" w:rsidRPr="004F6DAA" w:rsidRDefault="007F4C85" w:rsidP="00726DAE">
            <w:pPr>
              <w:spacing w:before="60" w:after="60" w:line="200" w:lineRule="exact"/>
              <w:jc w:val="right"/>
              <w:rPr>
                <w:noProof/>
                <w:sz w:val="20"/>
              </w:rPr>
            </w:pPr>
            <w:r w:rsidRPr="004F6DAA">
              <w:rPr>
                <w:noProof/>
                <w:sz w:val="20"/>
              </w:rPr>
              <w:t>1,216</w:t>
            </w:r>
          </w:p>
        </w:tc>
        <w:tc>
          <w:tcPr>
            <w:tcW w:w="1080" w:type="dxa"/>
            <w:vAlign w:val="center"/>
          </w:tcPr>
          <w:p w14:paraId="0D002DC7" w14:textId="77777777" w:rsidR="007F4C85" w:rsidRPr="004F6DAA" w:rsidRDefault="007F4C85" w:rsidP="00992B23">
            <w:pPr>
              <w:spacing w:before="60" w:after="60" w:line="200" w:lineRule="exact"/>
              <w:jc w:val="right"/>
              <w:rPr>
                <w:noProof/>
                <w:sz w:val="20"/>
              </w:rPr>
            </w:pPr>
            <w:r w:rsidRPr="004F6DAA">
              <w:rPr>
                <w:noProof/>
                <w:sz w:val="20"/>
              </w:rPr>
              <w:t>1,216</w:t>
            </w:r>
          </w:p>
        </w:tc>
        <w:tc>
          <w:tcPr>
            <w:tcW w:w="1080" w:type="dxa"/>
            <w:vAlign w:val="center"/>
          </w:tcPr>
          <w:p w14:paraId="5AE8E43D" w14:textId="77777777" w:rsidR="007F4C85" w:rsidRPr="004F6DAA" w:rsidRDefault="007F4C85" w:rsidP="00726DAE">
            <w:pPr>
              <w:spacing w:before="60" w:after="60" w:line="200" w:lineRule="exact"/>
              <w:jc w:val="right"/>
              <w:rPr>
                <w:b/>
                <w:noProof/>
                <w:sz w:val="16"/>
                <w:szCs w:val="16"/>
              </w:rPr>
            </w:pPr>
            <w:r w:rsidRPr="004F6DAA">
              <w:rPr>
                <w:b/>
                <w:noProof/>
                <w:sz w:val="20"/>
              </w:rPr>
              <w:t>6,080</w:t>
            </w:r>
          </w:p>
        </w:tc>
      </w:tr>
      <w:tr w:rsidR="007F4C85" w:rsidRPr="004F6DAA" w14:paraId="77382116" w14:textId="77777777" w:rsidTr="00992B23">
        <w:trPr>
          <w:trHeight w:val="585"/>
        </w:trPr>
        <w:tc>
          <w:tcPr>
            <w:tcW w:w="1980" w:type="dxa"/>
            <w:vAlign w:val="center"/>
          </w:tcPr>
          <w:p w14:paraId="23321892" w14:textId="77777777" w:rsidR="007F4C85" w:rsidRPr="004F6DAA" w:rsidRDefault="007F4C85" w:rsidP="00992B23">
            <w:pPr>
              <w:spacing w:before="60" w:after="60" w:line="200" w:lineRule="exact"/>
              <w:ind w:left="72"/>
              <w:jc w:val="left"/>
              <w:rPr>
                <w:noProof/>
                <w:sz w:val="16"/>
                <w:szCs w:val="16"/>
              </w:rPr>
            </w:pPr>
            <w:r w:rsidRPr="004F6DAA">
              <w:rPr>
                <w:noProof/>
                <w:sz w:val="16"/>
              </w:rPr>
              <w:t xml:space="preserve">Pozostałe wydatki administracyjne </w:t>
            </w:r>
          </w:p>
        </w:tc>
        <w:tc>
          <w:tcPr>
            <w:tcW w:w="1080" w:type="dxa"/>
            <w:vAlign w:val="center"/>
          </w:tcPr>
          <w:p w14:paraId="53E55C40" w14:textId="77777777" w:rsidR="007F4C85" w:rsidRPr="004F6DAA" w:rsidRDefault="007F4C85" w:rsidP="00992B23">
            <w:pPr>
              <w:spacing w:before="60" w:after="60" w:line="200" w:lineRule="exact"/>
              <w:jc w:val="center"/>
              <w:rPr>
                <w:noProof/>
                <w:sz w:val="20"/>
              </w:rPr>
            </w:pPr>
            <w:r w:rsidRPr="004F6DAA">
              <w:rPr>
                <w:noProof/>
                <w:sz w:val="20"/>
              </w:rPr>
              <w:t>-</w:t>
            </w:r>
          </w:p>
        </w:tc>
        <w:tc>
          <w:tcPr>
            <w:tcW w:w="1080" w:type="dxa"/>
            <w:vAlign w:val="center"/>
          </w:tcPr>
          <w:p w14:paraId="2110DA78" w14:textId="77777777" w:rsidR="007F4C85" w:rsidRPr="004F6DAA" w:rsidRDefault="007F4C85" w:rsidP="00992B23">
            <w:pPr>
              <w:spacing w:before="60" w:after="60" w:line="200" w:lineRule="exact"/>
              <w:jc w:val="right"/>
              <w:rPr>
                <w:noProof/>
                <w:sz w:val="20"/>
              </w:rPr>
            </w:pPr>
            <w:r w:rsidRPr="004F6DAA">
              <w:rPr>
                <w:noProof/>
                <w:sz w:val="20"/>
              </w:rPr>
              <w:t>0,114</w:t>
            </w:r>
          </w:p>
        </w:tc>
        <w:tc>
          <w:tcPr>
            <w:tcW w:w="1080" w:type="dxa"/>
            <w:vAlign w:val="center"/>
          </w:tcPr>
          <w:p w14:paraId="1E99F18E" w14:textId="77777777" w:rsidR="007F4C85" w:rsidRPr="004F6DAA" w:rsidRDefault="007F4C85" w:rsidP="00992B23">
            <w:pPr>
              <w:spacing w:before="60" w:after="60" w:line="200" w:lineRule="exact"/>
              <w:jc w:val="right"/>
              <w:rPr>
                <w:noProof/>
                <w:sz w:val="20"/>
              </w:rPr>
            </w:pPr>
            <w:r w:rsidRPr="004F6DAA">
              <w:rPr>
                <w:noProof/>
                <w:sz w:val="20"/>
              </w:rPr>
              <w:t>0,114</w:t>
            </w:r>
          </w:p>
        </w:tc>
        <w:tc>
          <w:tcPr>
            <w:tcW w:w="1080" w:type="dxa"/>
            <w:vAlign w:val="center"/>
          </w:tcPr>
          <w:p w14:paraId="12D4A4C3" w14:textId="77777777" w:rsidR="007F4C85" w:rsidRPr="004F6DAA" w:rsidRDefault="007F4C85" w:rsidP="00992B23">
            <w:pPr>
              <w:spacing w:before="60" w:after="60" w:line="200" w:lineRule="exact"/>
              <w:jc w:val="right"/>
              <w:rPr>
                <w:noProof/>
                <w:sz w:val="20"/>
              </w:rPr>
            </w:pPr>
            <w:r w:rsidRPr="004F6DAA">
              <w:rPr>
                <w:noProof/>
                <w:sz w:val="20"/>
              </w:rPr>
              <w:t>0,114</w:t>
            </w:r>
          </w:p>
        </w:tc>
        <w:tc>
          <w:tcPr>
            <w:tcW w:w="1080" w:type="dxa"/>
            <w:vAlign w:val="center"/>
          </w:tcPr>
          <w:p w14:paraId="02C18DF5" w14:textId="77777777" w:rsidR="007F4C85" w:rsidRPr="004F6DAA" w:rsidRDefault="007F4C85" w:rsidP="00992B23">
            <w:pPr>
              <w:spacing w:before="60" w:after="60" w:line="200" w:lineRule="exact"/>
              <w:jc w:val="right"/>
              <w:rPr>
                <w:noProof/>
                <w:sz w:val="20"/>
              </w:rPr>
            </w:pPr>
            <w:r w:rsidRPr="004F6DAA">
              <w:rPr>
                <w:noProof/>
                <w:sz w:val="20"/>
              </w:rPr>
              <w:t>0,114</w:t>
            </w:r>
          </w:p>
        </w:tc>
        <w:tc>
          <w:tcPr>
            <w:tcW w:w="1080" w:type="dxa"/>
            <w:vAlign w:val="center"/>
          </w:tcPr>
          <w:p w14:paraId="566F9D8F" w14:textId="77777777" w:rsidR="007F4C85" w:rsidRPr="004F6DAA" w:rsidRDefault="007F4C85" w:rsidP="00992B23">
            <w:pPr>
              <w:spacing w:before="60" w:after="60" w:line="200" w:lineRule="exact"/>
              <w:jc w:val="right"/>
              <w:rPr>
                <w:noProof/>
                <w:sz w:val="20"/>
              </w:rPr>
            </w:pPr>
            <w:r w:rsidRPr="004F6DAA">
              <w:rPr>
                <w:noProof/>
                <w:sz w:val="20"/>
              </w:rPr>
              <w:t>0,114</w:t>
            </w:r>
          </w:p>
        </w:tc>
        <w:tc>
          <w:tcPr>
            <w:tcW w:w="1080" w:type="dxa"/>
            <w:vAlign w:val="center"/>
          </w:tcPr>
          <w:p w14:paraId="12FC6194" w14:textId="77777777" w:rsidR="007F4C85" w:rsidRPr="004F6DAA" w:rsidRDefault="007F4C85" w:rsidP="00992B23">
            <w:pPr>
              <w:spacing w:before="60" w:after="60" w:line="200" w:lineRule="exact"/>
              <w:jc w:val="right"/>
              <w:rPr>
                <w:b/>
                <w:noProof/>
                <w:sz w:val="16"/>
                <w:szCs w:val="16"/>
              </w:rPr>
            </w:pPr>
            <w:r w:rsidRPr="004F6DAA">
              <w:rPr>
                <w:b/>
                <w:noProof/>
                <w:sz w:val="20"/>
              </w:rPr>
              <w:t>0,570</w:t>
            </w:r>
          </w:p>
        </w:tc>
      </w:tr>
      <w:tr w:rsidR="007F4C85" w:rsidRPr="004F6DAA" w14:paraId="408AACE8" w14:textId="77777777" w:rsidTr="00992B23">
        <w:trPr>
          <w:trHeight w:val="585"/>
        </w:trPr>
        <w:tc>
          <w:tcPr>
            <w:tcW w:w="1980" w:type="dxa"/>
            <w:shd w:val="clear" w:color="auto" w:fill="CCCCCC"/>
            <w:vAlign w:val="center"/>
          </w:tcPr>
          <w:p w14:paraId="3F5A3D48" w14:textId="77777777" w:rsidR="007F4C85" w:rsidRPr="004F6DAA" w:rsidRDefault="007F4C85" w:rsidP="00C93423">
            <w:pPr>
              <w:spacing w:before="60" w:after="60" w:line="200" w:lineRule="exact"/>
              <w:jc w:val="center"/>
              <w:rPr>
                <w:b/>
                <w:noProof/>
                <w:sz w:val="16"/>
                <w:szCs w:val="16"/>
              </w:rPr>
            </w:pPr>
            <w:r w:rsidRPr="004F6DAA">
              <w:rPr>
                <w:b/>
                <w:noProof/>
                <w:sz w:val="16"/>
              </w:rPr>
              <w:t xml:space="preserve">Suma cząstkowa DZIAŁU 7 wieloletnich ram finansowych </w:t>
            </w:r>
          </w:p>
        </w:tc>
        <w:tc>
          <w:tcPr>
            <w:tcW w:w="1080" w:type="dxa"/>
            <w:vAlign w:val="center"/>
          </w:tcPr>
          <w:p w14:paraId="03EDC967" w14:textId="77777777" w:rsidR="007F4C85" w:rsidRPr="004F6DAA" w:rsidRDefault="007F4C85" w:rsidP="00992B23">
            <w:pPr>
              <w:spacing w:before="60" w:after="60" w:line="200" w:lineRule="exact"/>
              <w:jc w:val="center"/>
              <w:rPr>
                <w:noProof/>
                <w:sz w:val="20"/>
              </w:rPr>
            </w:pPr>
            <w:r w:rsidRPr="004F6DAA">
              <w:rPr>
                <w:noProof/>
                <w:sz w:val="20"/>
              </w:rPr>
              <w:t>-</w:t>
            </w:r>
          </w:p>
        </w:tc>
        <w:tc>
          <w:tcPr>
            <w:tcW w:w="1080" w:type="dxa"/>
            <w:vAlign w:val="center"/>
          </w:tcPr>
          <w:p w14:paraId="54542A84" w14:textId="77777777" w:rsidR="007F4C85" w:rsidRPr="004F6DAA" w:rsidRDefault="007F4C85" w:rsidP="00992B23">
            <w:pPr>
              <w:spacing w:before="60" w:after="60" w:line="200" w:lineRule="exact"/>
              <w:jc w:val="right"/>
              <w:rPr>
                <w:noProof/>
                <w:sz w:val="16"/>
                <w:szCs w:val="16"/>
              </w:rPr>
            </w:pPr>
            <w:r w:rsidRPr="004F6DAA">
              <w:rPr>
                <w:noProof/>
                <w:sz w:val="20"/>
              </w:rPr>
              <w:t>1,330</w:t>
            </w:r>
          </w:p>
        </w:tc>
        <w:tc>
          <w:tcPr>
            <w:tcW w:w="1080" w:type="dxa"/>
            <w:vAlign w:val="center"/>
          </w:tcPr>
          <w:p w14:paraId="3BEFE956" w14:textId="77777777" w:rsidR="007F4C85" w:rsidRPr="004F6DAA" w:rsidRDefault="007F4C85" w:rsidP="00726DAE">
            <w:pPr>
              <w:spacing w:before="60" w:after="60" w:line="200" w:lineRule="exact"/>
              <w:jc w:val="right"/>
              <w:rPr>
                <w:noProof/>
                <w:sz w:val="16"/>
                <w:szCs w:val="16"/>
              </w:rPr>
            </w:pPr>
            <w:r w:rsidRPr="004F6DAA">
              <w:rPr>
                <w:noProof/>
                <w:sz w:val="20"/>
              </w:rPr>
              <w:t>1,330</w:t>
            </w:r>
          </w:p>
        </w:tc>
        <w:tc>
          <w:tcPr>
            <w:tcW w:w="1080" w:type="dxa"/>
            <w:vAlign w:val="center"/>
          </w:tcPr>
          <w:p w14:paraId="7DD76AD8" w14:textId="77777777" w:rsidR="007F4C85" w:rsidRPr="004F6DAA" w:rsidRDefault="007F4C85" w:rsidP="00992B23">
            <w:pPr>
              <w:spacing w:before="60" w:after="60" w:line="200" w:lineRule="exact"/>
              <w:jc w:val="right"/>
              <w:rPr>
                <w:noProof/>
                <w:sz w:val="16"/>
                <w:szCs w:val="16"/>
              </w:rPr>
            </w:pPr>
            <w:r w:rsidRPr="004F6DAA">
              <w:rPr>
                <w:noProof/>
                <w:sz w:val="20"/>
              </w:rPr>
              <w:t>1,330</w:t>
            </w:r>
          </w:p>
        </w:tc>
        <w:tc>
          <w:tcPr>
            <w:tcW w:w="1080" w:type="dxa"/>
            <w:vAlign w:val="center"/>
          </w:tcPr>
          <w:p w14:paraId="4C2AE22B" w14:textId="77777777" w:rsidR="007F4C85" w:rsidRPr="004F6DAA" w:rsidRDefault="007F4C85" w:rsidP="00992B23">
            <w:pPr>
              <w:spacing w:before="60" w:after="60" w:line="200" w:lineRule="exact"/>
              <w:jc w:val="right"/>
              <w:rPr>
                <w:noProof/>
                <w:sz w:val="16"/>
                <w:szCs w:val="16"/>
              </w:rPr>
            </w:pPr>
            <w:r w:rsidRPr="004F6DAA">
              <w:rPr>
                <w:noProof/>
                <w:sz w:val="20"/>
              </w:rPr>
              <w:t>1,330</w:t>
            </w:r>
          </w:p>
        </w:tc>
        <w:tc>
          <w:tcPr>
            <w:tcW w:w="1080" w:type="dxa"/>
            <w:vAlign w:val="center"/>
          </w:tcPr>
          <w:p w14:paraId="243375A6" w14:textId="77777777" w:rsidR="007F4C85" w:rsidRPr="004F6DAA" w:rsidRDefault="007F4C85" w:rsidP="00992B23">
            <w:pPr>
              <w:spacing w:before="60" w:after="60" w:line="200" w:lineRule="exact"/>
              <w:jc w:val="right"/>
              <w:rPr>
                <w:noProof/>
                <w:sz w:val="16"/>
                <w:szCs w:val="16"/>
              </w:rPr>
            </w:pPr>
            <w:r w:rsidRPr="004F6DAA">
              <w:rPr>
                <w:noProof/>
                <w:sz w:val="20"/>
              </w:rPr>
              <w:t>1,330</w:t>
            </w:r>
          </w:p>
        </w:tc>
        <w:tc>
          <w:tcPr>
            <w:tcW w:w="1080" w:type="dxa"/>
            <w:vAlign w:val="center"/>
          </w:tcPr>
          <w:p w14:paraId="6535159A" w14:textId="77777777" w:rsidR="007F4C85" w:rsidRPr="004F6DAA" w:rsidRDefault="007F4C85" w:rsidP="00726DAE">
            <w:pPr>
              <w:spacing w:before="60" w:after="60" w:line="200" w:lineRule="exact"/>
              <w:jc w:val="right"/>
              <w:rPr>
                <w:b/>
                <w:noProof/>
                <w:sz w:val="16"/>
                <w:szCs w:val="16"/>
              </w:rPr>
            </w:pPr>
            <w:r w:rsidRPr="004F6DAA">
              <w:rPr>
                <w:b/>
                <w:noProof/>
                <w:sz w:val="20"/>
              </w:rPr>
              <w:t>6,650</w:t>
            </w:r>
          </w:p>
        </w:tc>
      </w:tr>
    </w:tbl>
    <w:p w14:paraId="231812B4" w14:textId="77777777" w:rsidR="007F4C85" w:rsidRPr="004F6DAA" w:rsidRDefault="007F4C85" w:rsidP="007F4C85">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7F4C85" w:rsidRPr="004F6DAA" w14:paraId="5623EB0E" w14:textId="77777777" w:rsidTr="00992B23">
        <w:trPr>
          <w:trHeight w:val="585"/>
        </w:trPr>
        <w:tc>
          <w:tcPr>
            <w:tcW w:w="1980" w:type="dxa"/>
            <w:shd w:val="clear" w:color="auto" w:fill="CCCCCC"/>
            <w:vAlign w:val="center"/>
          </w:tcPr>
          <w:p w14:paraId="6D9255BC" w14:textId="77777777" w:rsidR="007F4C85" w:rsidRPr="004F6DAA" w:rsidRDefault="007F4C85" w:rsidP="00C93423">
            <w:pPr>
              <w:spacing w:before="60" w:after="60" w:line="200" w:lineRule="exact"/>
              <w:jc w:val="center"/>
              <w:rPr>
                <w:b/>
                <w:noProof/>
                <w:sz w:val="16"/>
                <w:szCs w:val="16"/>
              </w:rPr>
            </w:pPr>
            <w:r w:rsidRPr="004F6DAA">
              <w:rPr>
                <w:b/>
                <w:noProof/>
                <w:sz w:val="16"/>
              </w:rPr>
              <w:t>Poza DZIAŁEM 7</w:t>
            </w:r>
            <w:r w:rsidRPr="004F6DAA">
              <w:rPr>
                <w:rStyle w:val="Odwoanieprzypisudolnego"/>
                <w:b/>
                <w:noProof/>
                <w:sz w:val="16"/>
              </w:rPr>
              <w:footnoteReference w:id="65"/>
            </w:r>
            <w:r w:rsidRPr="004F6DAA">
              <w:rPr>
                <w:b/>
                <w:noProof/>
                <w:sz w:val="16"/>
              </w:rPr>
              <w:t xml:space="preserve"> wieloletnich ram finansowych </w:t>
            </w:r>
          </w:p>
        </w:tc>
        <w:tc>
          <w:tcPr>
            <w:tcW w:w="1080" w:type="dxa"/>
            <w:vAlign w:val="center"/>
          </w:tcPr>
          <w:p w14:paraId="21EFFF0A"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0F17F249"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24B69138"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0AEDDBC0"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62141663"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37ABB24D"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50E401BF" w14:textId="77777777" w:rsidR="007F4C85" w:rsidRPr="004F6DAA" w:rsidRDefault="007F4C85" w:rsidP="00992B23">
            <w:pPr>
              <w:spacing w:before="60" w:after="60" w:line="200" w:lineRule="exact"/>
              <w:jc w:val="right"/>
              <w:rPr>
                <w:b/>
                <w:noProof/>
                <w:sz w:val="16"/>
                <w:szCs w:val="16"/>
              </w:rPr>
            </w:pPr>
          </w:p>
        </w:tc>
      </w:tr>
      <w:tr w:rsidR="007F4C85" w:rsidRPr="004F6DAA" w14:paraId="3F7E6B29" w14:textId="77777777" w:rsidTr="00992B23">
        <w:trPr>
          <w:trHeight w:val="585"/>
        </w:trPr>
        <w:tc>
          <w:tcPr>
            <w:tcW w:w="1980" w:type="dxa"/>
            <w:vAlign w:val="center"/>
          </w:tcPr>
          <w:p w14:paraId="3AFD5CCA" w14:textId="77777777" w:rsidR="007F4C85" w:rsidRPr="004F6DAA" w:rsidRDefault="007F4C85" w:rsidP="00992B23">
            <w:pPr>
              <w:spacing w:before="60" w:after="60" w:line="200" w:lineRule="exact"/>
              <w:ind w:left="72"/>
              <w:jc w:val="left"/>
              <w:rPr>
                <w:noProof/>
                <w:sz w:val="16"/>
                <w:szCs w:val="16"/>
              </w:rPr>
            </w:pPr>
            <w:r w:rsidRPr="004F6DAA">
              <w:rPr>
                <w:noProof/>
                <w:sz w:val="16"/>
              </w:rPr>
              <w:t xml:space="preserve">Zasoby ludzkie </w:t>
            </w:r>
          </w:p>
        </w:tc>
        <w:tc>
          <w:tcPr>
            <w:tcW w:w="1080" w:type="dxa"/>
            <w:vAlign w:val="center"/>
          </w:tcPr>
          <w:p w14:paraId="24DD9005"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62EAD31A"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65B16AA1"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625488B0"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600CBED9"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64026EC9"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4C60FAB2" w14:textId="77777777" w:rsidR="007F4C85" w:rsidRPr="004F6DAA" w:rsidRDefault="007F4C85" w:rsidP="00992B23">
            <w:pPr>
              <w:spacing w:before="60" w:after="60" w:line="200" w:lineRule="exact"/>
              <w:jc w:val="right"/>
              <w:rPr>
                <w:b/>
                <w:noProof/>
                <w:sz w:val="16"/>
                <w:szCs w:val="16"/>
              </w:rPr>
            </w:pPr>
          </w:p>
        </w:tc>
      </w:tr>
      <w:tr w:rsidR="007F4C85" w:rsidRPr="004F6DAA" w14:paraId="7EDC3516" w14:textId="77777777" w:rsidTr="00992B23">
        <w:trPr>
          <w:trHeight w:val="585"/>
        </w:trPr>
        <w:tc>
          <w:tcPr>
            <w:tcW w:w="1980" w:type="dxa"/>
            <w:vAlign w:val="center"/>
          </w:tcPr>
          <w:p w14:paraId="6FE1DE55" w14:textId="77777777" w:rsidR="007F4C85" w:rsidRPr="004F6DAA" w:rsidRDefault="007F4C85" w:rsidP="00C93423">
            <w:pPr>
              <w:spacing w:before="60" w:after="60" w:line="200" w:lineRule="exact"/>
              <w:ind w:left="72"/>
              <w:jc w:val="left"/>
              <w:rPr>
                <w:noProof/>
                <w:sz w:val="16"/>
                <w:szCs w:val="16"/>
              </w:rPr>
            </w:pPr>
            <w:r w:rsidRPr="004F6DAA">
              <w:rPr>
                <w:noProof/>
                <w:sz w:val="16"/>
              </w:rPr>
              <w:t>Pozostałe wydatki</w:t>
            </w:r>
            <w:r w:rsidR="00062BFA" w:rsidRPr="004F6DAA">
              <w:rPr>
                <w:noProof/>
                <w:sz w:val="16"/>
              </w:rPr>
              <w:t xml:space="preserve"> o</w:t>
            </w:r>
            <w:r w:rsidR="00062BFA">
              <w:rPr>
                <w:noProof/>
                <w:sz w:val="16"/>
              </w:rPr>
              <w:t> </w:t>
            </w:r>
            <w:r w:rsidR="00062BFA" w:rsidRPr="004F6DAA">
              <w:rPr>
                <w:noProof/>
                <w:sz w:val="16"/>
              </w:rPr>
              <w:t>cha</w:t>
            </w:r>
            <w:r w:rsidRPr="004F6DAA">
              <w:rPr>
                <w:noProof/>
                <w:sz w:val="16"/>
              </w:rPr>
              <w:t>rakterze administracyjnym</w:t>
            </w:r>
          </w:p>
        </w:tc>
        <w:tc>
          <w:tcPr>
            <w:tcW w:w="1080" w:type="dxa"/>
            <w:vAlign w:val="center"/>
          </w:tcPr>
          <w:p w14:paraId="471B45EF"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7C56C0C1"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272DB1A3"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1F048811"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0BE4C374"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622AF35C"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24C6EF6F" w14:textId="77777777" w:rsidR="007F4C85" w:rsidRPr="004F6DAA" w:rsidRDefault="007F4C85" w:rsidP="00992B23">
            <w:pPr>
              <w:spacing w:before="60" w:after="60" w:line="200" w:lineRule="exact"/>
              <w:jc w:val="right"/>
              <w:rPr>
                <w:b/>
                <w:noProof/>
                <w:sz w:val="16"/>
                <w:szCs w:val="16"/>
              </w:rPr>
            </w:pPr>
          </w:p>
        </w:tc>
      </w:tr>
      <w:tr w:rsidR="007F4C85" w:rsidRPr="004F6DAA" w14:paraId="66555096" w14:textId="77777777" w:rsidTr="00992B23">
        <w:trPr>
          <w:trHeight w:val="585"/>
        </w:trPr>
        <w:tc>
          <w:tcPr>
            <w:tcW w:w="1980" w:type="dxa"/>
            <w:shd w:val="clear" w:color="auto" w:fill="CCCCCC"/>
            <w:vAlign w:val="center"/>
          </w:tcPr>
          <w:p w14:paraId="60ED7CEF" w14:textId="77777777" w:rsidR="007F4C85" w:rsidRPr="004F6DAA" w:rsidRDefault="007F4C85" w:rsidP="00C93423">
            <w:pPr>
              <w:spacing w:before="60" w:after="60" w:line="200" w:lineRule="exact"/>
              <w:jc w:val="center"/>
              <w:rPr>
                <w:b/>
                <w:noProof/>
                <w:sz w:val="16"/>
                <w:szCs w:val="16"/>
              </w:rPr>
            </w:pPr>
            <w:r w:rsidRPr="004F6DAA">
              <w:rPr>
                <w:b/>
                <w:noProof/>
                <w:sz w:val="16"/>
              </w:rPr>
              <w:t xml:space="preserve">Suma cząstkowa poza DZIAŁEM 7 wieloletnich ram finansowych </w:t>
            </w:r>
          </w:p>
        </w:tc>
        <w:tc>
          <w:tcPr>
            <w:tcW w:w="1080" w:type="dxa"/>
            <w:vAlign w:val="center"/>
          </w:tcPr>
          <w:p w14:paraId="11DEC50D"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2A3A509A"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1A32E55C"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2D95C3DA"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65875C55"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14EE166D" w14:textId="77777777" w:rsidR="007F4C85" w:rsidRPr="004F6DAA" w:rsidRDefault="007F4C85" w:rsidP="00992B23">
            <w:pPr>
              <w:spacing w:before="60" w:after="60" w:line="200" w:lineRule="exact"/>
              <w:jc w:val="right"/>
              <w:rPr>
                <w:noProof/>
                <w:sz w:val="16"/>
                <w:szCs w:val="16"/>
              </w:rPr>
            </w:pPr>
          </w:p>
        </w:tc>
        <w:tc>
          <w:tcPr>
            <w:tcW w:w="1080" w:type="dxa"/>
            <w:vAlign w:val="center"/>
          </w:tcPr>
          <w:p w14:paraId="0CDF1C82" w14:textId="77777777" w:rsidR="007F4C85" w:rsidRPr="004F6DAA" w:rsidRDefault="007F4C85" w:rsidP="00992B23">
            <w:pPr>
              <w:spacing w:before="60" w:after="60" w:line="200" w:lineRule="exact"/>
              <w:jc w:val="right"/>
              <w:rPr>
                <w:b/>
                <w:noProof/>
                <w:sz w:val="16"/>
                <w:szCs w:val="16"/>
              </w:rPr>
            </w:pPr>
          </w:p>
        </w:tc>
      </w:tr>
    </w:tbl>
    <w:p w14:paraId="72016E85" w14:textId="77777777" w:rsidR="007F4C85" w:rsidRPr="004F6DAA" w:rsidRDefault="007F4C85" w:rsidP="007F4C85">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rsidR="00726DAE" w:rsidRPr="004F6DAA" w14:paraId="5C764A7E" w14:textId="77777777" w:rsidTr="00992B2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BF9D0F7" w14:textId="77777777" w:rsidR="00726DAE" w:rsidRPr="004F6DAA" w:rsidRDefault="00726DAE" w:rsidP="00726DAE">
            <w:pPr>
              <w:spacing w:before="60" w:after="60" w:line="200" w:lineRule="exact"/>
              <w:jc w:val="center"/>
              <w:rPr>
                <w:noProof/>
                <w:sz w:val="16"/>
                <w:szCs w:val="16"/>
              </w:rPr>
            </w:pPr>
            <w:r w:rsidRPr="004F6DAA">
              <w:rPr>
                <w:b/>
                <w:noProof/>
                <w:sz w:val="16"/>
              </w:rPr>
              <w:t>OGÓŁEM</w:t>
            </w:r>
          </w:p>
        </w:tc>
        <w:tc>
          <w:tcPr>
            <w:tcW w:w="1080" w:type="dxa"/>
            <w:tcBorders>
              <w:top w:val="single" w:sz="12" w:space="0" w:color="auto"/>
              <w:left w:val="single" w:sz="2" w:space="0" w:color="auto"/>
              <w:bottom w:val="single" w:sz="12" w:space="0" w:color="auto"/>
              <w:right w:val="single" w:sz="2" w:space="0" w:color="auto"/>
            </w:tcBorders>
            <w:vAlign w:val="center"/>
          </w:tcPr>
          <w:p w14:paraId="79D255E4" w14:textId="77777777" w:rsidR="00726DAE" w:rsidRPr="004F6DAA" w:rsidRDefault="00726DAE" w:rsidP="00726DAE">
            <w:pPr>
              <w:spacing w:before="60" w:after="60" w:line="200" w:lineRule="exact"/>
              <w:jc w:val="center"/>
              <w:rPr>
                <w:noProof/>
                <w:sz w:val="20"/>
              </w:rPr>
            </w:pPr>
            <w:r w:rsidRPr="004F6DAA">
              <w:rPr>
                <w:noProof/>
                <w:sz w:val="20"/>
              </w:rPr>
              <w:t>-</w:t>
            </w:r>
          </w:p>
        </w:tc>
        <w:tc>
          <w:tcPr>
            <w:tcW w:w="1080" w:type="dxa"/>
            <w:tcBorders>
              <w:top w:val="single" w:sz="12" w:space="0" w:color="auto"/>
              <w:left w:val="single" w:sz="2" w:space="0" w:color="auto"/>
              <w:bottom w:val="single" w:sz="12" w:space="0" w:color="auto"/>
              <w:right w:val="single" w:sz="2" w:space="0" w:color="auto"/>
            </w:tcBorders>
            <w:vAlign w:val="center"/>
          </w:tcPr>
          <w:p w14:paraId="1535F495" w14:textId="77777777" w:rsidR="00726DAE" w:rsidRPr="004F6DAA" w:rsidRDefault="00726DAE" w:rsidP="00726DAE">
            <w:pPr>
              <w:spacing w:before="60" w:after="60" w:line="200" w:lineRule="exact"/>
              <w:jc w:val="right"/>
              <w:rPr>
                <w:b/>
                <w:noProof/>
                <w:sz w:val="16"/>
                <w:szCs w:val="16"/>
              </w:rPr>
            </w:pPr>
            <w:r w:rsidRPr="004F6DAA">
              <w:rPr>
                <w:noProof/>
                <w:sz w:val="20"/>
              </w:rPr>
              <w:t>1,330</w:t>
            </w:r>
          </w:p>
        </w:tc>
        <w:tc>
          <w:tcPr>
            <w:tcW w:w="1080" w:type="dxa"/>
            <w:tcBorders>
              <w:top w:val="single" w:sz="12" w:space="0" w:color="auto"/>
              <w:left w:val="single" w:sz="2" w:space="0" w:color="auto"/>
              <w:bottom w:val="single" w:sz="12" w:space="0" w:color="auto"/>
              <w:right w:val="single" w:sz="2" w:space="0" w:color="auto"/>
            </w:tcBorders>
            <w:vAlign w:val="center"/>
          </w:tcPr>
          <w:p w14:paraId="51F4A935" w14:textId="77777777" w:rsidR="00726DAE" w:rsidRPr="004F6DAA" w:rsidRDefault="00726DAE" w:rsidP="00726DAE">
            <w:pPr>
              <w:spacing w:before="60" w:after="60" w:line="200" w:lineRule="exact"/>
              <w:jc w:val="right"/>
              <w:rPr>
                <w:b/>
                <w:noProof/>
                <w:sz w:val="16"/>
                <w:szCs w:val="16"/>
              </w:rPr>
            </w:pPr>
            <w:r w:rsidRPr="004F6DAA">
              <w:rPr>
                <w:noProof/>
                <w:sz w:val="20"/>
              </w:rPr>
              <w:t>1,330</w:t>
            </w:r>
          </w:p>
        </w:tc>
        <w:tc>
          <w:tcPr>
            <w:tcW w:w="1080" w:type="dxa"/>
            <w:tcBorders>
              <w:top w:val="single" w:sz="12" w:space="0" w:color="auto"/>
              <w:left w:val="single" w:sz="2" w:space="0" w:color="auto"/>
              <w:bottom w:val="single" w:sz="12" w:space="0" w:color="auto"/>
              <w:right w:val="single" w:sz="2" w:space="0" w:color="auto"/>
            </w:tcBorders>
            <w:vAlign w:val="center"/>
          </w:tcPr>
          <w:p w14:paraId="320C2F1F" w14:textId="77777777" w:rsidR="00726DAE" w:rsidRPr="004F6DAA" w:rsidRDefault="00726DAE" w:rsidP="00726DAE">
            <w:pPr>
              <w:spacing w:before="60" w:after="60" w:line="200" w:lineRule="exact"/>
              <w:jc w:val="right"/>
              <w:rPr>
                <w:b/>
                <w:noProof/>
                <w:sz w:val="16"/>
                <w:szCs w:val="16"/>
              </w:rPr>
            </w:pPr>
            <w:r w:rsidRPr="004F6DAA">
              <w:rPr>
                <w:noProof/>
                <w:sz w:val="20"/>
              </w:rPr>
              <w:t>1,330</w:t>
            </w:r>
          </w:p>
        </w:tc>
        <w:tc>
          <w:tcPr>
            <w:tcW w:w="1080" w:type="dxa"/>
            <w:tcBorders>
              <w:top w:val="single" w:sz="12" w:space="0" w:color="auto"/>
              <w:left w:val="single" w:sz="2" w:space="0" w:color="auto"/>
              <w:bottom w:val="single" w:sz="12" w:space="0" w:color="auto"/>
              <w:right w:val="single" w:sz="2" w:space="0" w:color="auto"/>
            </w:tcBorders>
            <w:vAlign w:val="center"/>
          </w:tcPr>
          <w:p w14:paraId="18787C13" w14:textId="77777777" w:rsidR="00726DAE" w:rsidRPr="004F6DAA" w:rsidRDefault="00726DAE" w:rsidP="00726DAE">
            <w:pPr>
              <w:spacing w:before="60" w:after="60" w:line="200" w:lineRule="exact"/>
              <w:jc w:val="right"/>
              <w:rPr>
                <w:b/>
                <w:noProof/>
                <w:sz w:val="16"/>
                <w:szCs w:val="16"/>
              </w:rPr>
            </w:pPr>
            <w:r w:rsidRPr="004F6DAA">
              <w:rPr>
                <w:noProof/>
                <w:sz w:val="20"/>
              </w:rPr>
              <w:t>1,330</w:t>
            </w:r>
          </w:p>
        </w:tc>
        <w:tc>
          <w:tcPr>
            <w:tcW w:w="1080" w:type="dxa"/>
            <w:tcBorders>
              <w:top w:val="single" w:sz="12" w:space="0" w:color="auto"/>
              <w:left w:val="single" w:sz="2" w:space="0" w:color="auto"/>
              <w:bottom w:val="single" w:sz="12" w:space="0" w:color="auto"/>
              <w:right w:val="single" w:sz="2" w:space="0" w:color="auto"/>
            </w:tcBorders>
            <w:vAlign w:val="center"/>
          </w:tcPr>
          <w:p w14:paraId="613CA723" w14:textId="77777777" w:rsidR="00726DAE" w:rsidRPr="004F6DAA" w:rsidRDefault="00726DAE" w:rsidP="00726DAE">
            <w:pPr>
              <w:spacing w:before="60" w:after="60" w:line="200" w:lineRule="exact"/>
              <w:jc w:val="right"/>
              <w:rPr>
                <w:b/>
                <w:noProof/>
                <w:sz w:val="16"/>
                <w:szCs w:val="16"/>
              </w:rPr>
            </w:pPr>
            <w:r w:rsidRPr="004F6DAA">
              <w:rPr>
                <w:noProof/>
                <w:sz w:val="20"/>
              </w:rPr>
              <w:t>1,330</w:t>
            </w:r>
          </w:p>
        </w:tc>
        <w:tc>
          <w:tcPr>
            <w:tcW w:w="1080" w:type="dxa"/>
            <w:tcBorders>
              <w:top w:val="single" w:sz="12" w:space="0" w:color="auto"/>
              <w:left w:val="single" w:sz="2" w:space="0" w:color="auto"/>
              <w:bottom w:val="single" w:sz="12" w:space="0" w:color="auto"/>
              <w:right w:val="single" w:sz="12" w:space="0" w:color="auto"/>
            </w:tcBorders>
            <w:vAlign w:val="center"/>
          </w:tcPr>
          <w:p w14:paraId="6EE4D96E" w14:textId="77777777" w:rsidR="00726DAE" w:rsidRPr="004F6DAA" w:rsidRDefault="00726DAE" w:rsidP="00726DAE">
            <w:pPr>
              <w:spacing w:before="60" w:after="60" w:line="200" w:lineRule="exact"/>
              <w:jc w:val="right"/>
              <w:rPr>
                <w:b/>
                <w:noProof/>
                <w:sz w:val="16"/>
                <w:szCs w:val="16"/>
              </w:rPr>
            </w:pPr>
            <w:r w:rsidRPr="004F6DAA">
              <w:rPr>
                <w:b/>
                <w:noProof/>
                <w:sz w:val="20"/>
              </w:rPr>
              <w:t>6,650</w:t>
            </w:r>
          </w:p>
        </w:tc>
      </w:tr>
    </w:tbl>
    <w:p w14:paraId="4114B597" w14:textId="77777777" w:rsidR="007F4C85" w:rsidRPr="004F6DAA" w:rsidRDefault="00197D03" w:rsidP="007F4C85">
      <w:pPr>
        <w:rPr>
          <w:noProof/>
          <w:sz w:val="18"/>
        </w:rPr>
      </w:pPr>
      <w:r w:rsidRPr="004F6DAA">
        <w:rPr>
          <w:noProof/>
          <w:sz w:val="18"/>
        </w:rPr>
        <w:t>Potrzeby</w:t>
      </w:r>
      <w:r w:rsidR="00062BFA" w:rsidRPr="004F6DAA">
        <w:rPr>
          <w:noProof/>
          <w:sz w:val="18"/>
        </w:rPr>
        <w:t xml:space="preserve"> w</w:t>
      </w:r>
      <w:r w:rsidR="00062BFA">
        <w:rPr>
          <w:noProof/>
          <w:sz w:val="18"/>
        </w:rPr>
        <w:t> </w:t>
      </w:r>
      <w:r w:rsidR="00062BFA" w:rsidRPr="004F6DAA">
        <w:rPr>
          <w:noProof/>
          <w:sz w:val="18"/>
        </w:rPr>
        <w:t>zak</w:t>
      </w:r>
      <w:r w:rsidRPr="004F6DAA">
        <w:rPr>
          <w:noProof/>
          <w:sz w:val="18"/>
        </w:rPr>
        <w:t>resie środków administracyjnych zostaną pokryte ze środków już przydzielonych na zarządzanie tym działaniem lub przesuniętych, uzupełnionych</w:t>
      </w:r>
      <w:r w:rsidR="00062BFA" w:rsidRPr="004F6DAA">
        <w:rPr>
          <w:noProof/>
          <w:sz w:val="18"/>
        </w:rPr>
        <w:t xml:space="preserve"> w</w:t>
      </w:r>
      <w:r w:rsidR="00062BFA">
        <w:rPr>
          <w:noProof/>
          <w:sz w:val="18"/>
        </w:rPr>
        <w:t> </w:t>
      </w:r>
      <w:r w:rsidR="00062BFA" w:rsidRPr="004F6DAA">
        <w:rPr>
          <w:noProof/>
          <w:sz w:val="18"/>
        </w:rPr>
        <w:t>raz</w:t>
      </w:r>
      <w:r w:rsidRPr="004F6DAA">
        <w:rPr>
          <w:noProof/>
          <w:sz w:val="18"/>
        </w:rPr>
        <w:t>ie potrzeby wszelkimi dodatkowymi zasobami, które mogą zostać przydzielone zarządzającej dyrekcji generalnej</w:t>
      </w:r>
      <w:r w:rsidR="00062BFA" w:rsidRPr="004F6DAA">
        <w:rPr>
          <w:noProof/>
          <w:sz w:val="18"/>
        </w:rPr>
        <w:t xml:space="preserve"> w</w:t>
      </w:r>
      <w:r w:rsidR="00062BFA">
        <w:rPr>
          <w:noProof/>
          <w:sz w:val="18"/>
        </w:rPr>
        <w:t> </w:t>
      </w:r>
      <w:r w:rsidR="00062BFA" w:rsidRPr="004F6DAA">
        <w:rPr>
          <w:noProof/>
          <w:sz w:val="18"/>
        </w:rPr>
        <w:t>ram</w:t>
      </w:r>
      <w:r w:rsidRPr="004F6DAA">
        <w:rPr>
          <w:noProof/>
          <w:sz w:val="18"/>
        </w:rPr>
        <w:t>ach procedury rocznego przydziału środków oraz</w:t>
      </w:r>
      <w:r w:rsidR="00062BFA" w:rsidRPr="004F6DAA">
        <w:rPr>
          <w:noProof/>
          <w:sz w:val="18"/>
        </w:rPr>
        <w:t xml:space="preserve"> w</w:t>
      </w:r>
      <w:r w:rsidR="00062BFA">
        <w:rPr>
          <w:noProof/>
          <w:sz w:val="18"/>
        </w:rPr>
        <w:t> </w:t>
      </w:r>
      <w:r w:rsidR="00062BFA" w:rsidRPr="004F6DAA">
        <w:rPr>
          <w:noProof/>
          <w:sz w:val="18"/>
        </w:rPr>
        <w:t>świ</w:t>
      </w:r>
      <w:r w:rsidRPr="004F6DAA">
        <w:rPr>
          <w:noProof/>
          <w:sz w:val="18"/>
        </w:rPr>
        <w:t>etle istniejących ograniczeń budżetowych.</w:t>
      </w:r>
    </w:p>
    <w:p w14:paraId="52873852" w14:textId="77777777" w:rsidR="00FC414F" w:rsidRPr="004F6DAA" w:rsidRDefault="00FC414F" w:rsidP="007F4C85">
      <w:pPr>
        <w:rPr>
          <w:noProof/>
          <w:sz w:val="18"/>
        </w:rPr>
      </w:pPr>
    </w:p>
    <w:p w14:paraId="28889328" w14:textId="77777777" w:rsidR="007F4C85" w:rsidRPr="004F6DAA" w:rsidRDefault="007F4C85" w:rsidP="007F4C85">
      <w:pPr>
        <w:rPr>
          <w:noProof/>
          <w:sz w:val="18"/>
        </w:rPr>
        <w:sectPr w:rsidR="007F4C85" w:rsidRPr="004F6DAA" w:rsidSect="00007A34">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14:paraId="1A82388E" w14:textId="77777777" w:rsidR="007F4C85" w:rsidRPr="004F6DAA" w:rsidRDefault="007B7EB7" w:rsidP="007B7EB7">
      <w:pPr>
        <w:pStyle w:val="ManualHeading4"/>
        <w:rPr>
          <w:bCs/>
          <w:noProof/>
          <w:szCs w:val="24"/>
        </w:rPr>
      </w:pPr>
      <w:r w:rsidRPr="007B7EB7">
        <w:t>3.2.3.1.</w:t>
      </w:r>
      <w:r w:rsidRPr="007B7EB7">
        <w:tab/>
      </w:r>
      <w:r w:rsidR="007F4C85" w:rsidRPr="004F6DAA">
        <w:rPr>
          <w:noProof/>
        </w:rPr>
        <w:t xml:space="preserve">Szacowane zapotrzebowanie na zasoby ludzkie </w:t>
      </w:r>
    </w:p>
    <w:p w14:paraId="10C05CF5" w14:textId="77777777" w:rsidR="007F4C85" w:rsidRPr="004F6DAA" w:rsidRDefault="007F4C85" w:rsidP="007F4C85">
      <w:pPr>
        <w:pStyle w:val="ListDash1"/>
        <w:rPr>
          <w:noProof/>
        </w:rPr>
      </w:pPr>
      <w:r w:rsidRPr="004F6DAA">
        <w:rPr>
          <w:noProof/>
        </w:rPr>
        <w:sym w:font="Wingdings" w:char="F0A8"/>
      </w:r>
      <w:r w:rsidRPr="004F6DAA">
        <w:rPr>
          <w:noProof/>
        </w:rPr>
        <w:tab/>
        <w:t>Wniosek/inicjatywa nie wiąże się</w:t>
      </w:r>
      <w:r w:rsidR="00062BFA" w:rsidRPr="004F6DAA">
        <w:rPr>
          <w:noProof/>
        </w:rPr>
        <w:t xml:space="preserve"> z</w:t>
      </w:r>
      <w:r w:rsidR="00062BFA">
        <w:rPr>
          <w:noProof/>
        </w:rPr>
        <w:t> </w:t>
      </w:r>
      <w:r w:rsidR="00062BFA" w:rsidRPr="004F6DAA">
        <w:rPr>
          <w:noProof/>
        </w:rPr>
        <w:t>kon</w:t>
      </w:r>
      <w:r w:rsidRPr="004F6DAA">
        <w:rPr>
          <w:noProof/>
        </w:rPr>
        <w:t xml:space="preserve">iecznością wykorzystania zasobów ludzkich. </w:t>
      </w:r>
    </w:p>
    <w:p w14:paraId="3EBACD6A" w14:textId="77777777" w:rsidR="007F4C85" w:rsidRPr="004F6DAA" w:rsidRDefault="007F4C85" w:rsidP="007F4C85">
      <w:pPr>
        <w:pStyle w:val="ListDash1"/>
        <w:rPr>
          <w:noProof/>
        </w:rPr>
      </w:pPr>
      <w:r w:rsidRPr="004F6DAA">
        <w:rPr>
          <w:noProof/>
        </w:rPr>
        <w:sym w:font="Wingdings" w:char="F0FE"/>
      </w:r>
      <w:r w:rsidRPr="004F6DAA">
        <w:rPr>
          <w:noProof/>
        </w:rPr>
        <w:tab/>
        <w:t>Wniosek/inicjatywa wiąże się</w:t>
      </w:r>
      <w:r w:rsidR="00062BFA" w:rsidRPr="004F6DAA">
        <w:rPr>
          <w:noProof/>
        </w:rPr>
        <w:t xml:space="preserve"> z</w:t>
      </w:r>
      <w:r w:rsidR="00062BFA">
        <w:rPr>
          <w:noProof/>
        </w:rPr>
        <w:t> </w:t>
      </w:r>
      <w:r w:rsidR="00062BFA" w:rsidRPr="004F6DAA">
        <w:rPr>
          <w:noProof/>
        </w:rPr>
        <w:t>kon</w:t>
      </w:r>
      <w:r w:rsidRPr="004F6DAA">
        <w:rPr>
          <w:noProof/>
        </w:rPr>
        <w:t>iecznością wykorzystania zasobów ludzkich, jak określono poniżej:</w:t>
      </w:r>
    </w:p>
    <w:p w14:paraId="1F672E02" w14:textId="77777777" w:rsidR="007F4C85" w:rsidRPr="004F6DAA" w:rsidRDefault="007F4C85" w:rsidP="007F4C85">
      <w:pPr>
        <w:spacing w:after="60"/>
        <w:jc w:val="right"/>
        <w:rPr>
          <w:i/>
          <w:noProof/>
          <w:sz w:val="20"/>
        </w:rPr>
      </w:pPr>
      <w:r w:rsidRPr="004F6DAA">
        <w:rPr>
          <w:i/>
          <w:noProof/>
          <w:sz w:val="20"/>
        </w:rPr>
        <w:t>Wartości szacunkowe należy wyrazić</w:t>
      </w:r>
      <w:r w:rsidR="00062BFA" w:rsidRPr="004F6DAA">
        <w:rPr>
          <w:i/>
          <w:noProof/>
          <w:sz w:val="20"/>
        </w:rPr>
        <w:t xml:space="preserve"> w</w:t>
      </w:r>
      <w:r w:rsidR="00062BFA">
        <w:rPr>
          <w:i/>
          <w:noProof/>
          <w:sz w:val="20"/>
        </w:rPr>
        <w:t> </w:t>
      </w:r>
      <w:r w:rsidR="00062BFA" w:rsidRPr="004F6DAA">
        <w:rPr>
          <w:i/>
          <w:noProof/>
          <w:sz w:val="20"/>
        </w:rPr>
        <w:t>ekw</w:t>
      </w:r>
      <w:r w:rsidRPr="004F6DAA">
        <w:rPr>
          <w:i/>
          <w:noProof/>
          <w:sz w:val="20"/>
        </w:rPr>
        <w:t>iwalentach pełnego czasu pracy</w:t>
      </w:r>
    </w:p>
    <w:tbl>
      <w:tblPr>
        <w:tblW w:w="91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11"/>
        <w:gridCol w:w="20"/>
        <w:gridCol w:w="42"/>
      </w:tblGrid>
      <w:tr w:rsidR="007F4C85" w:rsidRPr="004F6DAA" w14:paraId="23A6979F" w14:textId="77777777" w:rsidTr="00FC4B00">
        <w:trPr>
          <w:gridBefore w:val="1"/>
          <w:gridAfter w:val="2"/>
          <w:wBefore w:w="15" w:type="dxa"/>
          <w:wAfter w:w="62" w:type="dxa"/>
          <w:trHeight w:val="289"/>
          <w:jc w:val="center"/>
        </w:trPr>
        <w:tc>
          <w:tcPr>
            <w:tcW w:w="4754" w:type="dxa"/>
            <w:gridSpan w:val="2"/>
            <w:shd w:val="clear" w:color="auto" w:fill="auto"/>
          </w:tcPr>
          <w:p w14:paraId="545CB5AD" w14:textId="77777777" w:rsidR="007F4C85" w:rsidRPr="004F6DAA" w:rsidRDefault="007F4C85" w:rsidP="00992B23">
            <w:pPr>
              <w:pStyle w:val="Text1"/>
              <w:spacing w:before="40" w:after="40"/>
              <w:ind w:left="0"/>
              <w:jc w:val="center"/>
              <w:rPr>
                <w:i/>
                <w:noProof/>
                <w:sz w:val="16"/>
                <w:szCs w:val="16"/>
              </w:rPr>
            </w:pPr>
          </w:p>
        </w:tc>
        <w:tc>
          <w:tcPr>
            <w:tcW w:w="731" w:type="dxa"/>
            <w:shd w:val="clear" w:color="auto" w:fill="auto"/>
            <w:vAlign w:val="center"/>
          </w:tcPr>
          <w:p w14:paraId="03B29B79" w14:textId="77777777" w:rsidR="00FC4B00" w:rsidRPr="004F6DAA" w:rsidRDefault="007F4C85" w:rsidP="00FC4B00">
            <w:pPr>
              <w:spacing w:before="0"/>
              <w:contextualSpacing/>
              <w:jc w:val="center"/>
              <w:rPr>
                <w:noProof/>
                <w:sz w:val="16"/>
                <w:szCs w:val="16"/>
              </w:rPr>
            </w:pPr>
            <w:r w:rsidRPr="004F6DAA">
              <w:rPr>
                <w:noProof/>
                <w:sz w:val="16"/>
                <w:szCs w:val="16"/>
              </w:rPr>
              <w:t>Rok</w:t>
            </w:r>
          </w:p>
          <w:p w14:paraId="76031A77" w14:textId="77777777" w:rsidR="007F4C85" w:rsidRPr="004F6DAA" w:rsidRDefault="007F4C85" w:rsidP="00FC4B00">
            <w:pPr>
              <w:spacing w:before="0"/>
              <w:contextualSpacing/>
              <w:jc w:val="center"/>
              <w:rPr>
                <w:noProof/>
                <w:sz w:val="16"/>
                <w:szCs w:val="16"/>
              </w:rPr>
            </w:pPr>
            <w:r w:rsidRPr="004F6DAA">
              <w:rPr>
                <w:b/>
                <w:noProof/>
                <w:sz w:val="16"/>
                <w:szCs w:val="16"/>
              </w:rPr>
              <w:t>2022</w:t>
            </w:r>
          </w:p>
        </w:tc>
        <w:tc>
          <w:tcPr>
            <w:tcW w:w="731" w:type="dxa"/>
            <w:shd w:val="clear" w:color="auto" w:fill="auto"/>
            <w:vAlign w:val="center"/>
          </w:tcPr>
          <w:p w14:paraId="701B3932" w14:textId="77777777" w:rsidR="00FC4B00" w:rsidRPr="004F6DAA" w:rsidRDefault="007F4C85" w:rsidP="00FC4B00">
            <w:pPr>
              <w:contextualSpacing/>
              <w:jc w:val="center"/>
              <w:rPr>
                <w:noProof/>
                <w:sz w:val="16"/>
                <w:szCs w:val="16"/>
              </w:rPr>
            </w:pPr>
            <w:r w:rsidRPr="004F6DAA">
              <w:rPr>
                <w:noProof/>
                <w:sz w:val="16"/>
                <w:szCs w:val="16"/>
              </w:rPr>
              <w:t>Rok</w:t>
            </w:r>
          </w:p>
          <w:p w14:paraId="5F6E17A4" w14:textId="77777777" w:rsidR="007F4C85" w:rsidRPr="004F6DAA" w:rsidRDefault="007F4C85" w:rsidP="00FC4B00">
            <w:pPr>
              <w:contextualSpacing/>
              <w:jc w:val="center"/>
              <w:rPr>
                <w:noProof/>
                <w:sz w:val="16"/>
                <w:szCs w:val="16"/>
              </w:rPr>
            </w:pPr>
            <w:r w:rsidRPr="004F6DAA">
              <w:rPr>
                <w:b/>
                <w:noProof/>
                <w:sz w:val="16"/>
                <w:szCs w:val="16"/>
              </w:rPr>
              <w:t>2023</w:t>
            </w:r>
          </w:p>
        </w:tc>
        <w:tc>
          <w:tcPr>
            <w:tcW w:w="731" w:type="dxa"/>
            <w:shd w:val="clear" w:color="auto" w:fill="auto"/>
            <w:vAlign w:val="center"/>
          </w:tcPr>
          <w:p w14:paraId="1D8DDEC0" w14:textId="77777777" w:rsidR="00FC4B00" w:rsidRPr="004F6DAA" w:rsidRDefault="007F4C85" w:rsidP="00FC4B00">
            <w:pPr>
              <w:contextualSpacing/>
              <w:jc w:val="center"/>
              <w:rPr>
                <w:noProof/>
                <w:sz w:val="16"/>
                <w:szCs w:val="16"/>
              </w:rPr>
            </w:pPr>
            <w:r w:rsidRPr="004F6DAA">
              <w:rPr>
                <w:noProof/>
                <w:sz w:val="16"/>
                <w:szCs w:val="16"/>
              </w:rPr>
              <w:t>Rok</w:t>
            </w:r>
          </w:p>
          <w:p w14:paraId="66A71C00" w14:textId="77777777" w:rsidR="007F4C85" w:rsidRPr="004F6DAA" w:rsidRDefault="007F4C85" w:rsidP="00FC4B00">
            <w:pPr>
              <w:contextualSpacing/>
              <w:jc w:val="center"/>
              <w:rPr>
                <w:noProof/>
                <w:sz w:val="16"/>
                <w:szCs w:val="16"/>
              </w:rPr>
            </w:pPr>
            <w:r w:rsidRPr="004F6DAA">
              <w:rPr>
                <w:b/>
                <w:noProof/>
                <w:sz w:val="16"/>
                <w:szCs w:val="16"/>
              </w:rPr>
              <w:t>2024</w:t>
            </w:r>
          </w:p>
        </w:tc>
        <w:tc>
          <w:tcPr>
            <w:tcW w:w="731" w:type="dxa"/>
            <w:shd w:val="clear" w:color="auto" w:fill="auto"/>
            <w:vAlign w:val="center"/>
          </w:tcPr>
          <w:p w14:paraId="33EA2B4E" w14:textId="77777777" w:rsidR="00FC4B00" w:rsidRPr="004F6DAA" w:rsidRDefault="007F4C85" w:rsidP="00FC4B00">
            <w:pPr>
              <w:contextualSpacing/>
              <w:jc w:val="center"/>
              <w:rPr>
                <w:noProof/>
                <w:sz w:val="16"/>
                <w:szCs w:val="16"/>
              </w:rPr>
            </w:pPr>
            <w:r w:rsidRPr="004F6DAA">
              <w:rPr>
                <w:noProof/>
                <w:sz w:val="16"/>
                <w:szCs w:val="16"/>
              </w:rPr>
              <w:t>Rok</w:t>
            </w:r>
          </w:p>
          <w:p w14:paraId="398C1A1D" w14:textId="77777777" w:rsidR="007F4C85" w:rsidRPr="004F6DAA" w:rsidRDefault="007F4C85" w:rsidP="00FC4B00">
            <w:pPr>
              <w:contextualSpacing/>
              <w:jc w:val="center"/>
              <w:rPr>
                <w:noProof/>
                <w:sz w:val="16"/>
                <w:szCs w:val="16"/>
              </w:rPr>
            </w:pPr>
            <w:r w:rsidRPr="004F6DAA">
              <w:rPr>
                <w:b/>
                <w:noProof/>
                <w:sz w:val="16"/>
                <w:szCs w:val="16"/>
              </w:rPr>
              <w:t>2025</w:t>
            </w:r>
          </w:p>
        </w:tc>
        <w:tc>
          <w:tcPr>
            <w:tcW w:w="731" w:type="dxa"/>
            <w:shd w:val="clear" w:color="auto" w:fill="auto"/>
            <w:vAlign w:val="center"/>
          </w:tcPr>
          <w:p w14:paraId="4ED2AF03" w14:textId="77777777" w:rsidR="00FC4B00" w:rsidRPr="004F6DAA" w:rsidRDefault="007F4C85" w:rsidP="00FC4B00">
            <w:pPr>
              <w:contextualSpacing/>
              <w:jc w:val="center"/>
              <w:rPr>
                <w:noProof/>
                <w:sz w:val="16"/>
                <w:szCs w:val="16"/>
              </w:rPr>
            </w:pPr>
            <w:r w:rsidRPr="004F6DAA">
              <w:rPr>
                <w:noProof/>
                <w:sz w:val="16"/>
                <w:szCs w:val="16"/>
              </w:rPr>
              <w:t>Rok</w:t>
            </w:r>
          </w:p>
          <w:p w14:paraId="0390F630" w14:textId="77777777" w:rsidR="007F4C85" w:rsidRPr="004F6DAA" w:rsidRDefault="007F4C85" w:rsidP="00FC4B00">
            <w:pPr>
              <w:contextualSpacing/>
              <w:jc w:val="center"/>
              <w:rPr>
                <w:b/>
                <w:noProof/>
                <w:sz w:val="16"/>
                <w:szCs w:val="16"/>
              </w:rPr>
            </w:pPr>
            <w:r w:rsidRPr="004F6DAA">
              <w:rPr>
                <w:b/>
                <w:noProof/>
                <w:sz w:val="16"/>
                <w:szCs w:val="16"/>
              </w:rPr>
              <w:t>2026</w:t>
            </w:r>
          </w:p>
        </w:tc>
        <w:tc>
          <w:tcPr>
            <w:tcW w:w="711" w:type="dxa"/>
            <w:shd w:val="clear" w:color="auto" w:fill="auto"/>
            <w:vAlign w:val="center"/>
          </w:tcPr>
          <w:p w14:paraId="6B4138B8" w14:textId="77777777" w:rsidR="00FC4B00" w:rsidRPr="004F6DAA" w:rsidRDefault="007F4C85" w:rsidP="00FC4B00">
            <w:pPr>
              <w:contextualSpacing/>
              <w:jc w:val="center"/>
              <w:rPr>
                <w:noProof/>
                <w:sz w:val="16"/>
                <w:szCs w:val="16"/>
              </w:rPr>
            </w:pPr>
            <w:r w:rsidRPr="004F6DAA">
              <w:rPr>
                <w:noProof/>
                <w:sz w:val="16"/>
                <w:szCs w:val="16"/>
              </w:rPr>
              <w:t>Rok</w:t>
            </w:r>
          </w:p>
          <w:p w14:paraId="4029EE45" w14:textId="77777777" w:rsidR="007F4C85" w:rsidRPr="004F6DAA" w:rsidRDefault="007F4C85" w:rsidP="00FC4B00">
            <w:pPr>
              <w:contextualSpacing/>
              <w:jc w:val="center"/>
              <w:rPr>
                <w:b/>
                <w:noProof/>
                <w:sz w:val="14"/>
                <w:szCs w:val="14"/>
              </w:rPr>
            </w:pPr>
            <w:r w:rsidRPr="004F6DAA">
              <w:rPr>
                <w:b/>
                <w:noProof/>
                <w:sz w:val="16"/>
                <w:szCs w:val="16"/>
              </w:rPr>
              <w:t xml:space="preserve">2027 </w:t>
            </w:r>
          </w:p>
        </w:tc>
      </w:tr>
      <w:tr w:rsidR="007F4C85" w:rsidRPr="004F6DAA" w14:paraId="0BE27F57" w14:textId="77777777" w:rsidTr="00992B23">
        <w:trPr>
          <w:gridBefore w:val="1"/>
          <w:wBefore w:w="15" w:type="dxa"/>
          <w:trHeight w:val="289"/>
          <w:jc w:val="center"/>
        </w:trPr>
        <w:tc>
          <w:tcPr>
            <w:tcW w:w="9182" w:type="dxa"/>
            <w:gridSpan w:val="10"/>
            <w:shd w:val="clear" w:color="auto" w:fill="auto"/>
          </w:tcPr>
          <w:p w14:paraId="49137E56" w14:textId="77777777" w:rsidR="007F4C85" w:rsidRPr="004F6DAA" w:rsidRDefault="007F4C85" w:rsidP="00992B23">
            <w:pPr>
              <w:jc w:val="left"/>
              <w:rPr>
                <w:noProof/>
                <w:sz w:val="16"/>
                <w:szCs w:val="16"/>
              </w:rPr>
            </w:pPr>
            <w:r w:rsidRPr="004F6DAA">
              <w:rPr>
                <w:b/>
                <w:noProof/>
                <w:sz w:val="16"/>
              </w:rPr>
              <w:sym w:font="Wingdings" w:char="F09F"/>
            </w:r>
            <w:r w:rsidRPr="004F6DAA">
              <w:rPr>
                <w:b/>
                <w:noProof/>
                <w:sz w:val="16"/>
              </w:rPr>
              <w:t xml:space="preserve"> Stanowiska przewidziane</w:t>
            </w:r>
            <w:r w:rsidR="00062BFA" w:rsidRPr="004F6DAA">
              <w:rPr>
                <w:b/>
                <w:noProof/>
                <w:sz w:val="16"/>
              </w:rPr>
              <w:t xml:space="preserve"> w</w:t>
            </w:r>
            <w:r w:rsidR="00062BFA">
              <w:rPr>
                <w:b/>
                <w:noProof/>
                <w:sz w:val="16"/>
              </w:rPr>
              <w:t> </w:t>
            </w:r>
            <w:r w:rsidR="00062BFA" w:rsidRPr="004F6DAA">
              <w:rPr>
                <w:b/>
                <w:noProof/>
                <w:sz w:val="16"/>
              </w:rPr>
              <w:t>pla</w:t>
            </w:r>
            <w:r w:rsidRPr="004F6DAA">
              <w:rPr>
                <w:b/>
                <w:noProof/>
                <w:sz w:val="16"/>
              </w:rPr>
              <w:t>nie zatrudnienia (stanowiska urzędników</w:t>
            </w:r>
            <w:r w:rsidR="00062BFA" w:rsidRPr="004F6DAA">
              <w:rPr>
                <w:b/>
                <w:noProof/>
                <w:sz w:val="16"/>
              </w:rPr>
              <w:t xml:space="preserve"> i</w:t>
            </w:r>
            <w:r w:rsidR="00062BFA">
              <w:rPr>
                <w:b/>
                <w:noProof/>
                <w:sz w:val="16"/>
              </w:rPr>
              <w:t> </w:t>
            </w:r>
            <w:r w:rsidR="00062BFA" w:rsidRPr="004F6DAA">
              <w:rPr>
                <w:b/>
                <w:noProof/>
                <w:sz w:val="16"/>
              </w:rPr>
              <w:t>pra</w:t>
            </w:r>
            <w:r w:rsidRPr="004F6DAA">
              <w:rPr>
                <w:b/>
                <w:noProof/>
                <w:sz w:val="16"/>
              </w:rPr>
              <w:t>cowników zatrudnionych na czas określony)</w:t>
            </w:r>
          </w:p>
        </w:tc>
      </w:tr>
      <w:tr w:rsidR="00726DAE" w:rsidRPr="004F6DAA" w14:paraId="6143EA9C" w14:textId="77777777" w:rsidTr="00992B23">
        <w:trPr>
          <w:gridBefore w:val="1"/>
          <w:gridAfter w:val="1"/>
          <w:wBefore w:w="15" w:type="dxa"/>
          <w:wAfter w:w="42" w:type="dxa"/>
          <w:trHeight w:val="289"/>
          <w:jc w:val="center"/>
        </w:trPr>
        <w:tc>
          <w:tcPr>
            <w:tcW w:w="4754" w:type="dxa"/>
            <w:gridSpan w:val="2"/>
            <w:shd w:val="clear" w:color="auto" w:fill="auto"/>
            <w:vAlign w:val="center"/>
          </w:tcPr>
          <w:p w14:paraId="0B3BD4C5" w14:textId="77777777" w:rsidR="00726DAE" w:rsidRPr="004F6DAA" w:rsidRDefault="00726DAE" w:rsidP="00726DAE">
            <w:pPr>
              <w:pStyle w:val="Text1"/>
              <w:spacing w:beforeLines="20" w:before="48" w:afterLines="20" w:after="48"/>
              <w:ind w:left="134"/>
              <w:jc w:val="left"/>
              <w:rPr>
                <w:b/>
                <w:noProof/>
                <w:sz w:val="16"/>
                <w:szCs w:val="16"/>
              </w:rPr>
            </w:pPr>
            <w:r w:rsidRPr="004F6DAA">
              <w:rPr>
                <w:noProof/>
              </w:rPr>
              <w:t>20 01 02 01 (w centrali</w:t>
            </w:r>
            <w:r w:rsidR="00062BFA" w:rsidRPr="004F6DAA">
              <w:rPr>
                <w:noProof/>
              </w:rPr>
              <w:t xml:space="preserve"> i</w:t>
            </w:r>
            <w:r w:rsidR="00062BFA">
              <w:rPr>
                <w:noProof/>
              </w:rPr>
              <w:t> </w:t>
            </w:r>
            <w:r w:rsidR="00062BFA" w:rsidRPr="004F6DAA">
              <w:rPr>
                <w:noProof/>
              </w:rPr>
              <w:t>w</w:t>
            </w:r>
            <w:r w:rsidR="00062BFA">
              <w:rPr>
                <w:noProof/>
              </w:rPr>
              <w:t> </w:t>
            </w:r>
            <w:r w:rsidR="00062BFA" w:rsidRPr="004F6DAA">
              <w:rPr>
                <w:noProof/>
              </w:rPr>
              <w:t>biu</w:t>
            </w:r>
            <w:r w:rsidRPr="004F6DAA">
              <w:rPr>
                <w:noProof/>
              </w:rPr>
              <w:t>rach przedstawicielstw Komisji)</w:t>
            </w:r>
          </w:p>
        </w:tc>
        <w:tc>
          <w:tcPr>
            <w:tcW w:w="731" w:type="dxa"/>
            <w:shd w:val="clear" w:color="auto" w:fill="auto"/>
            <w:vAlign w:val="center"/>
          </w:tcPr>
          <w:p w14:paraId="115E4AD5" w14:textId="77777777" w:rsidR="00726DAE" w:rsidRPr="004F6DAA" w:rsidRDefault="00726DAE" w:rsidP="00726DAE">
            <w:pPr>
              <w:spacing w:beforeLines="20" w:before="48" w:afterLines="20" w:after="48"/>
              <w:jc w:val="center"/>
              <w:rPr>
                <w:noProof/>
                <w:sz w:val="22"/>
              </w:rPr>
            </w:pPr>
            <w:r w:rsidRPr="004F6DAA">
              <w:rPr>
                <w:noProof/>
                <w:sz w:val="22"/>
              </w:rPr>
              <w:t>0,0</w:t>
            </w:r>
          </w:p>
        </w:tc>
        <w:tc>
          <w:tcPr>
            <w:tcW w:w="731" w:type="dxa"/>
            <w:shd w:val="clear" w:color="auto" w:fill="auto"/>
            <w:vAlign w:val="center"/>
          </w:tcPr>
          <w:p w14:paraId="696988DF" w14:textId="77777777" w:rsidR="00726DAE" w:rsidRPr="004F6DAA" w:rsidRDefault="00726DAE" w:rsidP="00726DAE">
            <w:pPr>
              <w:spacing w:beforeLines="20" w:before="48" w:afterLines="20" w:after="48"/>
              <w:jc w:val="center"/>
              <w:rPr>
                <w:noProof/>
                <w:sz w:val="22"/>
              </w:rPr>
            </w:pPr>
            <w:r w:rsidRPr="004F6DAA">
              <w:rPr>
                <w:noProof/>
                <w:sz w:val="22"/>
              </w:rPr>
              <w:t>8,0</w:t>
            </w:r>
          </w:p>
        </w:tc>
        <w:tc>
          <w:tcPr>
            <w:tcW w:w="731" w:type="dxa"/>
            <w:shd w:val="clear" w:color="auto" w:fill="auto"/>
            <w:vAlign w:val="center"/>
          </w:tcPr>
          <w:p w14:paraId="10B4B565" w14:textId="77777777" w:rsidR="00726DAE" w:rsidRPr="004F6DAA" w:rsidRDefault="00726DAE" w:rsidP="00726DAE">
            <w:pPr>
              <w:spacing w:beforeLines="20" w:before="48" w:afterLines="20" w:after="48"/>
              <w:jc w:val="center"/>
              <w:rPr>
                <w:noProof/>
                <w:sz w:val="22"/>
              </w:rPr>
            </w:pPr>
            <w:r w:rsidRPr="004F6DAA">
              <w:rPr>
                <w:noProof/>
                <w:sz w:val="22"/>
              </w:rPr>
              <w:t>8,0</w:t>
            </w:r>
          </w:p>
        </w:tc>
        <w:tc>
          <w:tcPr>
            <w:tcW w:w="731" w:type="dxa"/>
            <w:shd w:val="clear" w:color="auto" w:fill="auto"/>
            <w:vAlign w:val="center"/>
          </w:tcPr>
          <w:p w14:paraId="7F9FAA1F" w14:textId="77777777" w:rsidR="00726DAE" w:rsidRPr="004F6DAA" w:rsidRDefault="00726DAE" w:rsidP="00726DAE">
            <w:pPr>
              <w:spacing w:beforeLines="20" w:before="48" w:afterLines="20" w:after="48"/>
              <w:jc w:val="center"/>
              <w:rPr>
                <w:noProof/>
                <w:sz w:val="22"/>
              </w:rPr>
            </w:pPr>
            <w:r w:rsidRPr="004F6DAA">
              <w:rPr>
                <w:noProof/>
                <w:sz w:val="22"/>
              </w:rPr>
              <w:t>8,0</w:t>
            </w:r>
          </w:p>
        </w:tc>
        <w:tc>
          <w:tcPr>
            <w:tcW w:w="731" w:type="dxa"/>
            <w:shd w:val="clear" w:color="auto" w:fill="auto"/>
            <w:vAlign w:val="center"/>
          </w:tcPr>
          <w:p w14:paraId="2B4E5D93" w14:textId="77777777" w:rsidR="00726DAE" w:rsidRPr="004F6DAA" w:rsidRDefault="00726DAE" w:rsidP="00726DAE">
            <w:pPr>
              <w:spacing w:beforeLines="20" w:before="48" w:afterLines="20" w:after="48"/>
              <w:jc w:val="center"/>
              <w:rPr>
                <w:noProof/>
                <w:sz w:val="16"/>
                <w:szCs w:val="16"/>
              </w:rPr>
            </w:pPr>
            <w:r w:rsidRPr="004F6DAA">
              <w:rPr>
                <w:noProof/>
                <w:sz w:val="22"/>
              </w:rPr>
              <w:t>8,0</w:t>
            </w:r>
          </w:p>
        </w:tc>
        <w:tc>
          <w:tcPr>
            <w:tcW w:w="731" w:type="dxa"/>
            <w:gridSpan w:val="2"/>
            <w:shd w:val="clear" w:color="auto" w:fill="auto"/>
            <w:vAlign w:val="center"/>
          </w:tcPr>
          <w:p w14:paraId="7868A30C" w14:textId="77777777" w:rsidR="00726DAE" w:rsidRPr="004F6DAA" w:rsidRDefault="00726DAE" w:rsidP="00726DAE">
            <w:pPr>
              <w:spacing w:beforeLines="20" w:before="48" w:afterLines="20" w:after="48"/>
              <w:jc w:val="center"/>
              <w:rPr>
                <w:noProof/>
                <w:sz w:val="16"/>
                <w:szCs w:val="16"/>
              </w:rPr>
            </w:pPr>
            <w:r w:rsidRPr="004F6DAA">
              <w:rPr>
                <w:noProof/>
                <w:sz w:val="22"/>
              </w:rPr>
              <w:t>8,0</w:t>
            </w:r>
          </w:p>
        </w:tc>
      </w:tr>
      <w:tr w:rsidR="007F4C85" w:rsidRPr="004F6DAA" w14:paraId="15CBC8AE" w14:textId="77777777" w:rsidTr="00992B23">
        <w:trPr>
          <w:gridBefore w:val="1"/>
          <w:gridAfter w:val="1"/>
          <w:wBefore w:w="15" w:type="dxa"/>
          <w:wAfter w:w="42" w:type="dxa"/>
          <w:trHeight w:val="289"/>
          <w:jc w:val="center"/>
        </w:trPr>
        <w:tc>
          <w:tcPr>
            <w:tcW w:w="4754" w:type="dxa"/>
            <w:gridSpan w:val="2"/>
            <w:shd w:val="clear" w:color="auto" w:fill="auto"/>
            <w:vAlign w:val="center"/>
          </w:tcPr>
          <w:p w14:paraId="058C4834" w14:textId="77777777" w:rsidR="007F4C85" w:rsidRPr="004F6DAA" w:rsidRDefault="007F4C85" w:rsidP="00992B23">
            <w:pPr>
              <w:pStyle w:val="Text1"/>
              <w:spacing w:beforeLines="20" w:before="48" w:afterLines="20" w:after="48"/>
              <w:ind w:left="134"/>
              <w:jc w:val="left"/>
              <w:rPr>
                <w:noProof/>
                <w:sz w:val="16"/>
              </w:rPr>
            </w:pPr>
            <w:r w:rsidRPr="004F6DAA">
              <w:rPr>
                <w:noProof/>
                <w:sz w:val="16"/>
              </w:rPr>
              <w:t>20 01 02 03 (w delegaturach)</w:t>
            </w:r>
          </w:p>
        </w:tc>
        <w:tc>
          <w:tcPr>
            <w:tcW w:w="731" w:type="dxa"/>
            <w:shd w:val="clear" w:color="auto" w:fill="auto"/>
            <w:vAlign w:val="center"/>
          </w:tcPr>
          <w:p w14:paraId="71BAAB16"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21424DAD"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07AAA1DE"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38108815"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6D415D93" w14:textId="77777777" w:rsidR="007F4C85" w:rsidRPr="004F6DAA" w:rsidRDefault="007F4C85" w:rsidP="00992B23">
            <w:pPr>
              <w:spacing w:beforeLines="20" w:before="48" w:afterLines="20" w:after="48"/>
              <w:jc w:val="center"/>
              <w:rPr>
                <w:noProof/>
                <w:sz w:val="16"/>
                <w:szCs w:val="16"/>
              </w:rPr>
            </w:pPr>
          </w:p>
        </w:tc>
        <w:tc>
          <w:tcPr>
            <w:tcW w:w="731" w:type="dxa"/>
            <w:gridSpan w:val="2"/>
            <w:shd w:val="clear" w:color="auto" w:fill="auto"/>
            <w:vAlign w:val="center"/>
          </w:tcPr>
          <w:p w14:paraId="7FAFC955" w14:textId="77777777" w:rsidR="007F4C85" w:rsidRPr="004F6DAA" w:rsidRDefault="007F4C85" w:rsidP="00992B23">
            <w:pPr>
              <w:spacing w:beforeLines="20" w:before="48" w:afterLines="20" w:after="48"/>
              <w:jc w:val="center"/>
              <w:rPr>
                <w:noProof/>
                <w:sz w:val="16"/>
                <w:szCs w:val="16"/>
              </w:rPr>
            </w:pPr>
          </w:p>
        </w:tc>
      </w:tr>
      <w:tr w:rsidR="007F4C85" w:rsidRPr="004F6DAA" w14:paraId="3670C83A" w14:textId="77777777" w:rsidTr="00992B23">
        <w:trPr>
          <w:gridBefore w:val="1"/>
          <w:gridAfter w:val="1"/>
          <w:wBefore w:w="15" w:type="dxa"/>
          <w:wAfter w:w="42" w:type="dxa"/>
          <w:trHeight w:val="289"/>
          <w:jc w:val="center"/>
        </w:trPr>
        <w:tc>
          <w:tcPr>
            <w:tcW w:w="4754" w:type="dxa"/>
            <w:gridSpan w:val="2"/>
            <w:shd w:val="clear" w:color="auto" w:fill="auto"/>
            <w:vAlign w:val="center"/>
          </w:tcPr>
          <w:p w14:paraId="45DE65FF" w14:textId="77777777" w:rsidR="007F4C85" w:rsidRPr="004F6DAA" w:rsidRDefault="007F4C85" w:rsidP="00BA79F6">
            <w:pPr>
              <w:pStyle w:val="Text1"/>
              <w:spacing w:beforeLines="20" w:before="48" w:afterLines="20" w:after="48"/>
              <w:ind w:left="134"/>
              <w:jc w:val="left"/>
              <w:rPr>
                <w:noProof/>
                <w:sz w:val="16"/>
                <w:szCs w:val="16"/>
              </w:rPr>
            </w:pPr>
            <w:r w:rsidRPr="004F6DAA">
              <w:rPr>
                <w:noProof/>
              </w:rPr>
              <w:t>01 01 01 01 (pośrednie badania naukowe)</w:t>
            </w:r>
          </w:p>
        </w:tc>
        <w:tc>
          <w:tcPr>
            <w:tcW w:w="731" w:type="dxa"/>
            <w:shd w:val="clear" w:color="auto" w:fill="auto"/>
            <w:vAlign w:val="center"/>
          </w:tcPr>
          <w:p w14:paraId="7FFBB69C"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769969BE"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767A8D97"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5696C587"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7124A6A1" w14:textId="77777777" w:rsidR="007F4C85" w:rsidRPr="004F6DAA" w:rsidRDefault="007F4C85" w:rsidP="00992B23">
            <w:pPr>
              <w:spacing w:beforeLines="20" w:before="48" w:afterLines="20" w:after="48"/>
              <w:jc w:val="center"/>
              <w:rPr>
                <w:noProof/>
                <w:sz w:val="16"/>
                <w:szCs w:val="16"/>
              </w:rPr>
            </w:pPr>
          </w:p>
        </w:tc>
        <w:tc>
          <w:tcPr>
            <w:tcW w:w="731" w:type="dxa"/>
            <w:gridSpan w:val="2"/>
            <w:shd w:val="clear" w:color="auto" w:fill="auto"/>
            <w:vAlign w:val="center"/>
          </w:tcPr>
          <w:p w14:paraId="26195F7B" w14:textId="77777777" w:rsidR="007F4C85" w:rsidRPr="004F6DAA" w:rsidRDefault="007F4C85" w:rsidP="00992B23">
            <w:pPr>
              <w:spacing w:beforeLines="20" w:before="48" w:afterLines="20" w:after="48"/>
              <w:jc w:val="center"/>
              <w:rPr>
                <w:noProof/>
                <w:sz w:val="16"/>
                <w:szCs w:val="16"/>
              </w:rPr>
            </w:pPr>
          </w:p>
        </w:tc>
      </w:tr>
      <w:tr w:rsidR="007F4C85" w:rsidRPr="004F6DAA" w14:paraId="259EBBCD" w14:textId="77777777" w:rsidTr="00992B23">
        <w:trPr>
          <w:gridBefore w:val="1"/>
          <w:gridAfter w:val="1"/>
          <w:wBefore w:w="15" w:type="dxa"/>
          <w:wAfter w:w="42" w:type="dxa"/>
          <w:trHeight w:val="289"/>
          <w:jc w:val="center"/>
        </w:trPr>
        <w:tc>
          <w:tcPr>
            <w:tcW w:w="4754" w:type="dxa"/>
            <w:gridSpan w:val="2"/>
            <w:shd w:val="clear" w:color="auto" w:fill="auto"/>
            <w:vAlign w:val="center"/>
          </w:tcPr>
          <w:p w14:paraId="1FBE2B0B" w14:textId="77777777" w:rsidR="007F4C85" w:rsidRPr="004F6DAA" w:rsidRDefault="007F4C85" w:rsidP="00992B23">
            <w:pPr>
              <w:pStyle w:val="Text1"/>
              <w:spacing w:beforeLines="20" w:before="48" w:afterLines="20" w:after="48"/>
              <w:ind w:left="134"/>
              <w:jc w:val="left"/>
              <w:rPr>
                <w:noProof/>
                <w:sz w:val="16"/>
                <w:szCs w:val="16"/>
              </w:rPr>
            </w:pPr>
            <w:r w:rsidRPr="004F6DAA">
              <w:rPr>
                <w:noProof/>
                <w:sz w:val="16"/>
              </w:rPr>
              <w:t xml:space="preserve"> 01 01 01 11 (bezpośrednie badania naukowe)</w:t>
            </w:r>
          </w:p>
        </w:tc>
        <w:tc>
          <w:tcPr>
            <w:tcW w:w="731" w:type="dxa"/>
            <w:shd w:val="clear" w:color="auto" w:fill="auto"/>
            <w:vAlign w:val="center"/>
          </w:tcPr>
          <w:p w14:paraId="5D8613E5"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7BB61C4B"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14685CDD"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02BF4841"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7F43A167" w14:textId="77777777" w:rsidR="007F4C85" w:rsidRPr="004F6DAA" w:rsidRDefault="007F4C85" w:rsidP="00992B23">
            <w:pPr>
              <w:spacing w:beforeLines="20" w:before="48" w:afterLines="20" w:after="48"/>
              <w:jc w:val="center"/>
              <w:rPr>
                <w:noProof/>
                <w:sz w:val="16"/>
                <w:szCs w:val="16"/>
              </w:rPr>
            </w:pPr>
          </w:p>
        </w:tc>
        <w:tc>
          <w:tcPr>
            <w:tcW w:w="731" w:type="dxa"/>
            <w:gridSpan w:val="2"/>
            <w:shd w:val="clear" w:color="auto" w:fill="auto"/>
            <w:vAlign w:val="center"/>
          </w:tcPr>
          <w:p w14:paraId="6093EAAC" w14:textId="77777777" w:rsidR="007F4C85" w:rsidRPr="004F6DAA" w:rsidRDefault="007F4C85" w:rsidP="00992B23">
            <w:pPr>
              <w:spacing w:beforeLines="20" w:before="48" w:afterLines="20" w:after="48"/>
              <w:jc w:val="center"/>
              <w:rPr>
                <w:noProof/>
                <w:sz w:val="16"/>
                <w:szCs w:val="16"/>
              </w:rPr>
            </w:pPr>
          </w:p>
        </w:tc>
      </w:tr>
      <w:tr w:rsidR="007F4C85" w:rsidRPr="004F6DAA" w14:paraId="470115E3" w14:textId="77777777" w:rsidTr="00992B23">
        <w:trPr>
          <w:gridBefore w:val="1"/>
          <w:gridAfter w:val="1"/>
          <w:wBefore w:w="15" w:type="dxa"/>
          <w:wAfter w:w="42" w:type="dxa"/>
          <w:trHeight w:val="289"/>
          <w:jc w:val="center"/>
        </w:trPr>
        <w:tc>
          <w:tcPr>
            <w:tcW w:w="4754" w:type="dxa"/>
            <w:gridSpan w:val="2"/>
            <w:shd w:val="clear" w:color="auto" w:fill="auto"/>
            <w:vAlign w:val="center"/>
          </w:tcPr>
          <w:p w14:paraId="55976FDA" w14:textId="77777777" w:rsidR="007F4C85" w:rsidRPr="004F6DAA" w:rsidRDefault="007F4C85" w:rsidP="00992B23">
            <w:pPr>
              <w:pStyle w:val="Text1"/>
              <w:spacing w:beforeLines="20" w:before="48" w:afterLines="20" w:after="48"/>
              <w:ind w:left="134"/>
              <w:jc w:val="left"/>
              <w:rPr>
                <w:noProof/>
                <w:sz w:val="16"/>
              </w:rPr>
            </w:pPr>
            <w:r w:rsidRPr="004F6DAA">
              <w:rPr>
                <w:noProof/>
                <w:sz w:val="16"/>
              </w:rPr>
              <w:t>Inna linia budżetowa (określić)</w:t>
            </w:r>
          </w:p>
        </w:tc>
        <w:tc>
          <w:tcPr>
            <w:tcW w:w="731" w:type="dxa"/>
            <w:shd w:val="clear" w:color="auto" w:fill="auto"/>
            <w:vAlign w:val="center"/>
          </w:tcPr>
          <w:p w14:paraId="2DAAE9DE"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10DAC42A"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33A442EB"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3FA80C09"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2CE286DE" w14:textId="77777777" w:rsidR="007F4C85" w:rsidRPr="004F6DAA" w:rsidRDefault="007F4C85" w:rsidP="00992B23">
            <w:pPr>
              <w:spacing w:beforeLines="20" w:before="48" w:afterLines="20" w:after="48"/>
              <w:jc w:val="center"/>
              <w:rPr>
                <w:noProof/>
                <w:sz w:val="16"/>
                <w:szCs w:val="16"/>
              </w:rPr>
            </w:pPr>
          </w:p>
        </w:tc>
        <w:tc>
          <w:tcPr>
            <w:tcW w:w="731" w:type="dxa"/>
            <w:gridSpan w:val="2"/>
            <w:shd w:val="clear" w:color="auto" w:fill="auto"/>
            <w:vAlign w:val="center"/>
          </w:tcPr>
          <w:p w14:paraId="095CC513" w14:textId="77777777" w:rsidR="007F4C85" w:rsidRPr="004F6DAA" w:rsidRDefault="007F4C85" w:rsidP="00992B23">
            <w:pPr>
              <w:spacing w:beforeLines="20" w:before="48" w:afterLines="20" w:after="48"/>
              <w:jc w:val="center"/>
              <w:rPr>
                <w:noProof/>
                <w:sz w:val="16"/>
                <w:szCs w:val="16"/>
              </w:rPr>
            </w:pPr>
          </w:p>
        </w:tc>
      </w:tr>
      <w:tr w:rsidR="007F4C85" w:rsidRPr="004F6DAA" w14:paraId="114A4239" w14:textId="77777777" w:rsidTr="00992B23">
        <w:trPr>
          <w:trHeight w:val="248"/>
          <w:jc w:val="center"/>
        </w:trPr>
        <w:tc>
          <w:tcPr>
            <w:tcW w:w="9197" w:type="dxa"/>
            <w:gridSpan w:val="11"/>
            <w:shd w:val="clear" w:color="auto" w:fill="auto"/>
            <w:vAlign w:val="center"/>
          </w:tcPr>
          <w:p w14:paraId="0FB170D9" w14:textId="77777777" w:rsidR="007F4C85" w:rsidRPr="004F6DAA" w:rsidRDefault="007F4C85" w:rsidP="00992B23">
            <w:pPr>
              <w:pStyle w:val="Text1"/>
              <w:spacing w:before="60" w:after="60"/>
              <w:ind w:left="0"/>
              <w:jc w:val="left"/>
              <w:rPr>
                <w:b/>
                <w:noProof/>
                <w:sz w:val="16"/>
                <w:szCs w:val="16"/>
              </w:rPr>
            </w:pPr>
            <w:r w:rsidRPr="004F6DAA">
              <w:rPr>
                <w:b/>
                <w:noProof/>
                <w:sz w:val="16"/>
              </w:rPr>
              <w:sym w:font="Wingdings" w:char="F09F"/>
            </w:r>
            <w:r w:rsidRPr="004F6DAA">
              <w:rPr>
                <w:b/>
                <w:noProof/>
                <w:sz w:val="16"/>
              </w:rPr>
              <w:t xml:space="preserve"> Personel zewnętrzny (w ekwiwalentach pełnego czasu pracy: EPC)</w:t>
            </w:r>
            <w:r w:rsidRPr="004F6DAA">
              <w:rPr>
                <w:rStyle w:val="Odwoanieprzypisudolnego"/>
                <w:b/>
                <w:noProof/>
                <w:sz w:val="16"/>
              </w:rPr>
              <w:footnoteReference w:id="66"/>
            </w:r>
          </w:p>
          <w:p w14:paraId="2542DDF8" w14:textId="77777777" w:rsidR="007F4C85" w:rsidRPr="004F6DAA" w:rsidRDefault="007F4C85" w:rsidP="00992B23">
            <w:pPr>
              <w:pStyle w:val="Text1"/>
              <w:spacing w:before="0" w:after="0"/>
              <w:ind w:left="0"/>
              <w:jc w:val="left"/>
              <w:rPr>
                <w:noProof/>
                <w:sz w:val="16"/>
                <w:szCs w:val="16"/>
              </w:rPr>
            </w:pPr>
          </w:p>
        </w:tc>
      </w:tr>
      <w:tr w:rsidR="007F4C85" w:rsidRPr="004F6DAA" w14:paraId="012ABB69" w14:textId="77777777" w:rsidTr="00992B23">
        <w:trPr>
          <w:gridBefore w:val="1"/>
          <w:gridAfter w:val="1"/>
          <w:wBefore w:w="15" w:type="dxa"/>
          <w:wAfter w:w="42" w:type="dxa"/>
          <w:trHeight w:val="289"/>
          <w:jc w:val="center"/>
        </w:trPr>
        <w:tc>
          <w:tcPr>
            <w:tcW w:w="4754" w:type="dxa"/>
            <w:gridSpan w:val="2"/>
            <w:shd w:val="clear" w:color="auto" w:fill="auto"/>
            <w:vAlign w:val="center"/>
          </w:tcPr>
          <w:p w14:paraId="68DB30FD" w14:textId="77777777" w:rsidR="007F4C85" w:rsidRPr="004F6DAA" w:rsidRDefault="007F4C85" w:rsidP="00992B23">
            <w:pPr>
              <w:pStyle w:val="Text1"/>
              <w:spacing w:beforeLines="20" w:before="48" w:afterLines="20" w:after="48"/>
              <w:ind w:left="136"/>
              <w:jc w:val="left"/>
              <w:rPr>
                <w:b/>
                <w:noProof/>
                <w:sz w:val="16"/>
                <w:szCs w:val="16"/>
              </w:rPr>
            </w:pPr>
            <w:r w:rsidRPr="004F6DAA">
              <w:rPr>
                <w:noProof/>
              </w:rPr>
              <w:t>20 02 01 (CA, SNE, INT</w:t>
            </w:r>
            <w:r w:rsidR="00062BFA" w:rsidRPr="004F6DAA">
              <w:rPr>
                <w:noProof/>
              </w:rPr>
              <w:t xml:space="preserve"> z</w:t>
            </w:r>
            <w:r w:rsidR="00062BFA">
              <w:rPr>
                <w:noProof/>
              </w:rPr>
              <w:t> </w:t>
            </w:r>
            <w:r w:rsidR="00062BFA" w:rsidRPr="004F6DAA">
              <w:rPr>
                <w:noProof/>
              </w:rPr>
              <w:t>glo</w:t>
            </w:r>
            <w:r w:rsidRPr="004F6DAA">
              <w:rPr>
                <w:noProof/>
              </w:rPr>
              <w:t>balnej koperty finansowej)</w:t>
            </w:r>
          </w:p>
        </w:tc>
        <w:tc>
          <w:tcPr>
            <w:tcW w:w="731" w:type="dxa"/>
            <w:shd w:val="clear" w:color="auto" w:fill="auto"/>
            <w:vAlign w:val="center"/>
          </w:tcPr>
          <w:p w14:paraId="3BF34129"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7E17A745"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6C78F90D"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77F752A4"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662A6592" w14:textId="77777777" w:rsidR="007F4C85" w:rsidRPr="004F6DAA" w:rsidRDefault="007F4C85" w:rsidP="00992B23">
            <w:pPr>
              <w:spacing w:beforeLines="20" w:before="48" w:afterLines="20" w:after="48"/>
              <w:jc w:val="center"/>
              <w:rPr>
                <w:noProof/>
                <w:sz w:val="16"/>
                <w:szCs w:val="16"/>
              </w:rPr>
            </w:pPr>
          </w:p>
        </w:tc>
        <w:tc>
          <w:tcPr>
            <w:tcW w:w="731" w:type="dxa"/>
            <w:gridSpan w:val="2"/>
            <w:shd w:val="clear" w:color="auto" w:fill="auto"/>
            <w:vAlign w:val="center"/>
          </w:tcPr>
          <w:p w14:paraId="038785F5" w14:textId="77777777" w:rsidR="007F4C85" w:rsidRPr="004F6DAA" w:rsidRDefault="007F4C85" w:rsidP="00992B23">
            <w:pPr>
              <w:spacing w:beforeLines="20" w:before="48" w:afterLines="20" w:after="48"/>
              <w:jc w:val="center"/>
              <w:rPr>
                <w:noProof/>
                <w:sz w:val="16"/>
                <w:szCs w:val="16"/>
              </w:rPr>
            </w:pPr>
          </w:p>
        </w:tc>
      </w:tr>
      <w:tr w:rsidR="007F4C85" w:rsidRPr="004F6DAA" w14:paraId="542B5F73" w14:textId="77777777" w:rsidTr="00992B23">
        <w:trPr>
          <w:gridBefore w:val="1"/>
          <w:gridAfter w:val="1"/>
          <w:wBefore w:w="15" w:type="dxa"/>
          <w:wAfter w:w="42" w:type="dxa"/>
          <w:trHeight w:val="289"/>
          <w:jc w:val="center"/>
        </w:trPr>
        <w:tc>
          <w:tcPr>
            <w:tcW w:w="4754" w:type="dxa"/>
            <w:gridSpan w:val="2"/>
            <w:shd w:val="clear" w:color="auto" w:fill="auto"/>
            <w:vAlign w:val="center"/>
          </w:tcPr>
          <w:p w14:paraId="5F644F7C" w14:textId="77777777" w:rsidR="007F4C85" w:rsidRPr="004F6DAA" w:rsidRDefault="007F4C85" w:rsidP="00992B23">
            <w:pPr>
              <w:pStyle w:val="Text1"/>
              <w:spacing w:beforeLines="20" w:before="48" w:afterLines="20" w:after="48"/>
              <w:ind w:left="136"/>
              <w:jc w:val="left"/>
              <w:rPr>
                <w:noProof/>
                <w:sz w:val="16"/>
              </w:rPr>
            </w:pPr>
            <w:r w:rsidRPr="004F6DAA">
              <w:rPr>
                <w:noProof/>
                <w:sz w:val="16"/>
              </w:rPr>
              <w:t>20 02 03 (CA, LA, SNE, INT i JPD</w:t>
            </w:r>
            <w:r w:rsidR="00062BFA" w:rsidRPr="004F6DAA">
              <w:rPr>
                <w:noProof/>
                <w:sz w:val="16"/>
              </w:rPr>
              <w:t xml:space="preserve"> w</w:t>
            </w:r>
            <w:r w:rsidR="00062BFA">
              <w:rPr>
                <w:noProof/>
                <w:sz w:val="16"/>
              </w:rPr>
              <w:t> </w:t>
            </w:r>
            <w:r w:rsidR="00062BFA" w:rsidRPr="004F6DAA">
              <w:rPr>
                <w:noProof/>
                <w:sz w:val="16"/>
              </w:rPr>
              <w:t>del</w:t>
            </w:r>
            <w:r w:rsidRPr="004F6DAA">
              <w:rPr>
                <w:noProof/>
                <w:sz w:val="16"/>
              </w:rPr>
              <w:t>egaturach)</w:t>
            </w:r>
          </w:p>
        </w:tc>
        <w:tc>
          <w:tcPr>
            <w:tcW w:w="731" w:type="dxa"/>
            <w:shd w:val="clear" w:color="auto" w:fill="auto"/>
            <w:vAlign w:val="center"/>
          </w:tcPr>
          <w:p w14:paraId="264A258F"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058FB845"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759CCFF5"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1BE2E03E"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69C17646" w14:textId="77777777" w:rsidR="007F4C85" w:rsidRPr="004F6DAA" w:rsidRDefault="007F4C85" w:rsidP="00992B23">
            <w:pPr>
              <w:spacing w:beforeLines="20" w:before="48" w:afterLines="20" w:after="48"/>
              <w:jc w:val="center"/>
              <w:rPr>
                <w:noProof/>
                <w:sz w:val="16"/>
                <w:szCs w:val="16"/>
              </w:rPr>
            </w:pPr>
          </w:p>
        </w:tc>
        <w:tc>
          <w:tcPr>
            <w:tcW w:w="731" w:type="dxa"/>
            <w:gridSpan w:val="2"/>
            <w:shd w:val="clear" w:color="auto" w:fill="auto"/>
            <w:vAlign w:val="center"/>
          </w:tcPr>
          <w:p w14:paraId="3DE34DC5" w14:textId="77777777" w:rsidR="007F4C85" w:rsidRPr="004F6DAA" w:rsidRDefault="007F4C85" w:rsidP="00992B23">
            <w:pPr>
              <w:spacing w:beforeLines="20" w:before="48" w:afterLines="20" w:after="48"/>
              <w:jc w:val="center"/>
              <w:rPr>
                <w:noProof/>
                <w:sz w:val="16"/>
                <w:szCs w:val="16"/>
              </w:rPr>
            </w:pPr>
          </w:p>
        </w:tc>
      </w:tr>
      <w:tr w:rsidR="007F4C85" w:rsidRPr="004F6DAA" w14:paraId="2D732E48" w14:textId="77777777" w:rsidTr="00992B23">
        <w:trPr>
          <w:gridBefore w:val="1"/>
          <w:gridAfter w:val="1"/>
          <w:wBefore w:w="15" w:type="dxa"/>
          <w:wAfter w:w="42" w:type="dxa"/>
          <w:trHeight w:val="289"/>
          <w:jc w:val="center"/>
        </w:trPr>
        <w:tc>
          <w:tcPr>
            <w:tcW w:w="2376" w:type="dxa"/>
            <w:vMerge w:val="restart"/>
            <w:shd w:val="clear" w:color="auto" w:fill="auto"/>
            <w:vAlign w:val="center"/>
          </w:tcPr>
          <w:p w14:paraId="1EF9934C" w14:textId="77777777" w:rsidR="007F4C85" w:rsidRPr="004F6DAA" w:rsidRDefault="007F4C85" w:rsidP="00992B23">
            <w:pPr>
              <w:pStyle w:val="Text1"/>
              <w:spacing w:beforeLines="20" w:before="48" w:afterLines="20" w:after="48"/>
              <w:ind w:left="136"/>
              <w:jc w:val="left"/>
              <w:rPr>
                <w:b/>
                <w:noProof/>
                <w:sz w:val="16"/>
                <w:szCs w:val="16"/>
              </w:rPr>
            </w:pPr>
            <w:r w:rsidRPr="004F6DAA">
              <w:rPr>
                <w:noProof/>
                <w:sz w:val="16"/>
              </w:rPr>
              <w:t xml:space="preserve">XX 01 xx </w:t>
            </w:r>
            <w:r w:rsidRPr="004F6DAA">
              <w:rPr>
                <w:b/>
                <w:noProof/>
                <w:sz w:val="16"/>
              </w:rPr>
              <w:t>yy zz</w:t>
            </w:r>
            <w:r w:rsidRPr="004F6DAA">
              <w:rPr>
                <w:rStyle w:val="Odwoanieprzypisudolnego"/>
                <w:b/>
                <w:noProof/>
                <w:sz w:val="16"/>
              </w:rPr>
              <w:footnoteReference w:id="67"/>
            </w:r>
          </w:p>
          <w:p w14:paraId="6794A040" w14:textId="77777777" w:rsidR="007F4C85" w:rsidRPr="004F6DAA" w:rsidRDefault="007F4C85" w:rsidP="00992B23">
            <w:pPr>
              <w:pStyle w:val="Text1"/>
              <w:spacing w:beforeLines="20" w:before="48" w:afterLines="20" w:after="48"/>
              <w:ind w:left="136"/>
              <w:jc w:val="left"/>
              <w:rPr>
                <w:b/>
                <w:noProof/>
                <w:sz w:val="16"/>
                <w:szCs w:val="16"/>
              </w:rPr>
            </w:pPr>
          </w:p>
        </w:tc>
        <w:tc>
          <w:tcPr>
            <w:tcW w:w="2378" w:type="dxa"/>
            <w:shd w:val="clear" w:color="auto" w:fill="auto"/>
            <w:vAlign w:val="center"/>
          </w:tcPr>
          <w:p w14:paraId="4BD4A8B1" w14:textId="77777777" w:rsidR="007F4C85" w:rsidRPr="004F6DAA" w:rsidRDefault="007F4C85" w:rsidP="00992B23">
            <w:pPr>
              <w:pStyle w:val="Text1"/>
              <w:spacing w:beforeLines="20" w:before="48" w:afterLines="20" w:after="48"/>
              <w:ind w:left="136"/>
              <w:jc w:val="left"/>
              <w:rPr>
                <w:b/>
                <w:noProof/>
                <w:sz w:val="16"/>
                <w:szCs w:val="16"/>
              </w:rPr>
            </w:pPr>
            <w:r w:rsidRPr="004F6DAA">
              <w:rPr>
                <w:noProof/>
                <w:sz w:val="16"/>
              </w:rPr>
              <w:t>-</w:t>
            </w:r>
            <w:r w:rsidR="00062BFA" w:rsidRPr="004F6DAA">
              <w:rPr>
                <w:noProof/>
                <w:sz w:val="16"/>
              </w:rPr>
              <w:t xml:space="preserve"> w</w:t>
            </w:r>
            <w:r w:rsidR="00062BFA">
              <w:rPr>
                <w:noProof/>
                <w:sz w:val="16"/>
              </w:rPr>
              <w:t> </w:t>
            </w:r>
            <w:r w:rsidR="00062BFA" w:rsidRPr="004F6DAA">
              <w:rPr>
                <w:noProof/>
                <w:sz w:val="16"/>
              </w:rPr>
              <w:t>cen</w:t>
            </w:r>
            <w:r w:rsidRPr="004F6DAA">
              <w:rPr>
                <w:noProof/>
                <w:sz w:val="16"/>
              </w:rPr>
              <w:t>trali</w:t>
            </w:r>
          </w:p>
          <w:p w14:paraId="3858684A" w14:textId="77777777" w:rsidR="007F4C85" w:rsidRPr="004F6DAA" w:rsidRDefault="007F4C85" w:rsidP="00992B23">
            <w:pPr>
              <w:pStyle w:val="Text1"/>
              <w:spacing w:beforeLines="20" w:before="48" w:afterLines="20" w:after="48"/>
              <w:ind w:left="136"/>
              <w:jc w:val="left"/>
              <w:rPr>
                <w:b/>
                <w:noProof/>
                <w:sz w:val="16"/>
                <w:szCs w:val="16"/>
              </w:rPr>
            </w:pPr>
          </w:p>
        </w:tc>
        <w:tc>
          <w:tcPr>
            <w:tcW w:w="731" w:type="dxa"/>
            <w:shd w:val="clear" w:color="auto" w:fill="auto"/>
            <w:vAlign w:val="center"/>
          </w:tcPr>
          <w:p w14:paraId="32A5BE7E" w14:textId="77777777" w:rsidR="007F4C85" w:rsidRPr="004F6DAA" w:rsidRDefault="007F4C85" w:rsidP="00992B23">
            <w:pPr>
              <w:pStyle w:val="Text1"/>
              <w:spacing w:beforeLines="20" w:before="48" w:afterLines="20" w:after="48"/>
              <w:ind w:left="0"/>
              <w:rPr>
                <w:noProof/>
                <w:sz w:val="16"/>
                <w:szCs w:val="16"/>
              </w:rPr>
            </w:pPr>
          </w:p>
        </w:tc>
        <w:tc>
          <w:tcPr>
            <w:tcW w:w="731" w:type="dxa"/>
            <w:shd w:val="clear" w:color="auto" w:fill="auto"/>
            <w:vAlign w:val="center"/>
          </w:tcPr>
          <w:p w14:paraId="1B89B8EC"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0D8804B6"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36297ED4"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70F35425" w14:textId="77777777" w:rsidR="007F4C85" w:rsidRPr="004F6DAA" w:rsidRDefault="007F4C85" w:rsidP="00992B23">
            <w:pPr>
              <w:spacing w:beforeLines="20" w:before="48" w:afterLines="20" w:after="48"/>
              <w:jc w:val="center"/>
              <w:rPr>
                <w:noProof/>
                <w:sz w:val="16"/>
                <w:szCs w:val="16"/>
              </w:rPr>
            </w:pPr>
          </w:p>
        </w:tc>
        <w:tc>
          <w:tcPr>
            <w:tcW w:w="731" w:type="dxa"/>
            <w:gridSpan w:val="2"/>
            <w:shd w:val="clear" w:color="auto" w:fill="auto"/>
            <w:vAlign w:val="center"/>
          </w:tcPr>
          <w:p w14:paraId="41EFF412" w14:textId="77777777" w:rsidR="007F4C85" w:rsidRPr="004F6DAA" w:rsidRDefault="007F4C85" w:rsidP="00992B23">
            <w:pPr>
              <w:spacing w:beforeLines="20" w:before="48" w:afterLines="20" w:after="48"/>
              <w:jc w:val="center"/>
              <w:rPr>
                <w:noProof/>
                <w:sz w:val="16"/>
                <w:szCs w:val="16"/>
              </w:rPr>
            </w:pPr>
          </w:p>
        </w:tc>
      </w:tr>
      <w:tr w:rsidR="007F4C85" w:rsidRPr="004F6DAA" w14:paraId="4DF72EBA" w14:textId="77777777" w:rsidTr="00992B23">
        <w:trPr>
          <w:gridBefore w:val="1"/>
          <w:gridAfter w:val="1"/>
          <w:wBefore w:w="15" w:type="dxa"/>
          <w:wAfter w:w="42" w:type="dxa"/>
          <w:trHeight w:val="289"/>
          <w:jc w:val="center"/>
        </w:trPr>
        <w:tc>
          <w:tcPr>
            <w:tcW w:w="2376" w:type="dxa"/>
            <w:vMerge/>
            <w:shd w:val="clear" w:color="auto" w:fill="auto"/>
            <w:vAlign w:val="center"/>
          </w:tcPr>
          <w:p w14:paraId="36C34E88" w14:textId="77777777" w:rsidR="007F4C85" w:rsidRPr="004F6DAA" w:rsidRDefault="007F4C85" w:rsidP="00992B23">
            <w:pPr>
              <w:pStyle w:val="Text1"/>
              <w:spacing w:beforeLines="20" w:before="48" w:afterLines="20" w:after="48"/>
              <w:ind w:left="136"/>
              <w:jc w:val="left"/>
              <w:rPr>
                <w:b/>
                <w:noProof/>
                <w:sz w:val="16"/>
                <w:szCs w:val="16"/>
              </w:rPr>
            </w:pPr>
          </w:p>
        </w:tc>
        <w:tc>
          <w:tcPr>
            <w:tcW w:w="2378" w:type="dxa"/>
            <w:shd w:val="clear" w:color="auto" w:fill="auto"/>
            <w:vAlign w:val="center"/>
          </w:tcPr>
          <w:p w14:paraId="7DA89118" w14:textId="77777777" w:rsidR="007F4C85" w:rsidRPr="004F6DAA" w:rsidRDefault="007F4C85" w:rsidP="00992B23">
            <w:pPr>
              <w:pStyle w:val="Text1"/>
              <w:spacing w:beforeLines="20" w:before="48" w:afterLines="20" w:after="48"/>
              <w:ind w:left="136"/>
              <w:jc w:val="left"/>
              <w:rPr>
                <w:b/>
                <w:noProof/>
                <w:sz w:val="16"/>
                <w:szCs w:val="16"/>
              </w:rPr>
            </w:pPr>
            <w:r w:rsidRPr="004F6DAA">
              <w:rPr>
                <w:noProof/>
                <w:sz w:val="16"/>
              </w:rPr>
              <w:t>-</w:t>
            </w:r>
            <w:r w:rsidR="00062BFA" w:rsidRPr="004F6DAA">
              <w:rPr>
                <w:noProof/>
                <w:sz w:val="16"/>
              </w:rPr>
              <w:t xml:space="preserve"> w</w:t>
            </w:r>
            <w:r w:rsidR="00062BFA">
              <w:rPr>
                <w:noProof/>
                <w:sz w:val="16"/>
              </w:rPr>
              <w:t> </w:t>
            </w:r>
            <w:r w:rsidR="00062BFA" w:rsidRPr="004F6DAA">
              <w:rPr>
                <w:noProof/>
                <w:sz w:val="16"/>
              </w:rPr>
              <w:t>del</w:t>
            </w:r>
            <w:r w:rsidRPr="004F6DAA">
              <w:rPr>
                <w:noProof/>
                <w:sz w:val="16"/>
              </w:rPr>
              <w:t xml:space="preserve">egaturach </w:t>
            </w:r>
          </w:p>
        </w:tc>
        <w:tc>
          <w:tcPr>
            <w:tcW w:w="731" w:type="dxa"/>
            <w:shd w:val="clear" w:color="auto" w:fill="auto"/>
            <w:vAlign w:val="center"/>
          </w:tcPr>
          <w:p w14:paraId="46D32FD1" w14:textId="77777777" w:rsidR="007F4C85" w:rsidRPr="004F6DAA" w:rsidRDefault="007F4C85" w:rsidP="00992B23">
            <w:pPr>
              <w:pStyle w:val="Text1"/>
              <w:spacing w:beforeLines="20" w:before="48" w:afterLines="20" w:after="48"/>
              <w:ind w:left="0"/>
              <w:rPr>
                <w:noProof/>
                <w:sz w:val="16"/>
                <w:szCs w:val="16"/>
              </w:rPr>
            </w:pPr>
          </w:p>
        </w:tc>
        <w:tc>
          <w:tcPr>
            <w:tcW w:w="731" w:type="dxa"/>
            <w:shd w:val="clear" w:color="auto" w:fill="auto"/>
            <w:vAlign w:val="center"/>
          </w:tcPr>
          <w:p w14:paraId="2EDE468F"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2045A96D"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2B818D65"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241A2A85" w14:textId="77777777" w:rsidR="007F4C85" w:rsidRPr="004F6DAA" w:rsidRDefault="007F4C85" w:rsidP="00992B23">
            <w:pPr>
              <w:spacing w:beforeLines="20" w:before="48" w:afterLines="20" w:after="48"/>
              <w:jc w:val="center"/>
              <w:rPr>
                <w:noProof/>
                <w:sz w:val="16"/>
                <w:szCs w:val="16"/>
              </w:rPr>
            </w:pPr>
          </w:p>
        </w:tc>
        <w:tc>
          <w:tcPr>
            <w:tcW w:w="731" w:type="dxa"/>
            <w:gridSpan w:val="2"/>
            <w:shd w:val="clear" w:color="auto" w:fill="auto"/>
            <w:vAlign w:val="center"/>
          </w:tcPr>
          <w:p w14:paraId="1ADDE717" w14:textId="77777777" w:rsidR="007F4C85" w:rsidRPr="004F6DAA" w:rsidRDefault="007F4C85" w:rsidP="00992B23">
            <w:pPr>
              <w:spacing w:beforeLines="20" w:before="48" w:afterLines="20" w:after="48"/>
              <w:jc w:val="center"/>
              <w:rPr>
                <w:noProof/>
                <w:sz w:val="16"/>
                <w:szCs w:val="16"/>
              </w:rPr>
            </w:pPr>
          </w:p>
        </w:tc>
      </w:tr>
      <w:tr w:rsidR="007F4C85" w:rsidRPr="004F6DAA" w14:paraId="0C2F07EE" w14:textId="77777777" w:rsidTr="00992B23">
        <w:trPr>
          <w:gridBefore w:val="1"/>
          <w:gridAfter w:val="1"/>
          <w:wBefore w:w="15" w:type="dxa"/>
          <w:wAfter w:w="42" w:type="dxa"/>
          <w:trHeight w:val="289"/>
          <w:jc w:val="center"/>
        </w:trPr>
        <w:tc>
          <w:tcPr>
            <w:tcW w:w="4754" w:type="dxa"/>
            <w:gridSpan w:val="2"/>
            <w:shd w:val="clear" w:color="auto" w:fill="auto"/>
            <w:vAlign w:val="center"/>
          </w:tcPr>
          <w:p w14:paraId="1EC87974" w14:textId="77777777" w:rsidR="007F4C85" w:rsidRPr="004F6DAA" w:rsidRDefault="007F4C85" w:rsidP="00992B23">
            <w:pPr>
              <w:pStyle w:val="Text1"/>
              <w:spacing w:beforeLines="20" w:before="48" w:afterLines="20" w:after="48"/>
              <w:ind w:left="136"/>
              <w:jc w:val="left"/>
              <w:rPr>
                <w:noProof/>
                <w:sz w:val="16"/>
                <w:szCs w:val="16"/>
              </w:rPr>
            </w:pPr>
            <w:r w:rsidRPr="004F6DAA">
              <w:rPr>
                <w:noProof/>
              </w:rPr>
              <w:t>01 01 01 02 (CA, SNE, INT – pośrednie badania naukowe)</w:t>
            </w:r>
          </w:p>
        </w:tc>
        <w:tc>
          <w:tcPr>
            <w:tcW w:w="731" w:type="dxa"/>
            <w:shd w:val="clear" w:color="auto" w:fill="auto"/>
            <w:vAlign w:val="center"/>
          </w:tcPr>
          <w:p w14:paraId="0BE80F7D"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60A6F8AA"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009E6BD3"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589B3DDD"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56A13AAD" w14:textId="77777777" w:rsidR="007F4C85" w:rsidRPr="004F6DAA" w:rsidRDefault="007F4C85" w:rsidP="00992B23">
            <w:pPr>
              <w:spacing w:beforeLines="20" w:before="48" w:afterLines="20" w:after="48"/>
              <w:jc w:val="center"/>
              <w:rPr>
                <w:noProof/>
                <w:sz w:val="16"/>
                <w:szCs w:val="16"/>
              </w:rPr>
            </w:pPr>
          </w:p>
        </w:tc>
        <w:tc>
          <w:tcPr>
            <w:tcW w:w="731" w:type="dxa"/>
            <w:gridSpan w:val="2"/>
            <w:shd w:val="clear" w:color="auto" w:fill="auto"/>
            <w:vAlign w:val="center"/>
          </w:tcPr>
          <w:p w14:paraId="0254D9AA" w14:textId="77777777" w:rsidR="007F4C85" w:rsidRPr="004F6DAA" w:rsidRDefault="007F4C85" w:rsidP="00992B23">
            <w:pPr>
              <w:spacing w:beforeLines="20" w:before="48" w:afterLines="20" w:after="48"/>
              <w:jc w:val="center"/>
              <w:rPr>
                <w:noProof/>
                <w:sz w:val="16"/>
                <w:szCs w:val="16"/>
              </w:rPr>
            </w:pPr>
          </w:p>
        </w:tc>
      </w:tr>
      <w:tr w:rsidR="007F4C85" w:rsidRPr="004F6DAA" w14:paraId="26243D79" w14:textId="77777777" w:rsidTr="00992B23">
        <w:trPr>
          <w:gridBefore w:val="1"/>
          <w:gridAfter w:val="1"/>
          <w:wBefore w:w="15" w:type="dxa"/>
          <w:wAfter w:w="42" w:type="dxa"/>
          <w:trHeight w:val="289"/>
          <w:jc w:val="center"/>
        </w:trPr>
        <w:tc>
          <w:tcPr>
            <w:tcW w:w="4754" w:type="dxa"/>
            <w:gridSpan w:val="2"/>
            <w:shd w:val="clear" w:color="auto" w:fill="auto"/>
            <w:vAlign w:val="center"/>
          </w:tcPr>
          <w:p w14:paraId="034FFFA5" w14:textId="77777777" w:rsidR="007F4C85" w:rsidRPr="004F6DAA" w:rsidRDefault="007F4C85" w:rsidP="00992B23">
            <w:pPr>
              <w:pStyle w:val="Text1"/>
              <w:spacing w:beforeLines="20" w:before="48" w:afterLines="20" w:after="48"/>
              <w:ind w:left="136"/>
              <w:jc w:val="left"/>
              <w:rPr>
                <w:noProof/>
                <w:color w:val="FF0000"/>
                <w:sz w:val="16"/>
                <w:szCs w:val="16"/>
              </w:rPr>
            </w:pPr>
            <w:r w:rsidRPr="004F6DAA">
              <w:rPr>
                <w:noProof/>
                <w:sz w:val="16"/>
              </w:rPr>
              <w:t xml:space="preserve"> 01 01 01 12 (CA, INT, SNE – bezpośrednie badania naukowe)</w:t>
            </w:r>
          </w:p>
        </w:tc>
        <w:tc>
          <w:tcPr>
            <w:tcW w:w="731" w:type="dxa"/>
            <w:shd w:val="clear" w:color="auto" w:fill="auto"/>
            <w:vAlign w:val="center"/>
          </w:tcPr>
          <w:p w14:paraId="2F0F20AB"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7265127F"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2A837BF0"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11366BF3"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6FD800DF" w14:textId="77777777" w:rsidR="007F4C85" w:rsidRPr="004F6DAA" w:rsidRDefault="007F4C85" w:rsidP="00992B23">
            <w:pPr>
              <w:spacing w:beforeLines="20" w:before="48" w:afterLines="20" w:after="48"/>
              <w:jc w:val="center"/>
              <w:rPr>
                <w:noProof/>
                <w:sz w:val="16"/>
                <w:szCs w:val="16"/>
              </w:rPr>
            </w:pPr>
          </w:p>
        </w:tc>
        <w:tc>
          <w:tcPr>
            <w:tcW w:w="731" w:type="dxa"/>
            <w:gridSpan w:val="2"/>
            <w:shd w:val="clear" w:color="auto" w:fill="auto"/>
            <w:vAlign w:val="center"/>
          </w:tcPr>
          <w:p w14:paraId="4CA662AC" w14:textId="77777777" w:rsidR="007F4C85" w:rsidRPr="004F6DAA" w:rsidRDefault="007F4C85" w:rsidP="00992B23">
            <w:pPr>
              <w:spacing w:beforeLines="20" w:before="48" w:afterLines="20" w:after="48"/>
              <w:jc w:val="center"/>
              <w:rPr>
                <w:noProof/>
                <w:sz w:val="16"/>
                <w:szCs w:val="16"/>
              </w:rPr>
            </w:pPr>
          </w:p>
        </w:tc>
      </w:tr>
      <w:tr w:rsidR="007F4C85" w:rsidRPr="004F6DAA" w14:paraId="4F222E48" w14:textId="77777777" w:rsidTr="00992B23">
        <w:trPr>
          <w:gridBefore w:val="1"/>
          <w:gridAfter w:val="1"/>
          <w:wBefore w:w="15" w:type="dxa"/>
          <w:wAfter w:w="42" w:type="dxa"/>
          <w:trHeight w:val="289"/>
          <w:jc w:val="center"/>
        </w:trPr>
        <w:tc>
          <w:tcPr>
            <w:tcW w:w="4754" w:type="dxa"/>
            <w:gridSpan w:val="2"/>
            <w:shd w:val="clear" w:color="auto" w:fill="auto"/>
            <w:vAlign w:val="center"/>
          </w:tcPr>
          <w:p w14:paraId="57570E64" w14:textId="77777777" w:rsidR="007F4C85" w:rsidRPr="004F6DAA" w:rsidRDefault="007F4C85" w:rsidP="00992B23">
            <w:pPr>
              <w:pStyle w:val="Text1"/>
              <w:spacing w:beforeLines="20" w:before="48" w:afterLines="20" w:after="48"/>
              <w:ind w:left="136"/>
              <w:jc w:val="left"/>
              <w:rPr>
                <w:noProof/>
                <w:sz w:val="16"/>
              </w:rPr>
            </w:pPr>
            <w:r w:rsidRPr="004F6DAA">
              <w:rPr>
                <w:noProof/>
                <w:sz w:val="16"/>
              </w:rPr>
              <w:t>Inna linia budżetowa (określić)</w:t>
            </w:r>
          </w:p>
        </w:tc>
        <w:tc>
          <w:tcPr>
            <w:tcW w:w="731" w:type="dxa"/>
            <w:shd w:val="clear" w:color="auto" w:fill="auto"/>
            <w:vAlign w:val="center"/>
          </w:tcPr>
          <w:p w14:paraId="41CFFE73"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63615FBC"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29A2A6F6"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5FEBE1EA" w14:textId="77777777" w:rsidR="007F4C85" w:rsidRPr="004F6DAA" w:rsidRDefault="007F4C85" w:rsidP="00992B23">
            <w:pPr>
              <w:spacing w:beforeLines="20" w:before="48" w:afterLines="20" w:after="48"/>
              <w:jc w:val="center"/>
              <w:rPr>
                <w:noProof/>
                <w:sz w:val="16"/>
                <w:szCs w:val="16"/>
              </w:rPr>
            </w:pPr>
          </w:p>
        </w:tc>
        <w:tc>
          <w:tcPr>
            <w:tcW w:w="731" w:type="dxa"/>
            <w:shd w:val="clear" w:color="auto" w:fill="auto"/>
            <w:vAlign w:val="center"/>
          </w:tcPr>
          <w:p w14:paraId="7746B0D6" w14:textId="77777777" w:rsidR="007F4C85" w:rsidRPr="004F6DAA" w:rsidRDefault="007F4C85" w:rsidP="00992B23">
            <w:pPr>
              <w:spacing w:beforeLines="20" w:before="48" w:afterLines="20" w:after="48"/>
              <w:jc w:val="center"/>
              <w:rPr>
                <w:noProof/>
                <w:sz w:val="16"/>
                <w:szCs w:val="16"/>
              </w:rPr>
            </w:pPr>
          </w:p>
        </w:tc>
        <w:tc>
          <w:tcPr>
            <w:tcW w:w="731" w:type="dxa"/>
            <w:gridSpan w:val="2"/>
            <w:shd w:val="clear" w:color="auto" w:fill="auto"/>
            <w:vAlign w:val="center"/>
          </w:tcPr>
          <w:p w14:paraId="6DFAF1FB" w14:textId="77777777" w:rsidR="007F4C85" w:rsidRPr="004F6DAA" w:rsidRDefault="007F4C85" w:rsidP="00992B23">
            <w:pPr>
              <w:spacing w:beforeLines="20" w:before="48" w:afterLines="20" w:after="48"/>
              <w:jc w:val="center"/>
              <w:rPr>
                <w:noProof/>
                <w:sz w:val="16"/>
                <w:szCs w:val="16"/>
              </w:rPr>
            </w:pPr>
          </w:p>
        </w:tc>
      </w:tr>
      <w:tr w:rsidR="00726DAE" w:rsidRPr="004F6DAA" w14:paraId="0E70D4EA" w14:textId="77777777" w:rsidTr="00992B23">
        <w:trPr>
          <w:gridBefore w:val="1"/>
          <w:gridAfter w:val="1"/>
          <w:wBefore w:w="15" w:type="dxa"/>
          <w:wAfter w:w="42" w:type="dxa"/>
          <w:trHeight w:val="289"/>
          <w:jc w:val="center"/>
        </w:trPr>
        <w:tc>
          <w:tcPr>
            <w:tcW w:w="4754" w:type="dxa"/>
            <w:gridSpan w:val="2"/>
            <w:tcBorders>
              <w:top w:val="double" w:sz="4" w:space="0" w:color="auto"/>
            </w:tcBorders>
            <w:shd w:val="clear" w:color="auto" w:fill="auto"/>
            <w:vAlign w:val="center"/>
          </w:tcPr>
          <w:p w14:paraId="6D5662FC" w14:textId="77777777" w:rsidR="00726DAE" w:rsidRPr="004F6DAA" w:rsidRDefault="00726DAE" w:rsidP="00726DAE">
            <w:pPr>
              <w:pStyle w:val="Text1"/>
              <w:spacing w:beforeLines="20" w:before="48" w:afterLines="20" w:after="48"/>
              <w:ind w:left="136"/>
              <w:jc w:val="left"/>
              <w:rPr>
                <w:noProof/>
                <w:sz w:val="16"/>
                <w:szCs w:val="16"/>
              </w:rPr>
            </w:pPr>
            <w:r w:rsidRPr="004F6DAA">
              <w:rPr>
                <w:b/>
                <w:noProof/>
                <w:sz w:val="16"/>
              </w:rPr>
              <w:t>OGÓŁEM</w:t>
            </w:r>
          </w:p>
        </w:tc>
        <w:tc>
          <w:tcPr>
            <w:tcW w:w="731" w:type="dxa"/>
            <w:tcBorders>
              <w:top w:val="double" w:sz="4" w:space="0" w:color="auto"/>
            </w:tcBorders>
            <w:shd w:val="clear" w:color="auto" w:fill="auto"/>
            <w:vAlign w:val="center"/>
          </w:tcPr>
          <w:p w14:paraId="26204DCB" w14:textId="77777777" w:rsidR="00726DAE" w:rsidRPr="004F6DAA" w:rsidRDefault="00726DAE" w:rsidP="00726DAE">
            <w:pPr>
              <w:spacing w:beforeLines="20" w:before="48" w:afterLines="20" w:after="48"/>
              <w:jc w:val="center"/>
              <w:rPr>
                <w:noProof/>
                <w:sz w:val="22"/>
              </w:rPr>
            </w:pPr>
            <w:r w:rsidRPr="004F6DAA">
              <w:rPr>
                <w:noProof/>
                <w:sz w:val="22"/>
              </w:rPr>
              <w:t>0,0</w:t>
            </w:r>
          </w:p>
        </w:tc>
        <w:tc>
          <w:tcPr>
            <w:tcW w:w="731" w:type="dxa"/>
            <w:tcBorders>
              <w:top w:val="double" w:sz="4" w:space="0" w:color="auto"/>
            </w:tcBorders>
            <w:shd w:val="clear" w:color="auto" w:fill="auto"/>
            <w:vAlign w:val="center"/>
          </w:tcPr>
          <w:p w14:paraId="40551C1E" w14:textId="77777777" w:rsidR="00726DAE" w:rsidRPr="004F6DAA" w:rsidRDefault="00726DAE" w:rsidP="00726DAE">
            <w:pPr>
              <w:spacing w:beforeLines="20" w:before="48" w:afterLines="20" w:after="48"/>
              <w:jc w:val="center"/>
              <w:rPr>
                <w:noProof/>
                <w:sz w:val="22"/>
              </w:rPr>
            </w:pPr>
            <w:r w:rsidRPr="004F6DAA">
              <w:rPr>
                <w:noProof/>
                <w:sz w:val="22"/>
              </w:rPr>
              <w:t>8,0</w:t>
            </w:r>
          </w:p>
        </w:tc>
        <w:tc>
          <w:tcPr>
            <w:tcW w:w="731" w:type="dxa"/>
            <w:tcBorders>
              <w:top w:val="double" w:sz="4" w:space="0" w:color="auto"/>
            </w:tcBorders>
            <w:shd w:val="clear" w:color="auto" w:fill="auto"/>
            <w:vAlign w:val="center"/>
          </w:tcPr>
          <w:p w14:paraId="1C248DA8" w14:textId="77777777" w:rsidR="00726DAE" w:rsidRPr="004F6DAA" w:rsidRDefault="00726DAE" w:rsidP="00726DAE">
            <w:pPr>
              <w:spacing w:beforeLines="20" w:before="48" w:afterLines="20" w:after="48"/>
              <w:jc w:val="center"/>
              <w:rPr>
                <w:noProof/>
                <w:sz w:val="22"/>
              </w:rPr>
            </w:pPr>
            <w:r w:rsidRPr="004F6DAA">
              <w:rPr>
                <w:noProof/>
                <w:sz w:val="22"/>
              </w:rPr>
              <w:t>8,0</w:t>
            </w:r>
          </w:p>
        </w:tc>
        <w:tc>
          <w:tcPr>
            <w:tcW w:w="731" w:type="dxa"/>
            <w:tcBorders>
              <w:top w:val="double" w:sz="4" w:space="0" w:color="auto"/>
            </w:tcBorders>
            <w:shd w:val="clear" w:color="auto" w:fill="auto"/>
            <w:vAlign w:val="center"/>
          </w:tcPr>
          <w:p w14:paraId="415B28F1" w14:textId="77777777" w:rsidR="00726DAE" w:rsidRPr="004F6DAA" w:rsidRDefault="00726DAE" w:rsidP="00726DAE">
            <w:pPr>
              <w:spacing w:beforeLines="20" w:before="48" w:afterLines="20" w:after="48"/>
              <w:jc w:val="center"/>
              <w:rPr>
                <w:noProof/>
                <w:sz w:val="22"/>
              </w:rPr>
            </w:pPr>
            <w:r w:rsidRPr="004F6DAA">
              <w:rPr>
                <w:noProof/>
                <w:sz w:val="22"/>
              </w:rPr>
              <w:t>8,0</w:t>
            </w:r>
          </w:p>
        </w:tc>
        <w:tc>
          <w:tcPr>
            <w:tcW w:w="731" w:type="dxa"/>
            <w:tcBorders>
              <w:top w:val="double" w:sz="4" w:space="0" w:color="auto"/>
            </w:tcBorders>
            <w:shd w:val="clear" w:color="auto" w:fill="auto"/>
            <w:vAlign w:val="center"/>
          </w:tcPr>
          <w:p w14:paraId="613E8741" w14:textId="77777777" w:rsidR="00726DAE" w:rsidRPr="004F6DAA" w:rsidRDefault="00726DAE" w:rsidP="00726DAE">
            <w:pPr>
              <w:spacing w:beforeLines="20" w:before="48" w:afterLines="20" w:after="48"/>
              <w:jc w:val="center"/>
              <w:rPr>
                <w:b/>
                <w:noProof/>
                <w:sz w:val="16"/>
                <w:szCs w:val="16"/>
              </w:rPr>
            </w:pPr>
            <w:r w:rsidRPr="004F6DAA">
              <w:rPr>
                <w:noProof/>
                <w:sz w:val="22"/>
              </w:rPr>
              <w:t>8,0</w:t>
            </w:r>
          </w:p>
        </w:tc>
        <w:tc>
          <w:tcPr>
            <w:tcW w:w="731" w:type="dxa"/>
            <w:gridSpan w:val="2"/>
            <w:tcBorders>
              <w:top w:val="double" w:sz="4" w:space="0" w:color="auto"/>
            </w:tcBorders>
            <w:shd w:val="clear" w:color="auto" w:fill="auto"/>
            <w:vAlign w:val="center"/>
          </w:tcPr>
          <w:p w14:paraId="36D7C36C" w14:textId="77777777" w:rsidR="00726DAE" w:rsidRPr="004F6DAA" w:rsidRDefault="00726DAE" w:rsidP="00726DAE">
            <w:pPr>
              <w:spacing w:beforeLines="20" w:before="48" w:afterLines="20" w:after="48"/>
              <w:jc w:val="center"/>
              <w:rPr>
                <w:b/>
                <w:noProof/>
                <w:sz w:val="16"/>
                <w:szCs w:val="16"/>
              </w:rPr>
            </w:pPr>
            <w:r w:rsidRPr="004F6DAA">
              <w:rPr>
                <w:noProof/>
                <w:sz w:val="22"/>
              </w:rPr>
              <w:t>8,0</w:t>
            </w:r>
          </w:p>
        </w:tc>
      </w:tr>
    </w:tbl>
    <w:p w14:paraId="19A4BDD9" w14:textId="77777777" w:rsidR="007F4C85" w:rsidRPr="004F6DAA" w:rsidRDefault="007F4C85" w:rsidP="007F4C85">
      <w:pPr>
        <w:pStyle w:val="Text1"/>
        <w:spacing w:before="60" w:after="60"/>
        <w:ind w:left="851"/>
        <w:rPr>
          <w:noProof/>
          <w:sz w:val="18"/>
          <w:szCs w:val="18"/>
        </w:rPr>
      </w:pPr>
      <w:r w:rsidRPr="004F6DAA">
        <w:rPr>
          <w:b/>
          <w:bCs/>
          <w:noProof/>
          <w:sz w:val="18"/>
          <w:szCs w:val="18"/>
        </w:rPr>
        <w:t>XX</w:t>
      </w:r>
      <w:r w:rsidRPr="004F6DAA">
        <w:rPr>
          <w:noProof/>
          <w:sz w:val="18"/>
          <w:szCs w:val="18"/>
        </w:rPr>
        <w:t xml:space="preserve"> oznacza odpowiedni obszar polityki lub odpowiedni tytuł</w:t>
      </w:r>
      <w:r w:rsidR="00062BFA" w:rsidRPr="004F6DAA">
        <w:rPr>
          <w:noProof/>
          <w:sz w:val="18"/>
          <w:szCs w:val="18"/>
        </w:rPr>
        <w:t xml:space="preserve"> w</w:t>
      </w:r>
      <w:r w:rsidR="00062BFA">
        <w:rPr>
          <w:noProof/>
          <w:sz w:val="18"/>
          <w:szCs w:val="18"/>
        </w:rPr>
        <w:t> </w:t>
      </w:r>
      <w:r w:rsidR="00062BFA" w:rsidRPr="004F6DAA">
        <w:rPr>
          <w:noProof/>
          <w:sz w:val="18"/>
          <w:szCs w:val="18"/>
        </w:rPr>
        <w:t>bud</w:t>
      </w:r>
      <w:r w:rsidRPr="004F6DAA">
        <w:rPr>
          <w:noProof/>
          <w:sz w:val="18"/>
          <w:szCs w:val="18"/>
        </w:rPr>
        <w:t>żecie.</w:t>
      </w:r>
    </w:p>
    <w:p w14:paraId="6013E115" w14:textId="77777777" w:rsidR="007F4C85" w:rsidRPr="004F6DAA" w:rsidRDefault="007F4C85" w:rsidP="007F4C85">
      <w:pPr>
        <w:pStyle w:val="Text1"/>
        <w:rPr>
          <w:noProof/>
          <w:sz w:val="18"/>
          <w:szCs w:val="18"/>
        </w:rPr>
      </w:pPr>
      <w:r w:rsidRPr="004F6DAA">
        <w:rPr>
          <w:noProof/>
          <w:sz w:val="18"/>
        </w:rPr>
        <w:t>Potrzeby</w:t>
      </w:r>
      <w:r w:rsidR="00062BFA" w:rsidRPr="004F6DAA">
        <w:rPr>
          <w:noProof/>
          <w:sz w:val="18"/>
        </w:rPr>
        <w:t xml:space="preserve"> w</w:t>
      </w:r>
      <w:r w:rsidR="00062BFA">
        <w:rPr>
          <w:noProof/>
          <w:sz w:val="18"/>
        </w:rPr>
        <w:t> </w:t>
      </w:r>
      <w:r w:rsidR="00062BFA" w:rsidRPr="004F6DAA">
        <w:rPr>
          <w:noProof/>
          <w:sz w:val="18"/>
        </w:rPr>
        <w:t>zak</w:t>
      </w:r>
      <w:r w:rsidRPr="004F6DAA">
        <w:rPr>
          <w:noProof/>
          <w:sz w:val="18"/>
        </w:rPr>
        <w:t>resie zasobów ludzkich zostaną pokryte</w:t>
      </w:r>
      <w:r w:rsidR="00062BFA" w:rsidRPr="004F6DAA">
        <w:rPr>
          <w:noProof/>
          <w:sz w:val="18"/>
        </w:rPr>
        <w:t xml:space="preserve"> z</w:t>
      </w:r>
      <w:r w:rsidR="00062BFA">
        <w:rPr>
          <w:noProof/>
          <w:sz w:val="18"/>
        </w:rPr>
        <w:t> </w:t>
      </w:r>
      <w:r w:rsidR="00062BFA" w:rsidRPr="004F6DAA">
        <w:rPr>
          <w:noProof/>
          <w:sz w:val="18"/>
        </w:rPr>
        <w:t>zas</w:t>
      </w:r>
      <w:r w:rsidRPr="004F6DAA">
        <w:rPr>
          <w:noProof/>
          <w:sz w:val="18"/>
        </w:rPr>
        <w:t>obów dyrekcji generalnych, już przydzielonych na zarządzanie tym działaniem lub przesuniętych</w:t>
      </w:r>
      <w:r w:rsidR="00062BFA" w:rsidRPr="004F6DAA">
        <w:rPr>
          <w:noProof/>
          <w:sz w:val="18"/>
        </w:rPr>
        <w:t xml:space="preserve"> w</w:t>
      </w:r>
      <w:r w:rsidR="00062BFA">
        <w:rPr>
          <w:noProof/>
          <w:sz w:val="18"/>
        </w:rPr>
        <w:t> </w:t>
      </w:r>
      <w:r w:rsidR="00062BFA" w:rsidRPr="004F6DAA">
        <w:rPr>
          <w:noProof/>
          <w:sz w:val="18"/>
        </w:rPr>
        <w:t>ram</w:t>
      </w:r>
      <w:r w:rsidRPr="004F6DAA">
        <w:rPr>
          <w:noProof/>
          <w:sz w:val="18"/>
        </w:rPr>
        <w:t>ach dyrekcji generalnych, uzupełnionych</w:t>
      </w:r>
      <w:r w:rsidR="00062BFA" w:rsidRPr="004F6DAA">
        <w:rPr>
          <w:noProof/>
          <w:sz w:val="18"/>
        </w:rPr>
        <w:t xml:space="preserve"> w</w:t>
      </w:r>
      <w:r w:rsidR="00062BFA">
        <w:rPr>
          <w:noProof/>
          <w:sz w:val="18"/>
        </w:rPr>
        <w:t> </w:t>
      </w:r>
      <w:r w:rsidR="00062BFA" w:rsidRPr="004F6DAA">
        <w:rPr>
          <w:noProof/>
          <w:sz w:val="18"/>
        </w:rPr>
        <w:t>raz</w:t>
      </w:r>
      <w:r w:rsidRPr="004F6DAA">
        <w:rPr>
          <w:noProof/>
          <w:sz w:val="18"/>
        </w:rPr>
        <w:t>ie potrzeby wszelkimi dodatkowymi zasobami, które mogą zostać przydzielone zarządzającej dyrekcji generalnej</w:t>
      </w:r>
      <w:r w:rsidR="00062BFA" w:rsidRPr="004F6DAA">
        <w:rPr>
          <w:noProof/>
          <w:sz w:val="18"/>
        </w:rPr>
        <w:t xml:space="preserve"> w</w:t>
      </w:r>
      <w:r w:rsidR="00062BFA">
        <w:rPr>
          <w:noProof/>
          <w:sz w:val="18"/>
        </w:rPr>
        <w:t> </w:t>
      </w:r>
      <w:r w:rsidR="00062BFA" w:rsidRPr="004F6DAA">
        <w:rPr>
          <w:noProof/>
          <w:sz w:val="18"/>
        </w:rPr>
        <w:t>ram</w:t>
      </w:r>
      <w:r w:rsidRPr="004F6DAA">
        <w:rPr>
          <w:noProof/>
          <w:sz w:val="18"/>
        </w:rPr>
        <w:t>ach procedury rocznego przydziału środków oraz</w:t>
      </w:r>
      <w:r w:rsidR="00062BFA" w:rsidRPr="004F6DAA">
        <w:rPr>
          <w:noProof/>
          <w:sz w:val="18"/>
        </w:rPr>
        <w:t xml:space="preserve"> w</w:t>
      </w:r>
      <w:r w:rsidR="00062BFA">
        <w:rPr>
          <w:noProof/>
          <w:sz w:val="18"/>
        </w:rPr>
        <w:t> </w:t>
      </w:r>
      <w:r w:rsidR="00062BFA" w:rsidRPr="004F6DAA">
        <w:rPr>
          <w:noProof/>
          <w:sz w:val="18"/>
        </w:rPr>
        <w:t>świ</w:t>
      </w:r>
      <w:r w:rsidRPr="004F6DAA">
        <w:rPr>
          <w:noProof/>
          <w:sz w:val="18"/>
        </w:rPr>
        <w:t>etle istniejących ograniczeń budżetowych.</w:t>
      </w:r>
    </w:p>
    <w:p w14:paraId="75AEC5C2" w14:textId="77777777" w:rsidR="00B5265E" w:rsidRPr="004F6DAA" w:rsidRDefault="007F4C85" w:rsidP="007F4C85">
      <w:pPr>
        <w:rPr>
          <w:noProof/>
          <w:sz w:val="20"/>
        </w:rPr>
      </w:pPr>
      <w:r w:rsidRPr="004F6DAA">
        <w:rPr>
          <w:noProof/>
          <w:sz w:val="20"/>
        </w:rPr>
        <w:t>Opis zadań do wykonania: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F4C85" w:rsidRPr="004F6DAA" w14:paraId="4C3998E7" w14:textId="77777777" w:rsidTr="00992B23">
        <w:tc>
          <w:tcPr>
            <w:tcW w:w="3240" w:type="dxa"/>
          </w:tcPr>
          <w:p w14:paraId="4CE5893B" w14:textId="77777777" w:rsidR="007F4C85" w:rsidRPr="004F6DAA" w:rsidRDefault="007F4C85" w:rsidP="00992B23">
            <w:pPr>
              <w:rPr>
                <w:noProof/>
                <w:sz w:val="20"/>
              </w:rPr>
            </w:pPr>
            <w:r w:rsidRPr="004F6DAA">
              <w:rPr>
                <w:noProof/>
                <w:sz w:val="20"/>
              </w:rPr>
              <w:t>Urzędnicy</w:t>
            </w:r>
            <w:r w:rsidR="00062BFA" w:rsidRPr="004F6DAA">
              <w:rPr>
                <w:noProof/>
                <w:sz w:val="20"/>
              </w:rPr>
              <w:t xml:space="preserve"> i</w:t>
            </w:r>
            <w:r w:rsidR="00062BFA">
              <w:rPr>
                <w:noProof/>
                <w:sz w:val="20"/>
              </w:rPr>
              <w:t> </w:t>
            </w:r>
            <w:r w:rsidR="00062BFA" w:rsidRPr="004F6DAA">
              <w:rPr>
                <w:noProof/>
                <w:sz w:val="20"/>
              </w:rPr>
              <w:t>pra</w:t>
            </w:r>
            <w:r w:rsidRPr="004F6DAA">
              <w:rPr>
                <w:noProof/>
                <w:sz w:val="20"/>
              </w:rPr>
              <w:t>cownicy zatrudnieni na czas określony</w:t>
            </w:r>
          </w:p>
        </w:tc>
        <w:tc>
          <w:tcPr>
            <w:tcW w:w="7200" w:type="dxa"/>
          </w:tcPr>
          <w:p w14:paraId="1CCE69B0" w14:textId="77777777" w:rsidR="007F4C85" w:rsidRPr="004F6DAA" w:rsidRDefault="007F4C85" w:rsidP="00992B23">
            <w:pPr>
              <w:rPr>
                <w:noProof/>
                <w:sz w:val="22"/>
              </w:rPr>
            </w:pPr>
            <w:r w:rsidRPr="004F6DAA">
              <w:rPr>
                <w:noProof/>
              </w:rPr>
              <w:t>W przypadku DG ENV</w:t>
            </w:r>
            <w:r w:rsidRPr="004F6DAA">
              <w:rPr>
                <w:noProof/>
                <w:sz w:val="22"/>
              </w:rPr>
              <w:t xml:space="preserve"> niezbędnych jest 5 stanowisk AD na potrzeby ogólnego wykonania rozporządzenia,</w:t>
            </w:r>
            <w:r w:rsidR="00062BFA" w:rsidRPr="004F6DAA">
              <w:rPr>
                <w:noProof/>
                <w:sz w:val="22"/>
              </w:rPr>
              <w:t xml:space="preserve"> w</w:t>
            </w:r>
            <w:r w:rsidR="00062BFA">
              <w:rPr>
                <w:noProof/>
                <w:sz w:val="22"/>
              </w:rPr>
              <w:t> </w:t>
            </w:r>
            <w:r w:rsidR="00062BFA" w:rsidRPr="004F6DAA">
              <w:rPr>
                <w:noProof/>
                <w:sz w:val="22"/>
              </w:rPr>
              <w:t>tym</w:t>
            </w:r>
            <w:r w:rsidRPr="004F6DAA">
              <w:rPr>
                <w:noProof/>
                <w:sz w:val="22"/>
              </w:rPr>
              <w:t xml:space="preserve"> współpracy międzynarodowej,</w:t>
            </w:r>
            <w:r w:rsidR="00062BFA" w:rsidRPr="004F6DAA">
              <w:rPr>
                <w:noProof/>
                <w:sz w:val="22"/>
              </w:rPr>
              <w:t xml:space="preserve"> a</w:t>
            </w:r>
            <w:r w:rsidR="00062BFA">
              <w:rPr>
                <w:noProof/>
                <w:sz w:val="22"/>
              </w:rPr>
              <w:t> </w:t>
            </w:r>
            <w:r w:rsidR="00062BFA" w:rsidRPr="004F6DAA">
              <w:rPr>
                <w:noProof/>
                <w:sz w:val="22"/>
              </w:rPr>
              <w:t>tak</w:t>
            </w:r>
            <w:r w:rsidRPr="004F6DAA">
              <w:rPr>
                <w:noProof/>
                <w:sz w:val="22"/>
              </w:rPr>
              <w:t>że prac przygotowawczych</w:t>
            </w:r>
            <w:r w:rsidR="00062BFA" w:rsidRPr="004F6DAA">
              <w:rPr>
                <w:noProof/>
                <w:sz w:val="22"/>
              </w:rPr>
              <w:t xml:space="preserve"> i</w:t>
            </w:r>
            <w:r w:rsidR="00062BFA">
              <w:rPr>
                <w:noProof/>
                <w:sz w:val="22"/>
              </w:rPr>
              <w:t> </w:t>
            </w:r>
            <w:r w:rsidR="00062BFA" w:rsidRPr="004F6DAA">
              <w:rPr>
                <w:noProof/>
                <w:sz w:val="22"/>
              </w:rPr>
              <w:t>zwi</w:t>
            </w:r>
            <w:r w:rsidRPr="004F6DAA">
              <w:rPr>
                <w:noProof/>
                <w:sz w:val="22"/>
              </w:rPr>
              <w:t>ązanych</w:t>
            </w:r>
            <w:r w:rsidR="00062BFA" w:rsidRPr="004F6DAA">
              <w:rPr>
                <w:noProof/>
                <w:sz w:val="22"/>
              </w:rPr>
              <w:t xml:space="preserve"> z</w:t>
            </w:r>
            <w:r w:rsidR="00062BFA">
              <w:rPr>
                <w:noProof/>
                <w:sz w:val="22"/>
              </w:rPr>
              <w:t> </w:t>
            </w:r>
            <w:r w:rsidR="00062BFA" w:rsidRPr="004F6DAA">
              <w:rPr>
                <w:noProof/>
                <w:sz w:val="22"/>
              </w:rPr>
              <w:t>prz</w:t>
            </w:r>
            <w:r w:rsidRPr="004F6DAA">
              <w:rPr>
                <w:noProof/>
                <w:sz w:val="22"/>
              </w:rPr>
              <w:t>ygotowaniem wniosku dotyczącego prawa wtórnego zgodnie</w:t>
            </w:r>
            <w:r w:rsidR="00062BFA" w:rsidRPr="004F6DAA">
              <w:rPr>
                <w:noProof/>
                <w:sz w:val="22"/>
              </w:rPr>
              <w:t xml:space="preserve"> z</w:t>
            </w:r>
            <w:r w:rsidR="00062BFA">
              <w:rPr>
                <w:noProof/>
                <w:sz w:val="22"/>
              </w:rPr>
              <w:t> </w:t>
            </w:r>
            <w:r w:rsidR="00062BFA" w:rsidRPr="004F6DAA">
              <w:rPr>
                <w:noProof/>
                <w:sz w:val="22"/>
              </w:rPr>
              <w:t>ter</w:t>
            </w:r>
            <w:r w:rsidRPr="004F6DAA">
              <w:rPr>
                <w:noProof/>
                <w:sz w:val="22"/>
              </w:rPr>
              <w:t>minami zaproponowanymi</w:t>
            </w:r>
            <w:r w:rsidR="00062BFA" w:rsidRPr="004F6DAA">
              <w:rPr>
                <w:noProof/>
                <w:sz w:val="22"/>
              </w:rPr>
              <w:t xml:space="preserve"> w</w:t>
            </w:r>
            <w:r w:rsidR="00062BFA">
              <w:rPr>
                <w:noProof/>
                <w:sz w:val="22"/>
              </w:rPr>
              <w:t> </w:t>
            </w:r>
            <w:r w:rsidR="00062BFA" w:rsidRPr="004F6DAA">
              <w:rPr>
                <w:noProof/>
                <w:sz w:val="22"/>
              </w:rPr>
              <w:t>roz</w:t>
            </w:r>
            <w:r w:rsidRPr="004F6DAA">
              <w:rPr>
                <w:noProof/>
                <w:sz w:val="22"/>
              </w:rPr>
              <w:t>porządzeniu.</w:t>
            </w:r>
          </w:p>
          <w:p w14:paraId="35B942D4" w14:textId="77777777" w:rsidR="007F4C85" w:rsidRPr="004F6DAA" w:rsidRDefault="007F4C85" w:rsidP="00992B23">
            <w:pPr>
              <w:rPr>
                <w:noProof/>
                <w:sz w:val="22"/>
              </w:rPr>
            </w:pPr>
            <w:r w:rsidRPr="004F6DAA">
              <w:rPr>
                <w:noProof/>
                <w:sz w:val="22"/>
              </w:rPr>
              <w:t xml:space="preserve">W przypadku DG INTPA niezbędne </w:t>
            </w:r>
            <w:r w:rsidRPr="00062BFA">
              <w:rPr>
                <w:noProof/>
                <w:sz w:val="22"/>
              </w:rPr>
              <w:t>są</w:t>
            </w:r>
            <w:r w:rsidR="00062BFA" w:rsidRPr="00062BFA">
              <w:rPr>
                <w:noProof/>
                <w:sz w:val="22"/>
              </w:rPr>
              <w:t> </w:t>
            </w:r>
            <w:r w:rsidRPr="00062BFA">
              <w:rPr>
                <w:noProof/>
                <w:sz w:val="22"/>
              </w:rPr>
              <w:t>2</w:t>
            </w:r>
            <w:r w:rsidRPr="004F6DAA">
              <w:rPr>
                <w:noProof/>
                <w:sz w:val="22"/>
              </w:rPr>
              <w:t xml:space="preserve"> stanowiska AD, aby zająć się współpracą</w:t>
            </w:r>
            <w:r w:rsidR="00062BFA" w:rsidRPr="004F6DAA">
              <w:rPr>
                <w:noProof/>
                <w:sz w:val="22"/>
              </w:rPr>
              <w:t xml:space="preserve"> i</w:t>
            </w:r>
            <w:r w:rsidR="00062BFA">
              <w:rPr>
                <w:noProof/>
                <w:sz w:val="22"/>
              </w:rPr>
              <w:t> </w:t>
            </w:r>
            <w:r w:rsidR="00062BFA" w:rsidRPr="004F6DAA">
              <w:rPr>
                <w:noProof/>
                <w:sz w:val="22"/>
              </w:rPr>
              <w:t>roz</w:t>
            </w:r>
            <w:r w:rsidRPr="004F6DAA">
              <w:rPr>
                <w:noProof/>
                <w:sz w:val="22"/>
              </w:rPr>
              <w:t>wojem</w:t>
            </w:r>
            <w:r w:rsidR="00062BFA" w:rsidRPr="004F6DAA">
              <w:rPr>
                <w:noProof/>
                <w:sz w:val="22"/>
              </w:rPr>
              <w:t xml:space="preserve"> w</w:t>
            </w:r>
            <w:r w:rsidR="00062BFA">
              <w:rPr>
                <w:noProof/>
                <w:sz w:val="22"/>
              </w:rPr>
              <w:t> </w:t>
            </w:r>
            <w:r w:rsidR="00062BFA" w:rsidRPr="004F6DAA">
              <w:rPr>
                <w:noProof/>
                <w:sz w:val="22"/>
              </w:rPr>
              <w:t>zwi</w:t>
            </w:r>
            <w:r w:rsidRPr="004F6DAA">
              <w:rPr>
                <w:noProof/>
                <w:sz w:val="22"/>
              </w:rPr>
              <w:t>ązku</w:t>
            </w:r>
            <w:r w:rsidR="00062BFA" w:rsidRPr="004F6DAA">
              <w:rPr>
                <w:noProof/>
                <w:sz w:val="22"/>
              </w:rPr>
              <w:t xml:space="preserve"> z</w:t>
            </w:r>
            <w:r w:rsidR="00062BFA">
              <w:rPr>
                <w:noProof/>
                <w:sz w:val="22"/>
              </w:rPr>
              <w:t> </w:t>
            </w:r>
            <w:r w:rsidR="00062BFA" w:rsidRPr="004F6DAA">
              <w:rPr>
                <w:noProof/>
                <w:sz w:val="22"/>
              </w:rPr>
              <w:t>roz</w:t>
            </w:r>
            <w:r w:rsidRPr="004F6DAA">
              <w:rPr>
                <w:noProof/>
                <w:sz w:val="22"/>
              </w:rPr>
              <w:t>porządzeniem,</w:t>
            </w:r>
            <w:r w:rsidR="00062BFA" w:rsidRPr="004F6DAA">
              <w:rPr>
                <w:noProof/>
                <w:sz w:val="22"/>
              </w:rPr>
              <w:t xml:space="preserve"> w</w:t>
            </w:r>
            <w:r w:rsidR="00062BFA">
              <w:rPr>
                <w:noProof/>
                <w:sz w:val="22"/>
              </w:rPr>
              <w:t> </w:t>
            </w:r>
            <w:r w:rsidR="00062BFA" w:rsidRPr="004F6DAA">
              <w:rPr>
                <w:noProof/>
                <w:sz w:val="22"/>
              </w:rPr>
              <w:t>szc</w:t>
            </w:r>
            <w:r w:rsidRPr="004F6DAA">
              <w:rPr>
                <w:noProof/>
                <w:sz w:val="22"/>
              </w:rPr>
              <w:t>zególności tworzeniem partnerstw na rzecz lasów.</w:t>
            </w:r>
          </w:p>
          <w:p w14:paraId="1F459A35" w14:textId="77777777" w:rsidR="007F4C85" w:rsidRPr="004F6DAA" w:rsidRDefault="00866310" w:rsidP="00866310">
            <w:pPr>
              <w:rPr>
                <w:noProof/>
                <w:sz w:val="20"/>
              </w:rPr>
            </w:pPr>
            <w:r w:rsidRPr="004F6DAA">
              <w:rPr>
                <w:noProof/>
                <w:sz w:val="22"/>
              </w:rPr>
              <w:t>W przypadku DG TAXUD niezbędne jest jedno stanowisko AD na potrzeby ogólnego wdrażania rozporządzenia, prac przygotowawczych</w:t>
            </w:r>
            <w:r w:rsidR="00062BFA" w:rsidRPr="004F6DAA">
              <w:rPr>
                <w:noProof/>
                <w:sz w:val="22"/>
              </w:rPr>
              <w:t xml:space="preserve"> i</w:t>
            </w:r>
            <w:r w:rsidR="00062BFA">
              <w:rPr>
                <w:noProof/>
                <w:sz w:val="22"/>
              </w:rPr>
              <w:t> </w:t>
            </w:r>
            <w:r w:rsidR="00062BFA" w:rsidRPr="004F6DAA">
              <w:rPr>
                <w:noProof/>
                <w:sz w:val="22"/>
              </w:rPr>
              <w:t>zwi</w:t>
            </w:r>
            <w:r w:rsidRPr="004F6DAA">
              <w:rPr>
                <w:noProof/>
                <w:sz w:val="22"/>
              </w:rPr>
              <w:t>ązanych</w:t>
            </w:r>
            <w:r w:rsidR="00062BFA" w:rsidRPr="004F6DAA">
              <w:rPr>
                <w:noProof/>
                <w:sz w:val="22"/>
              </w:rPr>
              <w:t xml:space="preserve"> z</w:t>
            </w:r>
            <w:r w:rsidR="00062BFA">
              <w:rPr>
                <w:noProof/>
                <w:sz w:val="22"/>
              </w:rPr>
              <w:t> </w:t>
            </w:r>
            <w:r w:rsidR="00062BFA" w:rsidRPr="004F6DAA">
              <w:rPr>
                <w:noProof/>
                <w:sz w:val="22"/>
              </w:rPr>
              <w:t>prz</w:t>
            </w:r>
            <w:r w:rsidRPr="004F6DAA">
              <w:rPr>
                <w:noProof/>
                <w:sz w:val="22"/>
              </w:rPr>
              <w:t>ygotowaniem wniosku dotyczącego prawa wtórnego dotyczącego odnośnych towarów</w:t>
            </w:r>
            <w:r w:rsidR="00062BFA" w:rsidRPr="004F6DAA">
              <w:rPr>
                <w:noProof/>
                <w:sz w:val="22"/>
              </w:rPr>
              <w:t xml:space="preserve"> i</w:t>
            </w:r>
            <w:r w:rsidR="00062BFA">
              <w:rPr>
                <w:noProof/>
                <w:sz w:val="22"/>
              </w:rPr>
              <w:t> </w:t>
            </w:r>
            <w:r w:rsidR="00062BFA" w:rsidRPr="004F6DAA">
              <w:rPr>
                <w:noProof/>
                <w:sz w:val="22"/>
              </w:rPr>
              <w:t>pro</w:t>
            </w:r>
            <w:r w:rsidRPr="004F6DAA">
              <w:rPr>
                <w:noProof/>
                <w:sz w:val="22"/>
              </w:rPr>
              <w:t xml:space="preserve">duktów wprowadzanych na rynek unijny lub opuszczających ten rynek, jak również na potrzeby wdrażania interfejsu na podstawie </w:t>
            </w:r>
            <w:r w:rsidRPr="00062BFA">
              <w:rPr>
                <w:noProof/>
                <w:sz w:val="22"/>
              </w:rPr>
              <w:t>art.</w:t>
            </w:r>
            <w:r w:rsidR="00062BFA" w:rsidRPr="00062BFA">
              <w:rPr>
                <w:noProof/>
                <w:sz w:val="22"/>
              </w:rPr>
              <w:t> </w:t>
            </w:r>
            <w:r w:rsidRPr="00062BFA">
              <w:rPr>
                <w:noProof/>
                <w:sz w:val="22"/>
              </w:rPr>
              <w:t>2</w:t>
            </w:r>
            <w:r w:rsidRPr="004F6DAA">
              <w:rPr>
                <w:noProof/>
                <w:sz w:val="22"/>
              </w:rPr>
              <w:t>6.</w:t>
            </w:r>
          </w:p>
        </w:tc>
      </w:tr>
      <w:tr w:rsidR="007F4C85" w:rsidRPr="004F6DAA" w14:paraId="30D55B22" w14:textId="77777777" w:rsidTr="00992B23">
        <w:tc>
          <w:tcPr>
            <w:tcW w:w="3240" w:type="dxa"/>
          </w:tcPr>
          <w:p w14:paraId="58ABB1DB" w14:textId="77777777" w:rsidR="007F4C85" w:rsidRPr="004F6DAA" w:rsidRDefault="007F4C85" w:rsidP="00992B23">
            <w:pPr>
              <w:spacing w:before="60" w:after="60"/>
              <w:rPr>
                <w:noProof/>
                <w:sz w:val="20"/>
              </w:rPr>
            </w:pPr>
            <w:r w:rsidRPr="004F6DAA">
              <w:rPr>
                <w:noProof/>
                <w:sz w:val="20"/>
              </w:rPr>
              <w:t>Personel zewnętrzny</w:t>
            </w:r>
          </w:p>
        </w:tc>
        <w:tc>
          <w:tcPr>
            <w:tcW w:w="7200" w:type="dxa"/>
          </w:tcPr>
          <w:p w14:paraId="4DD2F387" w14:textId="77777777" w:rsidR="007F4C85" w:rsidRPr="004F6DAA" w:rsidRDefault="007F4C85" w:rsidP="00992B23">
            <w:pPr>
              <w:rPr>
                <w:noProof/>
                <w:sz w:val="20"/>
              </w:rPr>
            </w:pPr>
            <w:r w:rsidRPr="004F6DAA">
              <w:rPr>
                <w:noProof/>
                <w:sz w:val="20"/>
              </w:rPr>
              <w:t>Nie dotyczy</w:t>
            </w:r>
          </w:p>
        </w:tc>
      </w:tr>
    </w:tbl>
    <w:p w14:paraId="04160012" w14:textId="77777777" w:rsidR="007F4C85" w:rsidRPr="004F6DAA" w:rsidRDefault="007F4C85" w:rsidP="007F4C85">
      <w:pPr>
        <w:rPr>
          <w:noProof/>
        </w:rPr>
        <w:sectPr w:rsidR="007F4C85" w:rsidRPr="004F6DAA" w:rsidSect="00007A34">
          <w:pgSz w:w="11907" w:h="16840"/>
          <w:pgMar w:top="1134" w:right="1418" w:bottom="1134" w:left="1418" w:header="709" w:footer="709" w:gutter="0"/>
          <w:cols w:space="708"/>
          <w:docGrid w:linePitch="360"/>
        </w:sectPr>
      </w:pPr>
    </w:p>
    <w:p w14:paraId="5B0D6869" w14:textId="77777777" w:rsidR="007F4C85" w:rsidRPr="004F6DAA" w:rsidRDefault="007B7EB7" w:rsidP="007B7EB7">
      <w:pPr>
        <w:pStyle w:val="ManualHeading3"/>
        <w:rPr>
          <w:noProof/>
        </w:rPr>
      </w:pPr>
      <w:r w:rsidRPr="007B7EB7">
        <w:t>3.2.4.</w:t>
      </w:r>
      <w:r w:rsidRPr="007B7EB7">
        <w:tab/>
      </w:r>
      <w:r w:rsidR="007F4C85" w:rsidRPr="004F6DAA">
        <w:rPr>
          <w:noProof/>
        </w:rPr>
        <w:t>Zgodność</w:t>
      </w:r>
      <w:r w:rsidR="00062BFA" w:rsidRPr="004F6DAA">
        <w:rPr>
          <w:noProof/>
        </w:rPr>
        <w:t xml:space="preserve"> z</w:t>
      </w:r>
      <w:r w:rsidR="00062BFA">
        <w:rPr>
          <w:noProof/>
        </w:rPr>
        <w:t> </w:t>
      </w:r>
      <w:r w:rsidR="00062BFA" w:rsidRPr="004F6DAA">
        <w:rPr>
          <w:noProof/>
        </w:rPr>
        <w:t>obo</w:t>
      </w:r>
      <w:r w:rsidR="007F4C85" w:rsidRPr="004F6DAA">
        <w:rPr>
          <w:noProof/>
        </w:rPr>
        <w:t xml:space="preserve">wiązującymi wieloletnimi ramami finansowymi </w:t>
      </w:r>
    </w:p>
    <w:p w14:paraId="2C6B74FD" w14:textId="77777777" w:rsidR="007F4C85" w:rsidRPr="004F6DAA" w:rsidRDefault="007F4C85" w:rsidP="007F4C85">
      <w:pPr>
        <w:pStyle w:val="Text1"/>
        <w:rPr>
          <w:noProof/>
        </w:rPr>
      </w:pPr>
      <w:r w:rsidRPr="004F6DAA">
        <w:rPr>
          <w:noProof/>
        </w:rPr>
        <w:t>Wniosek/inicjatywa:</w:t>
      </w:r>
    </w:p>
    <w:p w14:paraId="3173D684" w14:textId="77777777" w:rsidR="007F4C85" w:rsidRPr="004F6DAA" w:rsidRDefault="007F4C85" w:rsidP="007F4C85">
      <w:pPr>
        <w:pStyle w:val="ListDash1"/>
        <w:rPr>
          <w:noProof/>
        </w:rPr>
      </w:pPr>
      <w:r w:rsidRPr="004F6DAA">
        <w:rPr>
          <w:noProof/>
        </w:rPr>
        <w:sym w:font="Wingdings" w:char="F0FE"/>
      </w:r>
      <w:r w:rsidRPr="004F6DAA">
        <w:rPr>
          <w:noProof/>
        </w:rPr>
        <w:tab/>
        <w:t>może zostać</w:t>
      </w:r>
      <w:r w:rsidR="00062BFA" w:rsidRPr="004F6DAA">
        <w:rPr>
          <w:noProof/>
        </w:rPr>
        <w:t xml:space="preserve"> w</w:t>
      </w:r>
      <w:r w:rsidR="00062BFA">
        <w:rPr>
          <w:noProof/>
        </w:rPr>
        <w:t> </w:t>
      </w:r>
      <w:r w:rsidR="00062BFA" w:rsidRPr="004F6DAA">
        <w:rPr>
          <w:noProof/>
        </w:rPr>
        <w:t>peł</w:t>
      </w:r>
      <w:r w:rsidRPr="004F6DAA">
        <w:rPr>
          <w:noProof/>
        </w:rPr>
        <w:t>ni sfinansowany(a) przez przegrupowanie środków</w:t>
      </w:r>
      <w:r w:rsidR="00062BFA" w:rsidRPr="004F6DAA">
        <w:rPr>
          <w:noProof/>
        </w:rPr>
        <w:t xml:space="preserve"> w</w:t>
      </w:r>
      <w:r w:rsidR="00062BFA">
        <w:rPr>
          <w:noProof/>
        </w:rPr>
        <w:t> </w:t>
      </w:r>
      <w:r w:rsidR="00062BFA" w:rsidRPr="004F6DAA">
        <w:rPr>
          <w:noProof/>
        </w:rPr>
        <w:t>ram</w:t>
      </w:r>
      <w:r w:rsidRPr="004F6DAA">
        <w:rPr>
          <w:noProof/>
        </w:rPr>
        <w:t>ach odpowiedniego działu wieloletnich ram finansowych (WRF).</w:t>
      </w:r>
    </w:p>
    <w:p w14:paraId="43F9602B" w14:textId="77777777" w:rsidR="007F4C85" w:rsidRPr="004F6DAA" w:rsidRDefault="007F4C85" w:rsidP="007F4C85">
      <w:pPr>
        <w:pStyle w:val="ListDash1"/>
        <w:rPr>
          <w:noProof/>
        </w:rPr>
      </w:pPr>
      <w:r w:rsidRPr="004F6DAA">
        <w:rPr>
          <w:noProof/>
          <w:sz w:val="22"/>
        </w:rPr>
        <w:t>Koszty przewidziane</w:t>
      </w:r>
      <w:r w:rsidR="00062BFA" w:rsidRPr="004F6DAA">
        <w:rPr>
          <w:noProof/>
          <w:sz w:val="22"/>
        </w:rPr>
        <w:t xml:space="preserve"> w</w:t>
      </w:r>
      <w:r w:rsidR="00062BFA">
        <w:rPr>
          <w:noProof/>
          <w:sz w:val="22"/>
        </w:rPr>
        <w:t> </w:t>
      </w:r>
      <w:r w:rsidR="00062BFA" w:rsidRPr="004F6DAA">
        <w:rPr>
          <w:noProof/>
          <w:sz w:val="22"/>
        </w:rPr>
        <w:t>lin</w:t>
      </w:r>
      <w:r w:rsidRPr="004F6DAA">
        <w:rPr>
          <w:noProof/>
          <w:sz w:val="22"/>
        </w:rPr>
        <w:t>ii budżetowej 09 02 01 zostaną poniesione</w:t>
      </w:r>
      <w:r w:rsidR="00062BFA" w:rsidRPr="004F6DAA">
        <w:rPr>
          <w:noProof/>
          <w:sz w:val="22"/>
        </w:rPr>
        <w:t xml:space="preserve"> w</w:t>
      </w:r>
      <w:r w:rsidR="00062BFA">
        <w:rPr>
          <w:noProof/>
          <w:sz w:val="22"/>
        </w:rPr>
        <w:t> </w:t>
      </w:r>
      <w:r w:rsidR="00062BFA" w:rsidRPr="004F6DAA">
        <w:rPr>
          <w:noProof/>
          <w:sz w:val="22"/>
        </w:rPr>
        <w:t>ram</w:t>
      </w:r>
      <w:r w:rsidRPr="004F6DAA">
        <w:rPr>
          <w:noProof/>
          <w:sz w:val="22"/>
        </w:rPr>
        <w:t>ach programu LIFE</w:t>
      </w:r>
      <w:r w:rsidR="00062BFA" w:rsidRPr="004F6DAA">
        <w:rPr>
          <w:noProof/>
          <w:sz w:val="22"/>
        </w:rPr>
        <w:t xml:space="preserve"> i</w:t>
      </w:r>
      <w:r w:rsidR="00062BFA">
        <w:rPr>
          <w:noProof/>
          <w:sz w:val="22"/>
        </w:rPr>
        <w:t> </w:t>
      </w:r>
      <w:r w:rsidR="00062BFA" w:rsidRPr="004F6DAA">
        <w:rPr>
          <w:noProof/>
          <w:sz w:val="22"/>
        </w:rPr>
        <w:t>zos</w:t>
      </w:r>
      <w:r w:rsidRPr="004F6DAA">
        <w:rPr>
          <w:noProof/>
          <w:sz w:val="22"/>
        </w:rPr>
        <w:t>taną zaplanowane</w:t>
      </w:r>
      <w:r w:rsidR="00062BFA" w:rsidRPr="004F6DAA">
        <w:rPr>
          <w:noProof/>
          <w:sz w:val="22"/>
        </w:rPr>
        <w:t xml:space="preserve"> w</w:t>
      </w:r>
      <w:r w:rsidR="00062BFA">
        <w:rPr>
          <w:noProof/>
          <w:sz w:val="22"/>
        </w:rPr>
        <w:t> </w:t>
      </w:r>
      <w:r w:rsidR="00062BFA" w:rsidRPr="004F6DAA">
        <w:rPr>
          <w:noProof/>
          <w:sz w:val="22"/>
        </w:rPr>
        <w:t>roc</w:t>
      </w:r>
      <w:r w:rsidRPr="004F6DAA">
        <w:rPr>
          <w:noProof/>
          <w:sz w:val="22"/>
        </w:rPr>
        <w:t>znym planie zarządzania DG ENV. Potrzeby</w:t>
      </w:r>
      <w:r w:rsidR="00062BFA" w:rsidRPr="004F6DAA">
        <w:rPr>
          <w:noProof/>
          <w:sz w:val="22"/>
        </w:rPr>
        <w:t xml:space="preserve"> w</w:t>
      </w:r>
      <w:r w:rsidR="00062BFA">
        <w:rPr>
          <w:noProof/>
          <w:sz w:val="22"/>
        </w:rPr>
        <w:t> </w:t>
      </w:r>
      <w:r w:rsidR="00062BFA" w:rsidRPr="004F6DAA">
        <w:rPr>
          <w:noProof/>
          <w:sz w:val="22"/>
        </w:rPr>
        <w:t>zak</w:t>
      </w:r>
      <w:r w:rsidRPr="004F6DAA">
        <w:rPr>
          <w:noProof/>
          <w:sz w:val="22"/>
        </w:rPr>
        <w:t>resie zasobów ludzkich zostaną najlepiej zaspokojone poprzez dodatkowy przydział środków</w:t>
      </w:r>
      <w:r w:rsidR="00062BFA" w:rsidRPr="004F6DAA">
        <w:rPr>
          <w:noProof/>
          <w:sz w:val="22"/>
        </w:rPr>
        <w:t xml:space="preserve"> w</w:t>
      </w:r>
      <w:r w:rsidR="00062BFA">
        <w:rPr>
          <w:noProof/>
          <w:sz w:val="22"/>
        </w:rPr>
        <w:t> </w:t>
      </w:r>
      <w:r w:rsidR="00062BFA" w:rsidRPr="004F6DAA">
        <w:rPr>
          <w:noProof/>
          <w:sz w:val="22"/>
        </w:rPr>
        <w:t>ram</w:t>
      </w:r>
      <w:r w:rsidRPr="004F6DAA">
        <w:rPr>
          <w:noProof/>
          <w:sz w:val="22"/>
        </w:rPr>
        <w:t>ach procedury rocznego przydziału zasobów ludzkich</w:t>
      </w:r>
      <w:r w:rsidRPr="004F6DAA">
        <w:rPr>
          <w:noProof/>
        </w:rPr>
        <w:t>.</w:t>
      </w:r>
    </w:p>
    <w:p w14:paraId="50EB1FC5" w14:textId="77777777" w:rsidR="007F4C85" w:rsidRPr="004F6DAA" w:rsidRDefault="007F4C85" w:rsidP="007F4C85">
      <w:pPr>
        <w:pStyle w:val="ListDash1"/>
        <w:rPr>
          <w:noProof/>
        </w:rPr>
      </w:pPr>
      <w:r w:rsidRPr="004F6DAA">
        <w:rPr>
          <w:noProof/>
        </w:rPr>
        <w:sym w:font="Wingdings" w:char="F0A8"/>
      </w:r>
      <w:r w:rsidRPr="004F6DAA">
        <w:rPr>
          <w:noProof/>
        </w:rPr>
        <w:tab/>
        <w:t>wymaga zastosowania nieprzydzielonego marginesu środków</w:t>
      </w:r>
      <w:r w:rsidR="00062BFA" w:rsidRPr="004F6DAA">
        <w:rPr>
          <w:noProof/>
        </w:rPr>
        <w:t xml:space="preserve"> w</w:t>
      </w:r>
      <w:r w:rsidR="00062BFA">
        <w:rPr>
          <w:noProof/>
        </w:rPr>
        <w:t> </w:t>
      </w:r>
      <w:r w:rsidR="00062BFA" w:rsidRPr="004F6DAA">
        <w:rPr>
          <w:noProof/>
        </w:rPr>
        <w:t>ram</w:t>
      </w:r>
      <w:r w:rsidRPr="004F6DAA">
        <w:rPr>
          <w:noProof/>
        </w:rPr>
        <w:t>ach odpowiedniego działu WRF lub zastosowania specjalnych instrumentów zdefiniowanych</w:t>
      </w:r>
      <w:r w:rsidR="00062BFA" w:rsidRPr="004F6DAA">
        <w:rPr>
          <w:noProof/>
        </w:rPr>
        <w:t xml:space="preserve"> w</w:t>
      </w:r>
      <w:r w:rsidR="00062BFA">
        <w:rPr>
          <w:noProof/>
        </w:rPr>
        <w:t> </w:t>
      </w:r>
      <w:r w:rsidR="00062BFA" w:rsidRPr="004F6DAA">
        <w:rPr>
          <w:noProof/>
        </w:rPr>
        <w:t>roz</w:t>
      </w:r>
      <w:r w:rsidRPr="004F6DAA">
        <w:rPr>
          <w:noProof/>
        </w:rPr>
        <w:t>porządzeniu</w:t>
      </w:r>
      <w:r w:rsidR="00062BFA" w:rsidRPr="004F6DAA">
        <w:rPr>
          <w:noProof/>
        </w:rPr>
        <w:t xml:space="preserve"> w</w:t>
      </w:r>
      <w:r w:rsidR="00062BFA">
        <w:rPr>
          <w:noProof/>
        </w:rPr>
        <w:t> </w:t>
      </w:r>
      <w:r w:rsidR="00062BFA" w:rsidRPr="004F6DAA">
        <w:rPr>
          <w:noProof/>
        </w:rPr>
        <w:t>spr</w:t>
      </w:r>
      <w:r w:rsidRPr="004F6DAA">
        <w:rPr>
          <w:noProof/>
        </w:rPr>
        <w:t>awie WRF.</w:t>
      </w:r>
    </w:p>
    <w:p w14:paraId="672EB3B6"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sz w:val="20"/>
        </w:rPr>
      </w:pPr>
      <w:r w:rsidRPr="004F6DAA">
        <w:rPr>
          <w:noProof/>
          <w:sz w:val="20"/>
        </w:rPr>
        <w:t>Należy wyjaśnić, który wariant jest konieczny, określając działy</w:t>
      </w:r>
      <w:r w:rsidR="00062BFA" w:rsidRPr="004F6DAA">
        <w:rPr>
          <w:noProof/>
          <w:sz w:val="20"/>
        </w:rPr>
        <w:t xml:space="preserve"> i</w:t>
      </w:r>
      <w:r w:rsidR="00062BFA">
        <w:rPr>
          <w:noProof/>
          <w:sz w:val="20"/>
        </w:rPr>
        <w:t> </w:t>
      </w:r>
      <w:r w:rsidR="00062BFA" w:rsidRPr="004F6DAA">
        <w:rPr>
          <w:noProof/>
          <w:sz w:val="20"/>
        </w:rPr>
        <w:t>lin</w:t>
      </w:r>
      <w:r w:rsidRPr="004F6DAA">
        <w:rPr>
          <w:noProof/>
          <w:sz w:val="20"/>
        </w:rPr>
        <w:t>ie budżetowe, których ma dotyczyć, odpowiadające im kwoty oraz proponowane instrumenty, które należy zastosować.</w:t>
      </w:r>
    </w:p>
    <w:p w14:paraId="05B14395" w14:textId="77777777" w:rsidR="007F4C85" w:rsidRPr="004F6DAA" w:rsidRDefault="007F4C85" w:rsidP="007F4C85">
      <w:pPr>
        <w:pStyle w:val="ListDash1"/>
        <w:rPr>
          <w:noProof/>
        </w:rPr>
      </w:pPr>
      <w:r w:rsidRPr="004F6DAA">
        <w:rPr>
          <w:noProof/>
        </w:rPr>
        <w:sym w:font="Wingdings" w:char="F0A8"/>
      </w:r>
      <w:r w:rsidRPr="004F6DAA">
        <w:rPr>
          <w:noProof/>
        </w:rPr>
        <w:tab/>
        <w:t>wymaga rewizji WRF.</w:t>
      </w:r>
    </w:p>
    <w:p w14:paraId="7C7A6545"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sz w:val="20"/>
        </w:rPr>
      </w:pPr>
      <w:r w:rsidRPr="004F6DAA">
        <w:rPr>
          <w:noProof/>
          <w:sz w:val="20"/>
        </w:rPr>
        <w:t>Należy wyjaśnić, który wariant jest konieczny, określając linie budżetowe, których ma on dotyczyć, oraz podając odpowiednie kwoty.</w:t>
      </w:r>
    </w:p>
    <w:p w14:paraId="7E8C0678" w14:textId="77777777" w:rsidR="007F4C85" w:rsidRPr="004F6DAA" w:rsidRDefault="007B7EB7" w:rsidP="007B7EB7">
      <w:pPr>
        <w:pStyle w:val="ManualHeading3"/>
        <w:rPr>
          <w:bCs/>
          <w:noProof/>
          <w:szCs w:val="24"/>
        </w:rPr>
      </w:pPr>
      <w:r w:rsidRPr="007B7EB7">
        <w:t>3.2.5.</w:t>
      </w:r>
      <w:r w:rsidRPr="007B7EB7">
        <w:tab/>
      </w:r>
      <w:r w:rsidR="007F4C85" w:rsidRPr="004F6DAA">
        <w:rPr>
          <w:noProof/>
        </w:rPr>
        <w:t>Udział osób trzecich</w:t>
      </w:r>
      <w:r w:rsidR="00062BFA" w:rsidRPr="004F6DAA">
        <w:rPr>
          <w:noProof/>
        </w:rPr>
        <w:t xml:space="preserve"> w</w:t>
      </w:r>
      <w:r w:rsidR="00062BFA">
        <w:rPr>
          <w:noProof/>
        </w:rPr>
        <w:t> </w:t>
      </w:r>
      <w:r w:rsidR="00062BFA" w:rsidRPr="004F6DAA">
        <w:rPr>
          <w:noProof/>
        </w:rPr>
        <w:t>fin</w:t>
      </w:r>
      <w:r w:rsidR="007F4C85" w:rsidRPr="004F6DAA">
        <w:rPr>
          <w:noProof/>
        </w:rPr>
        <w:t xml:space="preserve">ansowaniu </w:t>
      </w:r>
    </w:p>
    <w:p w14:paraId="5CE113EA" w14:textId="77777777" w:rsidR="007F4C85" w:rsidRPr="004F6DAA" w:rsidRDefault="007F4C85" w:rsidP="007F4C85">
      <w:pPr>
        <w:pStyle w:val="Text1"/>
        <w:rPr>
          <w:noProof/>
        </w:rPr>
      </w:pPr>
      <w:r w:rsidRPr="004F6DAA">
        <w:rPr>
          <w:noProof/>
        </w:rPr>
        <w:t>Wniosek/inicjatywa:</w:t>
      </w:r>
    </w:p>
    <w:p w14:paraId="41C5EE9F" w14:textId="77777777" w:rsidR="007F4C85" w:rsidRPr="004F6DAA" w:rsidRDefault="007F4C85" w:rsidP="007F4C85">
      <w:pPr>
        <w:pStyle w:val="ListDash1"/>
        <w:rPr>
          <w:noProof/>
        </w:rPr>
      </w:pPr>
      <w:r w:rsidRPr="004F6DAA">
        <w:rPr>
          <w:noProof/>
        </w:rPr>
        <w:sym w:font="Wingdings" w:char="F0FE"/>
      </w:r>
      <w:r w:rsidRPr="004F6DAA">
        <w:rPr>
          <w:noProof/>
        </w:rPr>
        <w:tab/>
        <w:t>nie przewiduje współfinansowania ze strony osób trzecich</w:t>
      </w:r>
    </w:p>
    <w:p w14:paraId="616011D7" w14:textId="77777777" w:rsidR="007F4C85" w:rsidRPr="004F6DAA" w:rsidRDefault="007F4C85" w:rsidP="007F4C85">
      <w:pPr>
        <w:pStyle w:val="ListDash1"/>
        <w:rPr>
          <w:noProof/>
        </w:rPr>
      </w:pPr>
      <w:r w:rsidRPr="004F6DAA">
        <w:rPr>
          <w:noProof/>
        </w:rPr>
        <w:sym w:font="Wingdings" w:char="F0A8"/>
      </w:r>
      <w:r w:rsidRPr="004F6DAA">
        <w:rPr>
          <w:noProof/>
        </w:rPr>
        <w:tab/>
        <w:t>przewiduje współfinansowanie ze strony osób trzecich szacowane zgodnie</w:t>
      </w:r>
      <w:r w:rsidR="00062BFA" w:rsidRPr="004F6DAA">
        <w:rPr>
          <w:noProof/>
        </w:rPr>
        <w:t xml:space="preserve"> z</w:t>
      </w:r>
      <w:r w:rsidR="00062BFA">
        <w:rPr>
          <w:noProof/>
        </w:rPr>
        <w:t> </w:t>
      </w:r>
      <w:r w:rsidR="00062BFA" w:rsidRPr="004F6DAA">
        <w:rPr>
          <w:noProof/>
        </w:rPr>
        <w:t>pon</w:t>
      </w:r>
      <w:r w:rsidRPr="004F6DAA">
        <w:rPr>
          <w:noProof/>
        </w:rPr>
        <w:t>iższymi szacunkami:</w:t>
      </w:r>
    </w:p>
    <w:p w14:paraId="3D995B45" w14:textId="77777777" w:rsidR="007F4C85" w:rsidRPr="004F6DAA" w:rsidRDefault="007F4C85" w:rsidP="007F4C85">
      <w:pPr>
        <w:jc w:val="right"/>
        <w:rPr>
          <w:noProof/>
          <w:sz w:val="20"/>
        </w:rPr>
      </w:pPr>
      <w:r w:rsidRPr="004F6DAA">
        <w:rPr>
          <w:noProof/>
          <w:sz w:val="20"/>
        </w:rPr>
        <w:t>środki</w:t>
      </w:r>
      <w:r w:rsidR="00062BFA" w:rsidRPr="004F6DAA">
        <w:rPr>
          <w:noProof/>
          <w:sz w:val="20"/>
        </w:rPr>
        <w:t xml:space="preserve"> w</w:t>
      </w:r>
      <w:r w:rsidR="00062BFA">
        <w:rPr>
          <w:noProof/>
          <w:sz w:val="20"/>
        </w:rPr>
        <w:t> </w:t>
      </w:r>
      <w:r w:rsidR="00062BFA" w:rsidRPr="004F6DAA">
        <w:rPr>
          <w:noProof/>
          <w:sz w:val="20"/>
        </w:rPr>
        <w:t>mln</w:t>
      </w:r>
      <w:r w:rsidRPr="004F6DAA">
        <w:rPr>
          <w:noProof/>
          <w:sz w:val="20"/>
        </w:rPr>
        <w:t xml:space="preserve"> EUR (do trzech miejsc po przecinku)</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F4C85" w:rsidRPr="004F6DAA" w14:paraId="5753B1B4" w14:textId="77777777" w:rsidTr="00992B23">
        <w:trPr>
          <w:cantSplit/>
        </w:trPr>
        <w:tc>
          <w:tcPr>
            <w:tcW w:w="2340" w:type="dxa"/>
          </w:tcPr>
          <w:p w14:paraId="3F4F2AB3" w14:textId="77777777" w:rsidR="007F4C85" w:rsidRPr="004F6DAA" w:rsidRDefault="007F4C85" w:rsidP="00992B23">
            <w:pPr>
              <w:spacing w:before="60" w:after="60"/>
              <w:rPr>
                <w:noProof/>
                <w:sz w:val="20"/>
              </w:rPr>
            </w:pPr>
          </w:p>
        </w:tc>
        <w:tc>
          <w:tcPr>
            <w:tcW w:w="964" w:type="dxa"/>
            <w:vAlign w:val="center"/>
          </w:tcPr>
          <w:p w14:paraId="5B25FD8D" w14:textId="77777777" w:rsidR="00B76B55" w:rsidRPr="004F6DAA" w:rsidRDefault="007F4C85" w:rsidP="00B76B55">
            <w:pPr>
              <w:contextualSpacing/>
              <w:jc w:val="center"/>
              <w:rPr>
                <w:noProof/>
                <w:sz w:val="20"/>
              </w:rPr>
            </w:pPr>
            <w:r w:rsidRPr="004F6DAA">
              <w:rPr>
                <w:noProof/>
                <w:sz w:val="20"/>
              </w:rPr>
              <w:t>Rok</w:t>
            </w:r>
          </w:p>
          <w:p w14:paraId="5B7CF2F9" w14:textId="77777777" w:rsidR="007F4C85" w:rsidRPr="004F6DAA" w:rsidRDefault="007F4C85" w:rsidP="00B76B55">
            <w:pPr>
              <w:contextualSpacing/>
              <w:jc w:val="center"/>
              <w:rPr>
                <w:noProof/>
                <w:sz w:val="20"/>
              </w:rPr>
            </w:pPr>
            <w:r w:rsidRPr="004F6DAA">
              <w:rPr>
                <w:b/>
                <w:noProof/>
                <w:sz w:val="20"/>
              </w:rPr>
              <w:t>N</w:t>
            </w:r>
            <w:r w:rsidRPr="004F6DAA">
              <w:rPr>
                <w:rStyle w:val="Odwoanieprzypisudolnego"/>
                <w:b/>
                <w:noProof/>
                <w:sz w:val="20"/>
              </w:rPr>
              <w:footnoteReference w:id="68"/>
            </w:r>
          </w:p>
        </w:tc>
        <w:tc>
          <w:tcPr>
            <w:tcW w:w="964" w:type="dxa"/>
            <w:vAlign w:val="center"/>
          </w:tcPr>
          <w:p w14:paraId="638211BF" w14:textId="77777777" w:rsidR="00B76B55" w:rsidRPr="004F6DAA" w:rsidRDefault="007F4C85" w:rsidP="00B76B55">
            <w:pPr>
              <w:contextualSpacing/>
              <w:jc w:val="center"/>
              <w:rPr>
                <w:noProof/>
                <w:sz w:val="20"/>
              </w:rPr>
            </w:pPr>
            <w:r w:rsidRPr="004F6DAA">
              <w:rPr>
                <w:noProof/>
                <w:sz w:val="20"/>
              </w:rPr>
              <w:t>Rok</w:t>
            </w:r>
          </w:p>
          <w:p w14:paraId="0FEFBDAE" w14:textId="77777777" w:rsidR="007F4C85" w:rsidRPr="004F6DAA" w:rsidRDefault="007F4C85" w:rsidP="00B76B55">
            <w:pPr>
              <w:contextualSpacing/>
              <w:jc w:val="center"/>
              <w:rPr>
                <w:noProof/>
                <w:sz w:val="20"/>
              </w:rPr>
            </w:pPr>
            <w:r w:rsidRPr="004F6DAA">
              <w:rPr>
                <w:b/>
                <w:noProof/>
                <w:sz w:val="20"/>
              </w:rPr>
              <w:t>N + +1</w:t>
            </w:r>
          </w:p>
        </w:tc>
        <w:tc>
          <w:tcPr>
            <w:tcW w:w="964" w:type="dxa"/>
            <w:vAlign w:val="center"/>
          </w:tcPr>
          <w:p w14:paraId="7B4C8843" w14:textId="77777777" w:rsidR="00B76B55" w:rsidRPr="004F6DAA" w:rsidRDefault="007F4C85" w:rsidP="00B76B55">
            <w:pPr>
              <w:contextualSpacing/>
              <w:jc w:val="center"/>
              <w:rPr>
                <w:noProof/>
                <w:sz w:val="20"/>
              </w:rPr>
            </w:pPr>
            <w:r w:rsidRPr="004F6DAA">
              <w:rPr>
                <w:noProof/>
                <w:sz w:val="20"/>
              </w:rPr>
              <w:t>Rok</w:t>
            </w:r>
          </w:p>
          <w:p w14:paraId="42145A31" w14:textId="77777777" w:rsidR="007F4C85" w:rsidRPr="004F6DAA" w:rsidRDefault="007F4C85" w:rsidP="00B76B55">
            <w:pPr>
              <w:contextualSpacing/>
              <w:jc w:val="center"/>
              <w:rPr>
                <w:noProof/>
                <w:sz w:val="20"/>
              </w:rPr>
            </w:pPr>
            <w:r w:rsidRPr="004F6DAA">
              <w:rPr>
                <w:b/>
                <w:noProof/>
                <w:sz w:val="20"/>
              </w:rPr>
              <w:t>N + +2</w:t>
            </w:r>
          </w:p>
        </w:tc>
        <w:tc>
          <w:tcPr>
            <w:tcW w:w="964" w:type="dxa"/>
            <w:vAlign w:val="center"/>
          </w:tcPr>
          <w:p w14:paraId="21D4DA5A" w14:textId="77777777" w:rsidR="00B76B55" w:rsidRPr="004F6DAA" w:rsidRDefault="007F4C85" w:rsidP="00B76B55">
            <w:pPr>
              <w:contextualSpacing/>
              <w:jc w:val="center"/>
              <w:rPr>
                <w:noProof/>
                <w:sz w:val="20"/>
              </w:rPr>
            </w:pPr>
            <w:r w:rsidRPr="004F6DAA">
              <w:rPr>
                <w:noProof/>
                <w:sz w:val="20"/>
              </w:rPr>
              <w:t>Rok</w:t>
            </w:r>
          </w:p>
          <w:p w14:paraId="7DC96C48" w14:textId="77777777" w:rsidR="007F4C85" w:rsidRPr="004F6DAA" w:rsidRDefault="007F4C85" w:rsidP="00B76B55">
            <w:pPr>
              <w:contextualSpacing/>
              <w:jc w:val="center"/>
              <w:rPr>
                <w:noProof/>
                <w:sz w:val="20"/>
              </w:rPr>
            </w:pPr>
            <w:r w:rsidRPr="004F6DAA">
              <w:rPr>
                <w:b/>
                <w:noProof/>
                <w:sz w:val="20"/>
              </w:rPr>
              <w:t>N + 3</w:t>
            </w:r>
          </w:p>
        </w:tc>
        <w:tc>
          <w:tcPr>
            <w:tcW w:w="2892" w:type="dxa"/>
            <w:gridSpan w:val="3"/>
            <w:vAlign w:val="center"/>
          </w:tcPr>
          <w:p w14:paraId="334C1233" w14:textId="77777777" w:rsidR="007F4C85" w:rsidRPr="004F6DAA" w:rsidRDefault="007F4C85" w:rsidP="00992B23">
            <w:pPr>
              <w:jc w:val="center"/>
              <w:rPr>
                <w:b/>
                <w:noProof/>
                <w:sz w:val="20"/>
              </w:rPr>
            </w:pPr>
            <w:r w:rsidRPr="004F6DAA">
              <w:rPr>
                <w:noProof/>
                <w:sz w:val="20"/>
              </w:rPr>
              <w:t xml:space="preserve">Wprowadzić taką liczbę kolumn dla poszczególnych lat, jaka jest niezbędna, by odzwierciedlić cały okres wpływu (por. </w:t>
            </w:r>
            <w:r w:rsidRPr="00062BFA">
              <w:rPr>
                <w:noProof/>
                <w:sz w:val="20"/>
              </w:rPr>
              <w:t>pkt</w:t>
            </w:r>
            <w:r w:rsidR="00062BFA" w:rsidRPr="00062BFA">
              <w:rPr>
                <w:noProof/>
                <w:sz w:val="20"/>
              </w:rPr>
              <w:t> </w:t>
            </w:r>
            <w:r w:rsidRPr="00062BFA">
              <w:rPr>
                <w:noProof/>
                <w:sz w:val="20"/>
              </w:rPr>
              <w:t>1</w:t>
            </w:r>
            <w:r w:rsidRPr="004F6DAA">
              <w:rPr>
                <w:noProof/>
                <w:sz w:val="20"/>
              </w:rPr>
              <w:t>.6)</w:t>
            </w:r>
          </w:p>
        </w:tc>
        <w:tc>
          <w:tcPr>
            <w:tcW w:w="1158" w:type="dxa"/>
            <w:vAlign w:val="center"/>
          </w:tcPr>
          <w:p w14:paraId="0862F4BD" w14:textId="77777777" w:rsidR="007F4C85" w:rsidRPr="004F6DAA" w:rsidRDefault="007F4C85" w:rsidP="00992B23">
            <w:pPr>
              <w:spacing w:before="60" w:after="60"/>
              <w:jc w:val="center"/>
              <w:rPr>
                <w:noProof/>
                <w:sz w:val="20"/>
              </w:rPr>
            </w:pPr>
            <w:r w:rsidRPr="004F6DAA">
              <w:rPr>
                <w:noProof/>
                <w:sz w:val="20"/>
              </w:rPr>
              <w:t>Ogółem</w:t>
            </w:r>
          </w:p>
        </w:tc>
      </w:tr>
      <w:tr w:rsidR="007F4C85" w:rsidRPr="004F6DAA" w14:paraId="197D69E4" w14:textId="77777777" w:rsidTr="00992B23">
        <w:trPr>
          <w:cantSplit/>
        </w:trPr>
        <w:tc>
          <w:tcPr>
            <w:tcW w:w="2340" w:type="dxa"/>
          </w:tcPr>
          <w:p w14:paraId="40D52553" w14:textId="77777777" w:rsidR="007F4C85" w:rsidRPr="004F6DAA" w:rsidRDefault="007F4C85" w:rsidP="00992B23">
            <w:pPr>
              <w:rPr>
                <w:noProof/>
              </w:rPr>
            </w:pPr>
            <w:r w:rsidRPr="004F6DAA">
              <w:rPr>
                <w:noProof/>
                <w:sz w:val="20"/>
              </w:rPr>
              <w:t>Określić organ współfinansujący</w:t>
            </w:r>
            <w:r w:rsidRPr="004F6DAA">
              <w:rPr>
                <w:i/>
                <w:noProof/>
                <w:sz w:val="20"/>
              </w:rPr>
              <w:t xml:space="preserve"> </w:t>
            </w:r>
          </w:p>
        </w:tc>
        <w:tc>
          <w:tcPr>
            <w:tcW w:w="964" w:type="dxa"/>
            <w:vAlign w:val="center"/>
          </w:tcPr>
          <w:p w14:paraId="4C05C050" w14:textId="77777777" w:rsidR="007F4C85" w:rsidRPr="004F6DAA" w:rsidRDefault="007F4C85" w:rsidP="00992B23">
            <w:pPr>
              <w:spacing w:before="60" w:after="60"/>
              <w:jc w:val="center"/>
              <w:rPr>
                <w:noProof/>
                <w:sz w:val="20"/>
              </w:rPr>
            </w:pPr>
          </w:p>
        </w:tc>
        <w:tc>
          <w:tcPr>
            <w:tcW w:w="964" w:type="dxa"/>
            <w:vAlign w:val="center"/>
          </w:tcPr>
          <w:p w14:paraId="13AF8AC4" w14:textId="77777777" w:rsidR="007F4C85" w:rsidRPr="004F6DAA" w:rsidRDefault="007F4C85" w:rsidP="00992B23">
            <w:pPr>
              <w:spacing w:before="60" w:after="60"/>
              <w:jc w:val="center"/>
              <w:rPr>
                <w:noProof/>
                <w:sz w:val="20"/>
              </w:rPr>
            </w:pPr>
          </w:p>
        </w:tc>
        <w:tc>
          <w:tcPr>
            <w:tcW w:w="964" w:type="dxa"/>
            <w:vAlign w:val="center"/>
          </w:tcPr>
          <w:p w14:paraId="506B428A" w14:textId="77777777" w:rsidR="007F4C85" w:rsidRPr="004F6DAA" w:rsidRDefault="007F4C85" w:rsidP="00992B23">
            <w:pPr>
              <w:spacing w:before="60" w:after="60"/>
              <w:jc w:val="center"/>
              <w:rPr>
                <w:noProof/>
                <w:sz w:val="20"/>
              </w:rPr>
            </w:pPr>
          </w:p>
        </w:tc>
        <w:tc>
          <w:tcPr>
            <w:tcW w:w="964" w:type="dxa"/>
            <w:vAlign w:val="center"/>
          </w:tcPr>
          <w:p w14:paraId="3DE490F5" w14:textId="77777777" w:rsidR="007F4C85" w:rsidRPr="004F6DAA" w:rsidRDefault="007F4C85" w:rsidP="00992B23">
            <w:pPr>
              <w:spacing w:before="60" w:after="60"/>
              <w:jc w:val="center"/>
              <w:rPr>
                <w:noProof/>
                <w:sz w:val="20"/>
              </w:rPr>
            </w:pPr>
          </w:p>
        </w:tc>
        <w:tc>
          <w:tcPr>
            <w:tcW w:w="964" w:type="dxa"/>
            <w:vAlign w:val="center"/>
          </w:tcPr>
          <w:p w14:paraId="0499E545" w14:textId="77777777" w:rsidR="007F4C85" w:rsidRPr="004F6DAA" w:rsidRDefault="007F4C85" w:rsidP="00992B23">
            <w:pPr>
              <w:spacing w:before="60" w:after="60"/>
              <w:jc w:val="center"/>
              <w:rPr>
                <w:noProof/>
                <w:sz w:val="20"/>
              </w:rPr>
            </w:pPr>
          </w:p>
        </w:tc>
        <w:tc>
          <w:tcPr>
            <w:tcW w:w="964" w:type="dxa"/>
            <w:vAlign w:val="center"/>
          </w:tcPr>
          <w:p w14:paraId="1EFD2883" w14:textId="77777777" w:rsidR="007F4C85" w:rsidRPr="004F6DAA" w:rsidRDefault="007F4C85" w:rsidP="00992B23">
            <w:pPr>
              <w:spacing w:before="60" w:after="60"/>
              <w:jc w:val="center"/>
              <w:rPr>
                <w:noProof/>
                <w:sz w:val="20"/>
              </w:rPr>
            </w:pPr>
          </w:p>
        </w:tc>
        <w:tc>
          <w:tcPr>
            <w:tcW w:w="964" w:type="dxa"/>
            <w:vAlign w:val="center"/>
          </w:tcPr>
          <w:p w14:paraId="7107F604" w14:textId="77777777" w:rsidR="007F4C85" w:rsidRPr="004F6DAA" w:rsidRDefault="007F4C85" w:rsidP="00992B23">
            <w:pPr>
              <w:spacing w:before="60" w:after="60"/>
              <w:jc w:val="center"/>
              <w:rPr>
                <w:noProof/>
                <w:sz w:val="20"/>
              </w:rPr>
            </w:pPr>
          </w:p>
        </w:tc>
        <w:tc>
          <w:tcPr>
            <w:tcW w:w="1158" w:type="dxa"/>
            <w:vAlign w:val="center"/>
          </w:tcPr>
          <w:p w14:paraId="5975DBC8" w14:textId="77777777" w:rsidR="007F4C85" w:rsidRPr="004F6DAA" w:rsidRDefault="007F4C85" w:rsidP="00992B23">
            <w:pPr>
              <w:spacing w:before="60" w:after="60"/>
              <w:jc w:val="center"/>
              <w:rPr>
                <w:noProof/>
                <w:sz w:val="20"/>
              </w:rPr>
            </w:pPr>
          </w:p>
        </w:tc>
      </w:tr>
      <w:tr w:rsidR="007F4C85" w:rsidRPr="004F6DAA" w14:paraId="728A729C" w14:textId="77777777" w:rsidTr="00992B23">
        <w:trPr>
          <w:cantSplit/>
        </w:trPr>
        <w:tc>
          <w:tcPr>
            <w:tcW w:w="2340" w:type="dxa"/>
          </w:tcPr>
          <w:p w14:paraId="7B540852" w14:textId="77777777" w:rsidR="007F4C85" w:rsidRPr="004F6DAA" w:rsidRDefault="007F4C85" w:rsidP="00992B23">
            <w:pPr>
              <w:spacing w:before="60" w:after="60"/>
              <w:jc w:val="left"/>
              <w:rPr>
                <w:noProof/>
                <w:sz w:val="20"/>
              </w:rPr>
            </w:pPr>
            <w:r w:rsidRPr="004F6DAA">
              <w:rPr>
                <w:noProof/>
                <w:sz w:val="20"/>
              </w:rPr>
              <w:t xml:space="preserve">OGÓŁEM środki objęte współfinansowaniem </w:t>
            </w:r>
          </w:p>
        </w:tc>
        <w:tc>
          <w:tcPr>
            <w:tcW w:w="964" w:type="dxa"/>
            <w:vAlign w:val="center"/>
          </w:tcPr>
          <w:p w14:paraId="61D03057" w14:textId="77777777" w:rsidR="007F4C85" w:rsidRPr="004F6DAA" w:rsidRDefault="007F4C85" w:rsidP="00992B23">
            <w:pPr>
              <w:spacing w:before="60" w:after="60"/>
              <w:jc w:val="center"/>
              <w:rPr>
                <w:noProof/>
                <w:sz w:val="20"/>
              </w:rPr>
            </w:pPr>
          </w:p>
        </w:tc>
        <w:tc>
          <w:tcPr>
            <w:tcW w:w="964" w:type="dxa"/>
            <w:vAlign w:val="center"/>
          </w:tcPr>
          <w:p w14:paraId="0ADB71DE" w14:textId="77777777" w:rsidR="007F4C85" w:rsidRPr="004F6DAA" w:rsidRDefault="007F4C85" w:rsidP="00992B23">
            <w:pPr>
              <w:spacing w:before="60" w:after="60"/>
              <w:jc w:val="center"/>
              <w:rPr>
                <w:noProof/>
                <w:sz w:val="20"/>
              </w:rPr>
            </w:pPr>
          </w:p>
        </w:tc>
        <w:tc>
          <w:tcPr>
            <w:tcW w:w="964" w:type="dxa"/>
            <w:vAlign w:val="center"/>
          </w:tcPr>
          <w:p w14:paraId="1FAC1995" w14:textId="77777777" w:rsidR="007F4C85" w:rsidRPr="004F6DAA" w:rsidRDefault="007F4C85" w:rsidP="00992B23">
            <w:pPr>
              <w:spacing w:before="60" w:after="60"/>
              <w:jc w:val="center"/>
              <w:rPr>
                <w:noProof/>
                <w:sz w:val="20"/>
              </w:rPr>
            </w:pPr>
          </w:p>
        </w:tc>
        <w:tc>
          <w:tcPr>
            <w:tcW w:w="964" w:type="dxa"/>
            <w:vAlign w:val="center"/>
          </w:tcPr>
          <w:p w14:paraId="285E2AFE" w14:textId="77777777" w:rsidR="007F4C85" w:rsidRPr="004F6DAA" w:rsidRDefault="007F4C85" w:rsidP="00992B23">
            <w:pPr>
              <w:spacing w:before="60" w:after="60"/>
              <w:jc w:val="center"/>
              <w:rPr>
                <w:noProof/>
                <w:sz w:val="20"/>
              </w:rPr>
            </w:pPr>
          </w:p>
        </w:tc>
        <w:tc>
          <w:tcPr>
            <w:tcW w:w="964" w:type="dxa"/>
            <w:vAlign w:val="center"/>
          </w:tcPr>
          <w:p w14:paraId="3FA41F26" w14:textId="77777777" w:rsidR="007F4C85" w:rsidRPr="004F6DAA" w:rsidRDefault="007F4C85" w:rsidP="00992B23">
            <w:pPr>
              <w:spacing w:before="60" w:after="60"/>
              <w:jc w:val="center"/>
              <w:rPr>
                <w:noProof/>
                <w:sz w:val="20"/>
              </w:rPr>
            </w:pPr>
          </w:p>
        </w:tc>
        <w:tc>
          <w:tcPr>
            <w:tcW w:w="964" w:type="dxa"/>
            <w:vAlign w:val="center"/>
          </w:tcPr>
          <w:p w14:paraId="164BDC95" w14:textId="77777777" w:rsidR="007F4C85" w:rsidRPr="004F6DAA" w:rsidRDefault="007F4C85" w:rsidP="00992B23">
            <w:pPr>
              <w:spacing w:before="60" w:after="60"/>
              <w:jc w:val="center"/>
              <w:rPr>
                <w:noProof/>
                <w:sz w:val="20"/>
              </w:rPr>
            </w:pPr>
          </w:p>
        </w:tc>
        <w:tc>
          <w:tcPr>
            <w:tcW w:w="964" w:type="dxa"/>
            <w:vAlign w:val="center"/>
          </w:tcPr>
          <w:p w14:paraId="775A098E" w14:textId="77777777" w:rsidR="007F4C85" w:rsidRPr="004F6DAA" w:rsidRDefault="007F4C85" w:rsidP="00992B23">
            <w:pPr>
              <w:spacing w:before="60" w:after="60"/>
              <w:jc w:val="center"/>
              <w:rPr>
                <w:noProof/>
                <w:sz w:val="20"/>
              </w:rPr>
            </w:pPr>
          </w:p>
        </w:tc>
        <w:tc>
          <w:tcPr>
            <w:tcW w:w="1158" w:type="dxa"/>
            <w:vAlign w:val="center"/>
          </w:tcPr>
          <w:p w14:paraId="542D8D16" w14:textId="77777777" w:rsidR="007F4C85" w:rsidRPr="004F6DAA" w:rsidRDefault="007F4C85" w:rsidP="00992B23">
            <w:pPr>
              <w:spacing w:before="60" w:after="60"/>
              <w:jc w:val="center"/>
              <w:rPr>
                <w:noProof/>
                <w:sz w:val="20"/>
              </w:rPr>
            </w:pPr>
          </w:p>
        </w:tc>
      </w:tr>
    </w:tbl>
    <w:p w14:paraId="445BC0E9" w14:textId="77777777" w:rsidR="007F4C85" w:rsidRPr="004F6DAA" w:rsidRDefault="007F4C85" w:rsidP="007F4C85">
      <w:pPr>
        <w:rPr>
          <w:noProof/>
        </w:rPr>
      </w:pPr>
      <w:r w:rsidRPr="004F6DAA">
        <w:rPr>
          <w:noProof/>
        </w:rPr>
        <w:t xml:space="preserve"> </w:t>
      </w:r>
      <w:r w:rsidRPr="004F6DAA">
        <w:rPr>
          <w:noProof/>
        </w:rPr>
        <w:br/>
      </w:r>
    </w:p>
    <w:p w14:paraId="0F047666" w14:textId="77777777" w:rsidR="007F4C85" w:rsidRPr="004F6DAA" w:rsidRDefault="007F4C85" w:rsidP="007B7EB7">
      <w:pPr>
        <w:pStyle w:val="ManualHeading2"/>
        <w:rPr>
          <w:bCs/>
          <w:noProof/>
          <w:szCs w:val="24"/>
        </w:rPr>
      </w:pPr>
      <w:r w:rsidRPr="004F6DAA">
        <w:rPr>
          <w:noProof/>
        </w:rPr>
        <w:br w:type="page"/>
      </w:r>
      <w:r w:rsidR="007B7EB7" w:rsidRPr="007B7EB7">
        <w:t>3.3.</w:t>
      </w:r>
      <w:r w:rsidR="007B7EB7" w:rsidRPr="007B7EB7">
        <w:tab/>
      </w:r>
      <w:r w:rsidRPr="004F6DAA">
        <w:rPr>
          <w:noProof/>
        </w:rPr>
        <w:t xml:space="preserve">Szacunkowy wpływ na dochody </w:t>
      </w:r>
    </w:p>
    <w:p w14:paraId="393EF308" w14:textId="77777777" w:rsidR="007F4C85" w:rsidRPr="004F6DAA" w:rsidRDefault="007F4C85" w:rsidP="007F4C85">
      <w:pPr>
        <w:pStyle w:val="ListDash1"/>
        <w:rPr>
          <w:noProof/>
        </w:rPr>
      </w:pPr>
      <w:r w:rsidRPr="004F6DAA">
        <w:rPr>
          <w:noProof/>
        </w:rPr>
        <w:sym w:font="Wingdings" w:char="F0FE"/>
      </w:r>
      <w:r w:rsidRPr="004F6DAA">
        <w:rPr>
          <w:noProof/>
        </w:rPr>
        <w:tab/>
        <w:t>Wniosek/inicjatywa nie ma wpływu finansowego na dochody</w:t>
      </w:r>
    </w:p>
    <w:p w14:paraId="3EFE5ACA" w14:textId="77777777" w:rsidR="007F4C85" w:rsidRPr="004F6DAA" w:rsidRDefault="007F4C85" w:rsidP="007F4C85">
      <w:pPr>
        <w:pStyle w:val="ListDash1"/>
        <w:rPr>
          <w:noProof/>
        </w:rPr>
      </w:pPr>
      <w:r w:rsidRPr="004F6DAA">
        <w:rPr>
          <w:noProof/>
        </w:rPr>
        <w:sym w:font="Wingdings" w:char="F0A8"/>
      </w:r>
      <w:r w:rsidRPr="004F6DAA">
        <w:rPr>
          <w:noProof/>
        </w:rPr>
        <w:tab/>
        <w:t>Wniosek/inicjatywa ma wpływ finansowy określony poniżej:</w:t>
      </w:r>
    </w:p>
    <w:p w14:paraId="3EEDCBE7" w14:textId="77777777" w:rsidR="007F4C85" w:rsidRPr="004F6DAA" w:rsidRDefault="007F4C85" w:rsidP="007F4C85">
      <w:pPr>
        <w:pStyle w:val="ListNumberLevel3"/>
        <w:rPr>
          <w:noProof/>
        </w:rPr>
      </w:pPr>
      <w:r w:rsidRPr="004F6DAA">
        <w:rPr>
          <w:noProof/>
        </w:rPr>
        <w:sym w:font="Wingdings" w:char="F0A8"/>
      </w:r>
      <w:r w:rsidRPr="004F6DAA">
        <w:rPr>
          <w:noProof/>
        </w:rPr>
        <w:tab/>
        <w:t xml:space="preserve">wpływ na zasoby własne </w:t>
      </w:r>
    </w:p>
    <w:p w14:paraId="43B43290" w14:textId="77777777" w:rsidR="007F4C85" w:rsidRPr="004F6DAA" w:rsidRDefault="007F4C85" w:rsidP="007F4C85">
      <w:pPr>
        <w:pStyle w:val="ListNumberLevel3"/>
        <w:rPr>
          <w:noProof/>
        </w:rPr>
      </w:pPr>
      <w:r w:rsidRPr="004F6DAA">
        <w:rPr>
          <w:noProof/>
        </w:rPr>
        <w:sym w:font="Wingdings" w:char="F0A8"/>
      </w:r>
      <w:r w:rsidRPr="004F6DAA">
        <w:rPr>
          <w:noProof/>
        </w:rPr>
        <w:tab/>
        <w:t>wpływ na dochody inne</w:t>
      </w:r>
    </w:p>
    <w:p w14:paraId="73048963" w14:textId="77777777" w:rsidR="007F4C85" w:rsidRPr="004F6DAA" w:rsidRDefault="007F4C85" w:rsidP="007F4C85">
      <w:pPr>
        <w:pStyle w:val="ListNumberLevel3"/>
        <w:rPr>
          <w:noProof/>
        </w:rPr>
      </w:pPr>
      <w:r w:rsidRPr="004F6DAA">
        <w:rPr>
          <w:noProof/>
        </w:rPr>
        <w:t xml:space="preserve">Wskazać, czy dochody są przypisane do linii budżetowej po stronie wydatków </w:t>
      </w:r>
      <w:r w:rsidRPr="004F6DAA">
        <w:rPr>
          <w:noProof/>
        </w:rPr>
        <w:sym w:font="Wingdings" w:char="F0A8"/>
      </w:r>
      <w:r w:rsidRPr="004F6DAA">
        <w:rPr>
          <w:noProof/>
        </w:rPr>
        <w:tab/>
      </w:r>
    </w:p>
    <w:p w14:paraId="10179B52" w14:textId="77777777" w:rsidR="007F4C85" w:rsidRPr="004F6DAA" w:rsidRDefault="007F4C85" w:rsidP="007F4C85">
      <w:pPr>
        <w:ind w:left="4320"/>
        <w:rPr>
          <w:i/>
          <w:noProof/>
          <w:sz w:val="20"/>
        </w:rPr>
      </w:pPr>
      <w:r w:rsidRPr="004F6DAA">
        <w:rPr>
          <w:noProof/>
        </w:rPr>
        <w:t xml:space="preserve">    </w:t>
      </w:r>
      <w:r w:rsidR="00062BFA" w:rsidRPr="004F6DAA">
        <w:rPr>
          <w:noProof/>
        </w:rPr>
        <w:t xml:space="preserve"> w</w:t>
      </w:r>
      <w:r w:rsidR="00062BFA">
        <w:rPr>
          <w:noProof/>
        </w:rPr>
        <w:t> </w:t>
      </w:r>
      <w:r w:rsidR="00062BFA" w:rsidRPr="004F6DAA">
        <w:rPr>
          <w:noProof/>
        </w:rPr>
        <w:t>mln</w:t>
      </w:r>
      <w:r w:rsidRPr="004F6DAA">
        <w:rPr>
          <w:noProof/>
        </w:rPr>
        <w:t xml:space="preserve"> EUR (do trzech miejsc po przecinku)</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7F4C85" w:rsidRPr="004F6DAA" w14:paraId="567648BE" w14:textId="77777777" w:rsidTr="00992B23">
        <w:trPr>
          <w:trHeight w:val="388"/>
        </w:trPr>
        <w:tc>
          <w:tcPr>
            <w:tcW w:w="2144" w:type="dxa"/>
            <w:vMerge w:val="restart"/>
            <w:vAlign w:val="center"/>
          </w:tcPr>
          <w:p w14:paraId="74AE521B" w14:textId="77777777" w:rsidR="007F4C85" w:rsidRPr="004F6DAA" w:rsidRDefault="007F4C85" w:rsidP="00992B23">
            <w:pPr>
              <w:spacing w:before="40" w:after="40"/>
              <w:rPr>
                <w:noProof/>
                <w:sz w:val="18"/>
              </w:rPr>
            </w:pPr>
            <w:r w:rsidRPr="004F6DAA">
              <w:rPr>
                <w:noProof/>
                <w:sz w:val="18"/>
              </w:rPr>
              <w:t>Linia budżetowa po stronie dochodów</w:t>
            </w:r>
          </w:p>
        </w:tc>
        <w:tc>
          <w:tcPr>
            <w:tcW w:w="1325" w:type="dxa"/>
            <w:vMerge w:val="restart"/>
            <w:vAlign w:val="center"/>
          </w:tcPr>
          <w:p w14:paraId="5E90D449" w14:textId="77777777" w:rsidR="007F4C85" w:rsidRPr="004F6DAA" w:rsidRDefault="007F4C85" w:rsidP="00992B23">
            <w:pPr>
              <w:jc w:val="center"/>
              <w:rPr>
                <w:noProof/>
                <w:sz w:val="18"/>
              </w:rPr>
            </w:pPr>
            <w:r w:rsidRPr="004F6DAA">
              <w:rPr>
                <w:noProof/>
                <w:sz w:val="18"/>
              </w:rPr>
              <w:t>Środki zapisane</w:t>
            </w:r>
            <w:r w:rsidR="00062BFA" w:rsidRPr="004F6DAA">
              <w:rPr>
                <w:noProof/>
                <w:sz w:val="18"/>
              </w:rPr>
              <w:t xml:space="preserve"> w</w:t>
            </w:r>
            <w:r w:rsidR="00062BFA">
              <w:rPr>
                <w:noProof/>
                <w:sz w:val="18"/>
              </w:rPr>
              <w:t> </w:t>
            </w:r>
            <w:r w:rsidR="00062BFA" w:rsidRPr="004F6DAA">
              <w:rPr>
                <w:noProof/>
                <w:sz w:val="18"/>
              </w:rPr>
              <w:t>bud</w:t>
            </w:r>
            <w:r w:rsidRPr="004F6DAA">
              <w:rPr>
                <w:noProof/>
                <w:sz w:val="18"/>
              </w:rPr>
              <w:t>żecie na bieżący rok budżetowy</w:t>
            </w:r>
          </w:p>
        </w:tc>
        <w:tc>
          <w:tcPr>
            <w:tcW w:w="7151" w:type="dxa"/>
            <w:gridSpan w:val="7"/>
            <w:vAlign w:val="center"/>
          </w:tcPr>
          <w:p w14:paraId="752CE5BC" w14:textId="77777777" w:rsidR="007F4C85" w:rsidRPr="004F6DAA" w:rsidRDefault="007F4C85" w:rsidP="00992B23">
            <w:pPr>
              <w:jc w:val="center"/>
              <w:rPr>
                <w:noProof/>
                <w:sz w:val="18"/>
              </w:rPr>
            </w:pPr>
            <w:r w:rsidRPr="004F6DAA">
              <w:rPr>
                <w:noProof/>
                <w:sz w:val="18"/>
              </w:rPr>
              <w:t>Wpływ wniosku/inicjatywy</w:t>
            </w:r>
            <w:r w:rsidRPr="004F6DAA">
              <w:rPr>
                <w:rStyle w:val="Odwoanieprzypisudolnego"/>
                <w:noProof/>
                <w:sz w:val="18"/>
              </w:rPr>
              <w:footnoteReference w:id="69"/>
            </w:r>
          </w:p>
        </w:tc>
      </w:tr>
      <w:tr w:rsidR="007F4C85" w:rsidRPr="004F6DAA" w14:paraId="2B0AADB5" w14:textId="77777777" w:rsidTr="00992B23">
        <w:trPr>
          <w:trHeight w:val="388"/>
        </w:trPr>
        <w:tc>
          <w:tcPr>
            <w:tcW w:w="2144" w:type="dxa"/>
            <w:vMerge/>
          </w:tcPr>
          <w:p w14:paraId="12D18D26" w14:textId="77777777" w:rsidR="007F4C85" w:rsidRPr="004F6DAA" w:rsidRDefault="007F4C85" w:rsidP="00992B23">
            <w:pPr>
              <w:spacing w:before="40" w:after="40"/>
              <w:rPr>
                <w:noProof/>
                <w:sz w:val="18"/>
              </w:rPr>
            </w:pPr>
          </w:p>
        </w:tc>
        <w:tc>
          <w:tcPr>
            <w:tcW w:w="1325" w:type="dxa"/>
            <w:vMerge/>
          </w:tcPr>
          <w:p w14:paraId="0C20A268" w14:textId="77777777" w:rsidR="007F4C85" w:rsidRPr="004F6DAA" w:rsidRDefault="007F4C85" w:rsidP="00992B23">
            <w:pPr>
              <w:spacing w:beforeLines="40" w:before="96" w:afterLines="40" w:after="96"/>
              <w:rPr>
                <w:i/>
                <w:noProof/>
                <w:sz w:val="18"/>
              </w:rPr>
            </w:pPr>
          </w:p>
        </w:tc>
        <w:tc>
          <w:tcPr>
            <w:tcW w:w="1031" w:type="dxa"/>
            <w:vAlign w:val="center"/>
          </w:tcPr>
          <w:p w14:paraId="5B031AB7" w14:textId="77777777" w:rsidR="00B76B55" w:rsidRPr="004F6DAA" w:rsidRDefault="007F4C85" w:rsidP="00B76B55">
            <w:pPr>
              <w:contextualSpacing/>
              <w:jc w:val="center"/>
              <w:rPr>
                <w:noProof/>
                <w:sz w:val="18"/>
              </w:rPr>
            </w:pPr>
            <w:r w:rsidRPr="004F6DAA">
              <w:rPr>
                <w:noProof/>
                <w:sz w:val="18"/>
              </w:rPr>
              <w:t>Rok</w:t>
            </w:r>
          </w:p>
          <w:p w14:paraId="2124BB65" w14:textId="77777777" w:rsidR="007F4C85" w:rsidRPr="004F6DAA" w:rsidRDefault="007F4C85" w:rsidP="00B76B55">
            <w:pPr>
              <w:contextualSpacing/>
              <w:jc w:val="center"/>
              <w:rPr>
                <w:noProof/>
                <w:sz w:val="18"/>
              </w:rPr>
            </w:pPr>
            <w:r w:rsidRPr="004F6DAA">
              <w:rPr>
                <w:b/>
                <w:noProof/>
                <w:sz w:val="18"/>
              </w:rPr>
              <w:t>N</w:t>
            </w:r>
          </w:p>
        </w:tc>
        <w:tc>
          <w:tcPr>
            <w:tcW w:w="900" w:type="dxa"/>
            <w:vAlign w:val="center"/>
          </w:tcPr>
          <w:p w14:paraId="1935CE29" w14:textId="77777777" w:rsidR="00B76B55" w:rsidRPr="004F6DAA" w:rsidRDefault="007F4C85" w:rsidP="00B76B55">
            <w:pPr>
              <w:contextualSpacing/>
              <w:jc w:val="center"/>
              <w:rPr>
                <w:noProof/>
                <w:sz w:val="18"/>
              </w:rPr>
            </w:pPr>
            <w:r w:rsidRPr="004F6DAA">
              <w:rPr>
                <w:noProof/>
                <w:sz w:val="18"/>
              </w:rPr>
              <w:t>Rok</w:t>
            </w:r>
          </w:p>
          <w:p w14:paraId="4032C4C6" w14:textId="77777777" w:rsidR="007F4C85" w:rsidRPr="004F6DAA" w:rsidRDefault="007F4C85" w:rsidP="00B76B55">
            <w:pPr>
              <w:contextualSpacing/>
              <w:jc w:val="center"/>
              <w:rPr>
                <w:noProof/>
                <w:sz w:val="18"/>
              </w:rPr>
            </w:pPr>
            <w:r w:rsidRPr="004F6DAA">
              <w:rPr>
                <w:b/>
                <w:noProof/>
                <w:sz w:val="18"/>
              </w:rPr>
              <w:t>N + +1</w:t>
            </w:r>
          </w:p>
        </w:tc>
        <w:tc>
          <w:tcPr>
            <w:tcW w:w="900" w:type="dxa"/>
            <w:vAlign w:val="center"/>
          </w:tcPr>
          <w:p w14:paraId="76B3BD83" w14:textId="77777777" w:rsidR="00B76B55" w:rsidRPr="004F6DAA" w:rsidRDefault="007F4C85" w:rsidP="00B76B55">
            <w:pPr>
              <w:contextualSpacing/>
              <w:jc w:val="center"/>
              <w:rPr>
                <w:noProof/>
                <w:sz w:val="18"/>
              </w:rPr>
            </w:pPr>
            <w:r w:rsidRPr="004F6DAA">
              <w:rPr>
                <w:noProof/>
                <w:sz w:val="18"/>
              </w:rPr>
              <w:t>Rok</w:t>
            </w:r>
          </w:p>
          <w:p w14:paraId="687A45C5" w14:textId="77777777" w:rsidR="007F4C85" w:rsidRPr="004F6DAA" w:rsidRDefault="007F4C85" w:rsidP="00B76B55">
            <w:pPr>
              <w:contextualSpacing/>
              <w:jc w:val="center"/>
              <w:rPr>
                <w:noProof/>
                <w:sz w:val="18"/>
              </w:rPr>
            </w:pPr>
            <w:r w:rsidRPr="004F6DAA">
              <w:rPr>
                <w:b/>
                <w:noProof/>
                <w:sz w:val="18"/>
              </w:rPr>
              <w:t>N + +2</w:t>
            </w:r>
          </w:p>
        </w:tc>
        <w:tc>
          <w:tcPr>
            <w:tcW w:w="1080" w:type="dxa"/>
            <w:vAlign w:val="center"/>
          </w:tcPr>
          <w:p w14:paraId="35D38815" w14:textId="77777777" w:rsidR="00B76B55" w:rsidRPr="004F6DAA" w:rsidRDefault="007F4C85" w:rsidP="00B76B55">
            <w:pPr>
              <w:contextualSpacing/>
              <w:jc w:val="center"/>
              <w:rPr>
                <w:noProof/>
                <w:sz w:val="18"/>
              </w:rPr>
            </w:pPr>
            <w:r w:rsidRPr="004F6DAA">
              <w:rPr>
                <w:noProof/>
                <w:sz w:val="18"/>
              </w:rPr>
              <w:t>Rok</w:t>
            </w:r>
          </w:p>
          <w:p w14:paraId="0F186E97" w14:textId="77777777" w:rsidR="007F4C85" w:rsidRPr="004F6DAA" w:rsidRDefault="007F4C85" w:rsidP="00B76B55">
            <w:pPr>
              <w:contextualSpacing/>
              <w:jc w:val="center"/>
              <w:rPr>
                <w:noProof/>
                <w:sz w:val="18"/>
              </w:rPr>
            </w:pPr>
            <w:r w:rsidRPr="004F6DAA">
              <w:rPr>
                <w:b/>
                <w:noProof/>
                <w:sz w:val="18"/>
              </w:rPr>
              <w:t>N + 3</w:t>
            </w:r>
          </w:p>
        </w:tc>
        <w:tc>
          <w:tcPr>
            <w:tcW w:w="3240" w:type="dxa"/>
            <w:gridSpan w:val="3"/>
            <w:vAlign w:val="center"/>
          </w:tcPr>
          <w:p w14:paraId="37574BFB" w14:textId="77777777" w:rsidR="007F4C85" w:rsidRPr="004F6DAA" w:rsidRDefault="007F4C85" w:rsidP="00992B23">
            <w:pPr>
              <w:jc w:val="center"/>
              <w:rPr>
                <w:b/>
                <w:noProof/>
                <w:sz w:val="18"/>
              </w:rPr>
            </w:pPr>
            <w:r w:rsidRPr="004F6DAA">
              <w:rPr>
                <w:noProof/>
                <w:sz w:val="18"/>
              </w:rPr>
              <w:t xml:space="preserve">Wprowadzić taką liczbę kolumn dla poszczególnych lat, jaka jest niezbędna, by odzwierciedlić cały okres wpływu (por. </w:t>
            </w:r>
            <w:r w:rsidRPr="00062BFA">
              <w:rPr>
                <w:noProof/>
                <w:sz w:val="18"/>
              </w:rPr>
              <w:t>pkt</w:t>
            </w:r>
            <w:r w:rsidR="00062BFA" w:rsidRPr="00062BFA">
              <w:rPr>
                <w:noProof/>
                <w:sz w:val="18"/>
              </w:rPr>
              <w:t> </w:t>
            </w:r>
            <w:r w:rsidRPr="00062BFA">
              <w:rPr>
                <w:noProof/>
                <w:sz w:val="18"/>
              </w:rPr>
              <w:t>1</w:t>
            </w:r>
            <w:r w:rsidRPr="004F6DAA">
              <w:rPr>
                <w:noProof/>
                <w:sz w:val="18"/>
              </w:rPr>
              <w:t>.6)</w:t>
            </w:r>
          </w:p>
        </w:tc>
      </w:tr>
      <w:tr w:rsidR="007F4C85" w:rsidRPr="004F6DAA" w14:paraId="13B4AE19" w14:textId="77777777" w:rsidTr="00992B23">
        <w:trPr>
          <w:trHeight w:val="388"/>
        </w:trPr>
        <w:tc>
          <w:tcPr>
            <w:tcW w:w="2144" w:type="dxa"/>
            <w:vAlign w:val="center"/>
          </w:tcPr>
          <w:p w14:paraId="53B6C435" w14:textId="77777777" w:rsidR="007F4C85" w:rsidRPr="004F6DAA" w:rsidRDefault="007F4C85" w:rsidP="00992B23">
            <w:pPr>
              <w:spacing w:before="40" w:after="40"/>
              <w:rPr>
                <w:noProof/>
                <w:sz w:val="18"/>
              </w:rPr>
            </w:pPr>
            <w:r w:rsidRPr="004F6DAA">
              <w:rPr>
                <w:noProof/>
                <w:sz w:val="18"/>
              </w:rPr>
              <w:t>Artykuł …</w:t>
            </w:r>
          </w:p>
        </w:tc>
        <w:tc>
          <w:tcPr>
            <w:tcW w:w="1325" w:type="dxa"/>
          </w:tcPr>
          <w:p w14:paraId="2591FBB9" w14:textId="77777777" w:rsidR="007F4C85" w:rsidRPr="004F6DAA" w:rsidRDefault="007F4C85" w:rsidP="00992B23">
            <w:pPr>
              <w:spacing w:beforeLines="40" w:before="96" w:afterLines="40" w:after="96"/>
              <w:jc w:val="center"/>
              <w:rPr>
                <w:i/>
                <w:noProof/>
                <w:sz w:val="18"/>
              </w:rPr>
            </w:pPr>
          </w:p>
        </w:tc>
        <w:tc>
          <w:tcPr>
            <w:tcW w:w="1031" w:type="dxa"/>
          </w:tcPr>
          <w:p w14:paraId="6C72B335" w14:textId="77777777" w:rsidR="007F4C85" w:rsidRPr="004F6DAA" w:rsidRDefault="007F4C85" w:rsidP="00992B23">
            <w:pPr>
              <w:spacing w:beforeLines="40" w:before="96" w:afterLines="40" w:after="96"/>
              <w:jc w:val="center"/>
              <w:rPr>
                <w:noProof/>
                <w:sz w:val="18"/>
              </w:rPr>
            </w:pPr>
          </w:p>
        </w:tc>
        <w:tc>
          <w:tcPr>
            <w:tcW w:w="900" w:type="dxa"/>
          </w:tcPr>
          <w:p w14:paraId="0751F1A4" w14:textId="77777777" w:rsidR="007F4C85" w:rsidRPr="004F6DAA" w:rsidRDefault="007F4C85" w:rsidP="00992B23">
            <w:pPr>
              <w:spacing w:beforeLines="40" w:before="96" w:afterLines="40" w:after="96"/>
              <w:jc w:val="center"/>
              <w:rPr>
                <w:noProof/>
                <w:sz w:val="18"/>
              </w:rPr>
            </w:pPr>
          </w:p>
        </w:tc>
        <w:tc>
          <w:tcPr>
            <w:tcW w:w="900" w:type="dxa"/>
          </w:tcPr>
          <w:p w14:paraId="6DAFDDF1" w14:textId="77777777" w:rsidR="007F4C85" w:rsidRPr="004F6DAA" w:rsidRDefault="007F4C85" w:rsidP="00992B23">
            <w:pPr>
              <w:spacing w:beforeLines="40" w:before="96" w:afterLines="40" w:after="96"/>
              <w:jc w:val="center"/>
              <w:rPr>
                <w:noProof/>
                <w:sz w:val="18"/>
              </w:rPr>
            </w:pPr>
          </w:p>
        </w:tc>
        <w:tc>
          <w:tcPr>
            <w:tcW w:w="1080" w:type="dxa"/>
          </w:tcPr>
          <w:p w14:paraId="0EE25DB1" w14:textId="77777777" w:rsidR="007F4C85" w:rsidRPr="004F6DAA" w:rsidRDefault="007F4C85" w:rsidP="00992B23">
            <w:pPr>
              <w:spacing w:beforeLines="40" w:before="96" w:afterLines="40" w:after="96"/>
              <w:jc w:val="center"/>
              <w:rPr>
                <w:noProof/>
                <w:sz w:val="18"/>
              </w:rPr>
            </w:pPr>
          </w:p>
        </w:tc>
        <w:tc>
          <w:tcPr>
            <w:tcW w:w="1080" w:type="dxa"/>
          </w:tcPr>
          <w:p w14:paraId="1D30FB96" w14:textId="77777777" w:rsidR="007F4C85" w:rsidRPr="004F6DAA" w:rsidRDefault="007F4C85" w:rsidP="00992B23">
            <w:pPr>
              <w:spacing w:beforeLines="40" w:before="96" w:afterLines="40" w:after="96"/>
              <w:jc w:val="center"/>
              <w:rPr>
                <w:noProof/>
                <w:sz w:val="18"/>
              </w:rPr>
            </w:pPr>
          </w:p>
        </w:tc>
        <w:tc>
          <w:tcPr>
            <w:tcW w:w="1080" w:type="dxa"/>
          </w:tcPr>
          <w:p w14:paraId="7B306A60" w14:textId="77777777" w:rsidR="007F4C85" w:rsidRPr="004F6DAA" w:rsidRDefault="007F4C85" w:rsidP="00992B23">
            <w:pPr>
              <w:spacing w:beforeLines="40" w:before="96" w:afterLines="40" w:after="96"/>
              <w:jc w:val="center"/>
              <w:rPr>
                <w:noProof/>
                <w:sz w:val="18"/>
              </w:rPr>
            </w:pPr>
          </w:p>
        </w:tc>
        <w:tc>
          <w:tcPr>
            <w:tcW w:w="1080" w:type="dxa"/>
          </w:tcPr>
          <w:p w14:paraId="0B6DF09F" w14:textId="77777777" w:rsidR="007F4C85" w:rsidRPr="004F6DAA" w:rsidRDefault="007F4C85" w:rsidP="00992B23">
            <w:pPr>
              <w:spacing w:beforeLines="40" w:before="96" w:afterLines="40" w:after="96"/>
              <w:jc w:val="center"/>
              <w:rPr>
                <w:noProof/>
                <w:sz w:val="18"/>
              </w:rPr>
            </w:pPr>
          </w:p>
        </w:tc>
      </w:tr>
    </w:tbl>
    <w:p w14:paraId="1587C09D" w14:textId="77777777" w:rsidR="007F4C85" w:rsidRPr="004F6DAA" w:rsidRDefault="007F4C85" w:rsidP="007F4C85">
      <w:pPr>
        <w:pStyle w:val="Text1"/>
        <w:rPr>
          <w:noProof/>
          <w:sz w:val="20"/>
        </w:rPr>
      </w:pPr>
      <w:r w:rsidRPr="004F6DAA">
        <w:rPr>
          <w:noProof/>
          <w:sz w:val="20"/>
        </w:rPr>
        <w:t>W przypadku wpływu na dochody przeznaczone na określony cel należy wskazać linie budżetowe po stronie wydatków, które ten wpływ obejmie.</w:t>
      </w:r>
    </w:p>
    <w:p w14:paraId="13F4FE1C"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p>
    <w:p w14:paraId="38C53F0E" w14:textId="77777777" w:rsidR="007F4C85" w:rsidRPr="004F6DAA" w:rsidRDefault="007F4C85" w:rsidP="007F4C85">
      <w:pPr>
        <w:pStyle w:val="Text1"/>
        <w:rPr>
          <w:noProof/>
          <w:sz w:val="20"/>
        </w:rPr>
      </w:pPr>
      <w:r w:rsidRPr="004F6DAA">
        <w:rPr>
          <w:noProof/>
          <w:sz w:val="20"/>
        </w:rPr>
        <w:t>Pozostałe uwagi (np. metoda/wzór użyte do obliczenia wpływu na dochody albo inne informacje).</w:t>
      </w:r>
    </w:p>
    <w:p w14:paraId="0210CF7C" w14:textId="77777777" w:rsidR="007F4C85" w:rsidRPr="004F6DAA" w:rsidRDefault="007F4C85" w:rsidP="007F4C85">
      <w:pPr>
        <w:pStyle w:val="Text1"/>
        <w:pBdr>
          <w:top w:val="single" w:sz="4" w:space="1" w:color="auto"/>
          <w:left w:val="single" w:sz="4" w:space="4" w:color="auto"/>
          <w:bottom w:val="single" w:sz="4" w:space="1" w:color="auto"/>
          <w:right w:val="single" w:sz="4" w:space="4" w:color="auto"/>
        </w:pBdr>
        <w:rPr>
          <w:noProof/>
        </w:rPr>
      </w:pPr>
    </w:p>
    <w:p w14:paraId="59F481E4" w14:textId="77777777" w:rsidR="007F4C85" w:rsidRPr="004F6DAA" w:rsidRDefault="007F4C85" w:rsidP="007F4C85">
      <w:pPr>
        <w:rPr>
          <w:noProof/>
        </w:rPr>
      </w:pPr>
    </w:p>
    <w:sectPr w:rsidR="007F4C85" w:rsidRPr="004F6DAA" w:rsidSect="00007A34">
      <w:pgSz w:w="11907" w:h="16840" w:code="9"/>
      <w:pgMar w:top="1134"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cek Cichocki" w:date="2022-01-22T23:26:00Z" w:initials="JC">
    <w:p w14:paraId="2F7FF8B0" w14:textId="77777777" w:rsidR="00E353E8" w:rsidRDefault="00E353E8" w:rsidP="007F2A93">
      <w:pPr>
        <w:pStyle w:val="Tekstkomentarza"/>
        <w:jc w:val="left"/>
      </w:pPr>
      <w:r>
        <w:rPr>
          <w:rStyle w:val="Odwoaniedokomentarza"/>
        </w:rPr>
        <w:annotationRef/>
      </w:r>
      <w:r>
        <w:t xml:space="preserve">W Polsce prowadzona jest zrównoważona gospodarka leśna /zrównoważone uzytkowanie/. </w:t>
      </w:r>
    </w:p>
  </w:comment>
  <w:comment w:id="1" w:author="Jacek Cichocki" w:date="2022-01-22T23:27:00Z" w:initials="JC">
    <w:p w14:paraId="370BEA09" w14:textId="77777777" w:rsidR="00A57657" w:rsidRDefault="00A57657" w:rsidP="00E64E47">
      <w:pPr>
        <w:pStyle w:val="Tekstkomentarza"/>
        <w:jc w:val="left"/>
      </w:pPr>
      <w:r>
        <w:rPr>
          <w:rStyle w:val="Odwoaniedokomentarza"/>
        </w:rPr>
        <w:annotationRef/>
      </w:r>
      <w:r>
        <w:t xml:space="preserve">Bardzo ogólne stwierdzenie i nieprawdziwe. </w:t>
      </w:r>
    </w:p>
  </w:comment>
  <w:comment w:id="2" w:author="Jacek Cichocki" w:date="2022-01-22T23:29:00Z" w:initials="JC">
    <w:p w14:paraId="73B40F9A" w14:textId="77777777" w:rsidR="005E30FF" w:rsidRDefault="005E30FF" w:rsidP="00572A3C">
      <w:pPr>
        <w:pStyle w:val="Tekstkomentarza"/>
        <w:jc w:val="left"/>
      </w:pPr>
      <w:r>
        <w:rPr>
          <w:rStyle w:val="Odwoaniedokomentarza"/>
        </w:rPr>
        <w:annotationRef/>
      </w:r>
      <w:r>
        <w:t xml:space="preserve">UE powinna ograniczyć albo wyeliminować sprowadzanie surowców lub produktów pochodzących z prowadzonej w sposób rabunkowy gospodarki lesnej. </w:t>
      </w:r>
    </w:p>
  </w:comment>
  <w:comment w:id="3" w:author="Jacek Cichocki" w:date="2022-01-22T23:32:00Z" w:initials="JC">
    <w:p w14:paraId="257FE27F" w14:textId="77777777" w:rsidR="00BB4801" w:rsidRDefault="00BB4801" w:rsidP="00572001">
      <w:pPr>
        <w:pStyle w:val="Tekstkomentarza"/>
        <w:jc w:val="left"/>
      </w:pPr>
      <w:r>
        <w:rPr>
          <w:rStyle w:val="Odwoaniedokomentarza"/>
        </w:rPr>
        <w:annotationRef/>
      </w:r>
      <w:r>
        <w:t xml:space="preserve">W zielonym ładzie położono na bierną ochronę pomijając zrównoważone uzytkowanie lasów. </w:t>
      </w:r>
    </w:p>
  </w:comment>
  <w:comment w:id="4" w:author="Jacek Cichocki" w:date="2022-01-22T23:34:00Z" w:initials="JC">
    <w:p w14:paraId="505DF11D" w14:textId="77777777" w:rsidR="00ED0BFD" w:rsidRDefault="00ED0BFD" w:rsidP="0042103E">
      <w:pPr>
        <w:pStyle w:val="Tekstkomentarza"/>
        <w:jc w:val="left"/>
      </w:pPr>
      <w:r>
        <w:rPr>
          <w:rStyle w:val="Odwoaniedokomentarza"/>
        </w:rPr>
        <w:annotationRef/>
      </w:r>
      <w:r>
        <w:t xml:space="preserve">W nioskodawcy są hipokrytami, nie są konsekwetni w tym co piszą. </w:t>
      </w:r>
    </w:p>
  </w:comment>
  <w:comment w:id="5" w:author="Jacek Cichocki" w:date="2022-01-22T23:36:00Z" w:initials="JC">
    <w:p w14:paraId="5F91AC74" w14:textId="77777777" w:rsidR="00CF44EE" w:rsidRDefault="00CF44EE" w:rsidP="002D4770">
      <w:pPr>
        <w:pStyle w:val="Tekstkomentarza"/>
        <w:jc w:val="left"/>
      </w:pPr>
      <w:r>
        <w:rPr>
          <w:rStyle w:val="Odwoaniedokomentarza"/>
        </w:rPr>
        <w:annotationRef/>
      </w:r>
      <w:r>
        <w:t xml:space="preserve">To obnaża słabość unijnych urzędów, prawdopodobnie na szeroką skalę działa korupcja. </w:t>
      </w:r>
    </w:p>
  </w:comment>
  <w:comment w:id="6" w:author="Jacek Cichocki" w:date="2022-01-22T23:41:00Z" w:initials="JC">
    <w:p w14:paraId="598B41A5" w14:textId="77777777" w:rsidR="00DD4781" w:rsidRDefault="00DD4781" w:rsidP="00FF561A">
      <w:pPr>
        <w:pStyle w:val="Tekstkomentarza"/>
        <w:jc w:val="left"/>
      </w:pPr>
      <w:r>
        <w:rPr>
          <w:rStyle w:val="Odwoaniedokomentarza"/>
        </w:rPr>
        <w:annotationRef/>
      </w:r>
      <w:r>
        <w:t xml:space="preserve">UE wnika zbyt głęboko, narzuca pewien porządek prawny, tym samym ogranicza suwerenność państw. </w:t>
      </w:r>
    </w:p>
  </w:comment>
  <w:comment w:id="7" w:author="Jacek Cichocki" w:date="2022-01-22T23:50:00Z" w:initials="JC">
    <w:p w14:paraId="236A478A" w14:textId="77777777" w:rsidR="009375F4" w:rsidRDefault="009375F4" w:rsidP="00D96CE9">
      <w:pPr>
        <w:pStyle w:val="Tekstkomentarza"/>
        <w:jc w:val="left"/>
      </w:pPr>
      <w:r>
        <w:rPr>
          <w:rStyle w:val="Odwoaniedokomentarza"/>
        </w:rPr>
        <w:annotationRef/>
      </w:r>
      <w:r>
        <w:t xml:space="preserve">Zbyt daleko idące działania. Przypomina to system nakazowy rodem z PRL. </w:t>
      </w:r>
    </w:p>
  </w:comment>
  <w:comment w:id="8" w:author="Jacek Cichocki" w:date="2022-01-22T23:54:00Z" w:initials="JC">
    <w:p w14:paraId="0BFDF82B" w14:textId="77777777" w:rsidR="00FF7AB1" w:rsidRDefault="00FF7AB1" w:rsidP="000B3B2F">
      <w:pPr>
        <w:pStyle w:val="Tekstkomentarza"/>
        <w:jc w:val="left"/>
      </w:pPr>
      <w:r>
        <w:rPr>
          <w:rStyle w:val="Odwoaniedokomentarza"/>
        </w:rPr>
        <w:annotationRef/>
      </w:r>
      <w:r>
        <w:t xml:space="preserve">Niezrozumiały zapis.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FF8B0" w15:done="0"/>
  <w15:commentEx w15:paraId="370BEA09" w15:done="0"/>
  <w15:commentEx w15:paraId="73B40F9A" w15:done="0"/>
  <w15:commentEx w15:paraId="257FE27F" w15:done="0"/>
  <w15:commentEx w15:paraId="505DF11D" w15:done="0"/>
  <w15:commentEx w15:paraId="5F91AC74" w15:done="0"/>
  <w15:commentEx w15:paraId="598B41A5" w15:done="0"/>
  <w15:commentEx w15:paraId="236A478A" w15:done="0"/>
  <w15:commentEx w15:paraId="0BFDF8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1118" w16cex:dateUtc="2022-01-22T22:26:00Z"/>
  <w16cex:commentExtensible w16cex:durableId="25971150" w16cex:dateUtc="2022-01-22T22:27:00Z"/>
  <w16cex:commentExtensible w16cex:durableId="259711C1" w16cex:dateUtc="2022-01-22T22:29:00Z"/>
  <w16cex:commentExtensible w16cex:durableId="259712A7" w16cex:dateUtc="2022-01-22T22:32:00Z"/>
  <w16cex:commentExtensible w16cex:durableId="25971307" w16cex:dateUtc="2022-01-22T22:34:00Z"/>
  <w16cex:commentExtensible w16cex:durableId="25971373" w16cex:dateUtc="2022-01-22T22:36:00Z"/>
  <w16cex:commentExtensible w16cex:durableId="259714C1" w16cex:dateUtc="2022-01-22T22:41:00Z"/>
  <w16cex:commentExtensible w16cex:durableId="259716DA" w16cex:dateUtc="2022-01-22T22:50:00Z"/>
  <w16cex:commentExtensible w16cex:durableId="259717C9" w16cex:dateUtc="2022-01-22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FF8B0" w16cid:durableId="25971118"/>
  <w16cid:commentId w16cid:paraId="370BEA09" w16cid:durableId="25971150"/>
  <w16cid:commentId w16cid:paraId="73B40F9A" w16cid:durableId="259711C1"/>
  <w16cid:commentId w16cid:paraId="257FE27F" w16cid:durableId="259712A7"/>
  <w16cid:commentId w16cid:paraId="505DF11D" w16cid:durableId="25971307"/>
  <w16cid:commentId w16cid:paraId="5F91AC74" w16cid:durableId="25971373"/>
  <w16cid:commentId w16cid:paraId="598B41A5" w16cid:durableId="259714C1"/>
  <w16cid:commentId w16cid:paraId="236A478A" w16cid:durableId="259716DA"/>
  <w16cid:commentId w16cid:paraId="0BFDF82B" w16cid:durableId="259717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2D36" w14:textId="77777777" w:rsidR="0013610D" w:rsidRDefault="0013610D" w:rsidP="001C3FCC">
      <w:pPr>
        <w:spacing w:before="0" w:after="0"/>
      </w:pPr>
      <w:r>
        <w:separator/>
      </w:r>
    </w:p>
  </w:endnote>
  <w:endnote w:type="continuationSeparator" w:id="0">
    <w:p w14:paraId="7387521B" w14:textId="77777777" w:rsidR="0013610D" w:rsidRDefault="0013610D" w:rsidP="001C3F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EUAlbertina">
    <w:altName w:val="EU Albertina"/>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4841" w14:textId="77777777" w:rsidR="00062BFA" w:rsidRPr="00007A34" w:rsidRDefault="00007A34" w:rsidP="00007A34">
    <w:pPr>
      <w:pStyle w:val="Stopka"/>
      <w:rPr>
        <w:rFonts w:ascii="Arial" w:hAnsi="Arial" w:cs="Arial"/>
        <w:b/>
        <w:sz w:val="48"/>
      </w:rPr>
    </w:pPr>
    <w:r w:rsidRPr="00007A34">
      <w:rPr>
        <w:rFonts w:ascii="Arial" w:hAnsi="Arial" w:cs="Arial"/>
        <w:b/>
        <w:sz w:val="48"/>
      </w:rPr>
      <w:t>PL</w:t>
    </w:r>
    <w:r w:rsidRPr="00007A34">
      <w:rPr>
        <w:rFonts w:ascii="Arial" w:hAnsi="Arial" w:cs="Arial"/>
        <w:b/>
        <w:sz w:val="48"/>
      </w:rPr>
      <w:tab/>
    </w:r>
    <w:r w:rsidRPr="00007A34">
      <w:rPr>
        <w:rFonts w:ascii="Arial" w:hAnsi="Arial" w:cs="Arial"/>
        <w:b/>
        <w:sz w:val="48"/>
      </w:rPr>
      <w:tab/>
    </w:r>
    <w:r w:rsidRPr="00007A34">
      <w:tab/>
    </w:r>
    <w:r w:rsidRPr="00007A34">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E7A1" w14:textId="77777777" w:rsidR="00007A34" w:rsidRPr="00007A34" w:rsidRDefault="00007A34" w:rsidP="00007A34">
    <w:pPr>
      <w:pStyle w:val="Stopka"/>
      <w:rPr>
        <w:rFonts w:ascii="Arial" w:hAnsi="Arial" w:cs="Arial"/>
        <w:b/>
        <w:sz w:val="48"/>
      </w:rPr>
    </w:pPr>
    <w:r w:rsidRPr="00007A34">
      <w:rPr>
        <w:rFonts w:ascii="Arial" w:hAnsi="Arial" w:cs="Arial"/>
        <w:b/>
        <w:sz w:val="48"/>
      </w:rPr>
      <w:t>PL</w:t>
    </w:r>
    <w:r w:rsidRPr="00007A34">
      <w:rPr>
        <w:rFonts w:ascii="Arial" w:hAnsi="Arial" w:cs="Arial"/>
        <w:b/>
        <w:sz w:val="48"/>
      </w:rPr>
      <w:tab/>
    </w:r>
    <w:r>
      <w:fldChar w:fldCharType="begin"/>
    </w:r>
    <w:r>
      <w:instrText xml:space="preserve"> PAGE  \* MERGEFORMAT </w:instrText>
    </w:r>
    <w:r>
      <w:fldChar w:fldCharType="separate"/>
    </w:r>
    <w:r w:rsidR="00CF62AF">
      <w:rPr>
        <w:noProof/>
      </w:rPr>
      <w:t>64</w:t>
    </w:r>
    <w:r>
      <w:fldChar w:fldCharType="end"/>
    </w:r>
    <w:r>
      <w:tab/>
    </w:r>
    <w:r w:rsidRPr="00007A34">
      <w:tab/>
    </w:r>
    <w:r w:rsidRPr="00007A34">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DE83" w14:textId="77777777" w:rsidR="00007A34" w:rsidRPr="00007A34" w:rsidRDefault="00007A34" w:rsidP="00007A3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5C5F" w14:textId="77777777" w:rsidR="00007A34" w:rsidRPr="00007A34" w:rsidRDefault="00007A34" w:rsidP="00007A34">
    <w:pPr>
      <w:pStyle w:val="FooterLandscape"/>
      <w:rPr>
        <w:rFonts w:ascii="Arial" w:hAnsi="Arial" w:cs="Arial"/>
        <w:b/>
        <w:sz w:val="48"/>
      </w:rPr>
    </w:pPr>
    <w:r w:rsidRPr="00007A34">
      <w:rPr>
        <w:rFonts w:ascii="Arial" w:hAnsi="Arial" w:cs="Arial"/>
        <w:b/>
        <w:sz w:val="48"/>
      </w:rPr>
      <w:t>PL</w:t>
    </w:r>
    <w:r w:rsidRPr="00007A3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07A34">
      <w:tab/>
    </w:r>
    <w:r w:rsidRPr="00007A34">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1C2F" w14:textId="77777777" w:rsidR="00007A34" w:rsidRPr="00007A34" w:rsidRDefault="00007A34" w:rsidP="00007A34">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1D87" w14:textId="77777777" w:rsidR="002B56DE" w:rsidRPr="00007A34" w:rsidRDefault="00007A34" w:rsidP="00007A34">
    <w:pPr>
      <w:pStyle w:val="Stopka"/>
      <w:rPr>
        <w:rFonts w:ascii="Arial" w:hAnsi="Arial" w:cs="Arial"/>
        <w:b/>
        <w:sz w:val="48"/>
      </w:rPr>
    </w:pPr>
    <w:r w:rsidRPr="00007A34">
      <w:rPr>
        <w:rFonts w:ascii="Arial" w:hAnsi="Arial" w:cs="Arial"/>
        <w:b/>
        <w:sz w:val="48"/>
      </w:rPr>
      <w:t>PL</w:t>
    </w:r>
    <w:r w:rsidRPr="00007A3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07A34">
      <w:tab/>
    </w:r>
    <w:r w:rsidRPr="00007A34">
      <w:rPr>
        <w:rFonts w:ascii="Arial" w:hAnsi="Arial" w:cs="Arial"/>
        <w:b/>
        <w:sz w:val="48"/>
      </w:rPr>
      <w:t>PL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6778" w14:textId="77777777" w:rsidR="00007A34" w:rsidRPr="00007A34" w:rsidRDefault="00007A34" w:rsidP="00007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7E2B" w14:textId="77777777" w:rsidR="0013610D" w:rsidRDefault="0013610D" w:rsidP="001C3FCC">
      <w:pPr>
        <w:spacing w:before="0" w:after="0"/>
      </w:pPr>
      <w:r>
        <w:separator/>
      </w:r>
    </w:p>
  </w:footnote>
  <w:footnote w:type="continuationSeparator" w:id="0">
    <w:p w14:paraId="6C1D7CDB" w14:textId="77777777" w:rsidR="0013610D" w:rsidRDefault="0013610D" w:rsidP="001C3FCC">
      <w:pPr>
        <w:spacing w:before="0" w:after="0"/>
      </w:pPr>
      <w:r>
        <w:continuationSeparator/>
      </w:r>
    </w:p>
  </w:footnote>
  <w:footnote w:id="1">
    <w:p w14:paraId="24D87FDB" w14:textId="77777777" w:rsidR="002B56DE" w:rsidRPr="00144602" w:rsidRDefault="002B56DE" w:rsidP="000A54B7">
      <w:pPr>
        <w:pStyle w:val="Tekstprzypisudolnego"/>
        <w:ind w:left="0" w:firstLine="0"/>
      </w:pPr>
      <w:r>
        <w:rPr>
          <w:rStyle w:val="Odwoanieprzypisudolnego"/>
        </w:rPr>
        <w:footnoteRef/>
      </w:r>
      <w:r>
        <w:tab/>
        <w:t>Komunikat Komisji do Parlamentu Europejskiego, Rady, Europejskiego Komitetu Ekonomiczno-Społecznego</w:t>
      </w:r>
      <w:r w:rsidR="00062BFA">
        <w:t xml:space="preserve"> i Kom</w:t>
      </w:r>
      <w:r>
        <w:t>itetu Regionów – Zintensyfikowanie działań UE na rzecz ochrony</w:t>
      </w:r>
      <w:r w:rsidR="00062BFA">
        <w:t xml:space="preserve"> i odt</w:t>
      </w:r>
      <w:r>
        <w:t>warzania światowych lasów, COM(2019) 352 final.</w:t>
      </w:r>
    </w:p>
  </w:footnote>
  <w:footnote w:id="2">
    <w:p w14:paraId="20ADC2A3" w14:textId="77777777" w:rsidR="002B56DE" w:rsidRPr="00144602" w:rsidRDefault="002B56DE" w:rsidP="000A54B7">
      <w:pPr>
        <w:pStyle w:val="Tekstprzypisudolnego"/>
        <w:ind w:left="0" w:firstLine="0"/>
      </w:pPr>
      <w:r>
        <w:rPr>
          <w:rStyle w:val="Odwoanieprzypisudolnego"/>
        </w:rPr>
        <w:footnoteRef/>
      </w:r>
      <w:r>
        <w:tab/>
        <w:t>Komunikat Komisji do Parlamentu Europejskiego, Rady, Komitetu Ekonomiczno-Społecznego</w:t>
      </w:r>
      <w:r w:rsidR="00062BFA">
        <w:t xml:space="preserve"> i Kom</w:t>
      </w:r>
      <w:r>
        <w:t>itetu Regionów, Europejski Zielony Ład, COM(2019) 640 final.</w:t>
      </w:r>
    </w:p>
  </w:footnote>
  <w:footnote w:id="3">
    <w:p w14:paraId="4510A508" w14:textId="77777777" w:rsidR="002B56DE" w:rsidRPr="00144602" w:rsidRDefault="002B56DE" w:rsidP="000A54B7">
      <w:pPr>
        <w:pStyle w:val="Tekstprzypisudolnego"/>
        <w:ind w:left="0" w:firstLine="0"/>
      </w:pPr>
      <w:r>
        <w:rPr>
          <w:rStyle w:val="Odwoanieprzypisudolnego"/>
        </w:rPr>
        <w:footnoteRef/>
      </w:r>
      <w:r>
        <w:tab/>
        <w:t>Komunikat Komisji do Parlamentu Europejskiego, Rady, Europejskiego Komitetu Ekonomiczno-Społecznego</w:t>
      </w:r>
      <w:r w:rsidR="00062BFA">
        <w:t xml:space="preserve"> i Kom</w:t>
      </w:r>
      <w:r>
        <w:t>itetu Regionów – Unijna strategia na rzecz bioróżnorodności 2030 – Przywracanie przyrody do naszego życia, COM(2020) 380 final.</w:t>
      </w:r>
    </w:p>
  </w:footnote>
  <w:footnote w:id="4">
    <w:p w14:paraId="2A97F821" w14:textId="77777777" w:rsidR="002B56DE" w:rsidRPr="00144602" w:rsidRDefault="002B56DE" w:rsidP="000A54B7">
      <w:pPr>
        <w:pStyle w:val="Tekstprzypisudolnego"/>
        <w:ind w:left="0" w:firstLine="0"/>
      </w:pPr>
      <w:r>
        <w:rPr>
          <w:rStyle w:val="Odwoanieprzypisudolnego"/>
        </w:rPr>
        <w:footnoteRef/>
      </w:r>
      <w:r>
        <w:tab/>
        <w:t>Komunikat Komisji do Parlamentu Europejskiego, Rady, Europejskiego Komitetu Ekonomiczno-Społecznego</w:t>
      </w:r>
      <w:r w:rsidR="00062BFA">
        <w:t xml:space="preserve"> i Kom</w:t>
      </w:r>
      <w:r>
        <w:t>itetu Regionów – Strategia „od pola do stołu” na rzecz sprawiedliwego, zdrowego</w:t>
      </w:r>
      <w:r w:rsidR="00062BFA">
        <w:t xml:space="preserve"> i prz</w:t>
      </w:r>
      <w:r>
        <w:t>yjaznego dla środowiska systemu żywnościowego, COM(2020) 381 final.</w:t>
      </w:r>
    </w:p>
  </w:footnote>
  <w:footnote w:id="5">
    <w:p w14:paraId="2316C3C3" w14:textId="77777777" w:rsidR="002B56DE" w:rsidRPr="0028306A" w:rsidRDefault="002B56DE" w:rsidP="000A54B7">
      <w:pPr>
        <w:pStyle w:val="Tekstprzypisudolnego"/>
        <w:ind w:left="0" w:firstLine="0"/>
      </w:pPr>
      <w:r>
        <w:rPr>
          <w:rStyle w:val="Odwoanieprzypisudolnego"/>
        </w:rPr>
        <w:footnoteRef/>
      </w:r>
      <w:r>
        <w:tab/>
        <w:t>Komunikat Komisji do Rady</w:t>
      </w:r>
      <w:r w:rsidR="00062BFA">
        <w:t xml:space="preserve"> i Par</w:t>
      </w:r>
      <w:r>
        <w:t>lamentu Europejskiego – Egzekwowanie prawa, zarządzanie</w:t>
      </w:r>
      <w:r w:rsidR="00062BFA">
        <w:t xml:space="preserve"> i han</w:t>
      </w:r>
      <w:r>
        <w:t>del</w:t>
      </w:r>
      <w:r w:rsidR="00062BFA">
        <w:t xml:space="preserve"> w dzi</w:t>
      </w:r>
      <w:r>
        <w:t>edzinie leśnictwa (FLEGT) – Wniosek</w:t>
      </w:r>
      <w:r w:rsidR="00062BFA">
        <w:t xml:space="preserve"> w spr</w:t>
      </w:r>
      <w:r>
        <w:t>awie planu działania UE (COM/2003/251 final).</w:t>
      </w:r>
    </w:p>
  </w:footnote>
  <w:footnote w:id="6">
    <w:p w14:paraId="3B60C50A" w14:textId="77777777" w:rsidR="002B56DE" w:rsidRPr="0028306A" w:rsidRDefault="002B56DE" w:rsidP="000A54B7">
      <w:pPr>
        <w:pStyle w:val="Tekstprzypisudolnego"/>
        <w:ind w:left="0" w:firstLine="0"/>
      </w:pPr>
      <w:r>
        <w:rPr>
          <w:rStyle w:val="Odwoanieprzypisudolnego"/>
        </w:rPr>
        <w:footnoteRef/>
      </w:r>
      <w:r>
        <w:tab/>
        <w:t xml:space="preserve">Rozporządzenie Rady (WE) </w:t>
      </w:r>
      <w:r w:rsidRPr="00062BFA">
        <w:t>nr</w:t>
      </w:r>
      <w:r w:rsidR="00062BFA" w:rsidRPr="00062BFA">
        <w:t> </w:t>
      </w:r>
      <w:r w:rsidRPr="00062BFA">
        <w:t>2</w:t>
      </w:r>
      <w:r>
        <w:t>173/2005</w:t>
      </w:r>
      <w:r w:rsidR="00062BFA">
        <w:t xml:space="preserve"> z dni</w:t>
      </w:r>
      <w:r>
        <w:t>a 20 grudnia 20</w:t>
      </w:r>
      <w:r w:rsidRPr="00062BFA">
        <w:t>05</w:t>
      </w:r>
      <w:r w:rsidR="00062BFA" w:rsidRPr="00062BFA">
        <w:t> </w:t>
      </w:r>
      <w:r w:rsidRPr="00062BFA">
        <w:t>r.</w:t>
      </w:r>
      <w:r w:rsidR="00062BFA">
        <w:t xml:space="preserve"> w spr</w:t>
      </w:r>
      <w:r>
        <w:t>awie ustanowienia systemu zezwoleń na przywóz drewna do Wspólnoty Europejskiej FLEGT</w:t>
      </w:r>
    </w:p>
  </w:footnote>
  <w:footnote w:id="7">
    <w:p w14:paraId="0A73E920" w14:textId="77777777" w:rsidR="002B56DE" w:rsidRPr="0028306A" w:rsidRDefault="002B56DE" w:rsidP="000A54B7">
      <w:pPr>
        <w:pStyle w:val="Tekstprzypisudolnego"/>
        <w:ind w:left="0" w:firstLine="0"/>
      </w:pPr>
      <w:r>
        <w:rPr>
          <w:rStyle w:val="Odwoanieprzypisudolnego"/>
        </w:rPr>
        <w:footnoteRef/>
      </w:r>
      <w:r>
        <w:tab/>
        <w:t>Rozporządzenie Parlamentu Europejskiego</w:t>
      </w:r>
      <w:r w:rsidR="00062BFA">
        <w:t xml:space="preserve"> i Rad</w:t>
      </w:r>
      <w:r>
        <w:t xml:space="preserve">y (UE) </w:t>
      </w:r>
      <w:r w:rsidRPr="00062BFA">
        <w:t>nr</w:t>
      </w:r>
      <w:r w:rsidR="00062BFA" w:rsidRPr="00062BFA">
        <w:t> </w:t>
      </w:r>
      <w:r w:rsidRPr="00062BFA">
        <w:t>9</w:t>
      </w:r>
      <w:r>
        <w:t>95/2010</w:t>
      </w:r>
      <w:r w:rsidR="00062BFA">
        <w:t xml:space="preserve"> z dni</w:t>
      </w:r>
      <w:r>
        <w:t>a 20 października 20</w:t>
      </w:r>
      <w:r w:rsidRPr="00062BFA">
        <w:t>10</w:t>
      </w:r>
      <w:r w:rsidR="00062BFA" w:rsidRPr="00062BFA">
        <w:t> </w:t>
      </w:r>
      <w:r w:rsidRPr="00062BFA">
        <w:t>r.</w:t>
      </w:r>
      <w:r>
        <w:t xml:space="preserve"> ustanawiające obowiązki podmiotów wprowadzających do obrotu drewno</w:t>
      </w:r>
      <w:r w:rsidR="00062BFA">
        <w:t xml:space="preserve"> i pro</w:t>
      </w:r>
      <w:r>
        <w:t>dukty</w:t>
      </w:r>
      <w:r w:rsidR="00062BFA">
        <w:t xml:space="preserve"> z dre</w:t>
      </w:r>
      <w:r>
        <w:t>wna.</w:t>
      </w:r>
    </w:p>
  </w:footnote>
  <w:footnote w:id="8">
    <w:p w14:paraId="1BC337F6" w14:textId="77777777" w:rsidR="002B56DE" w:rsidRPr="00FE4E63" w:rsidRDefault="002B56DE" w:rsidP="00947202">
      <w:pPr>
        <w:pStyle w:val="Tekstprzypisudolnego"/>
        <w:ind w:left="0" w:firstLine="0"/>
      </w:pPr>
      <w:r>
        <w:rPr>
          <w:rStyle w:val="Odwoanieprzypisudolnego"/>
        </w:rPr>
        <w:footnoteRef/>
      </w:r>
      <w:r>
        <w:tab/>
        <w:t>Komunikat Komisji do Parlamentu Europejskiego, Rady, Rady Europejskiej, Europejskiego Komitetu Ekonomiczno-Społecznego</w:t>
      </w:r>
      <w:r w:rsidR="00062BFA">
        <w:t xml:space="preserve"> i Kom</w:t>
      </w:r>
      <w:r>
        <w:t>itetu Regionów</w:t>
      </w:r>
      <w:r>
        <w:rPr>
          <w:i/>
        </w:rPr>
        <w:t>, Długoterminowa wizja dla obszarów wiejskich UE – W kierunku silniejszych, lepiej skomunikowanych, odpornych</w:t>
      </w:r>
      <w:r w:rsidR="00062BFA">
        <w:rPr>
          <w:i/>
        </w:rPr>
        <w:t xml:space="preserve"> i zam</w:t>
      </w:r>
      <w:r>
        <w:rPr>
          <w:i/>
        </w:rPr>
        <w:t xml:space="preserve">ożnych obszarów wiejskich </w:t>
      </w:r>
      <w:r w:rsidRPr="00062BFA">
        <w:rPr>
          <w:i/>
        </w:rPr>
        <w:t>do</w:t>
      </w:r>
      <w:r w:rsidR="00062BFA" w:rsidRPr="00062BFA">
        <w:rPr>
          <w:i/>
        </w:rPr>
        <w:t> </w:t>
      </w:r>
      <w:r w:rsidRPr="00062BFA">
        <w:rPr>
          <w:i/>
        </w:rPr>
        <w:t>2</w:t>
      </w:r>
      <w:r>
        <w:rPr>
          <w:i/>
        </w:rPr>
        <w:t>0</w:t>
      </w:r>
      <w:r w:rsidRPr="00062BFA">
        <w:rPr>
          <w:i/>
        </w:rPr>
        <w:t>40</w:t>
      </w:r>
      <w:r w:rsidR="00062BFA" w:rsidRPr="00062BFA">
        <w:rPr>
          <w:i/>
        </w:rPr>
        <w:t> </w:t>
      </w:r>
      <w:r w:rsidRPr="00062BFA">
        <w:rPr>
          <w:i/>
        </w:rPr>
        <w:t>r.</w:t>
      </w:r>
      <w:r>
        <w:rPr>
          <w:i/>
        </w:rPr>
        <w:t>,</w:t>
      </w:r>
      <w:r>
        <w:t xml:space="preserve"> COM(2021) 345 final.</w:t>
      </w:r>
    </w:p>
  </w:footnote>
  <w:footnote w:id="9">
    <w:p w14:paraId="2B4688D9" w14:textId="77777777" w:rsidR="002B56DE" w:rsidRDefault="002B56DE" w:rsidP="00947202">
      <w:pPr>
        <w:pStyle w:val="Tekstprzypisudolnego"/>
        <w:ind w:left="0" w:hanging="11"/>
      </w:pPr>
      <w:r>
        <w:rPr>
          <w:rStyle w:val="Odwoanieprzypisudolnego"/>
        </w:rPr>
        <w:footnoteRef/>
      </w:r>
      <w:r>
        <w:tab/>
        <w:t>Dyrektywa Parlamentu Europejskiego</w:t>
      </w:r>
      <w:r w:rsidR="00062BFA">
        <w:t xml:space="preserve"> i Rad</w:t>
      </w:r>
      <w:r>
        <w:t>y (UE) 2018/2001</w:t>
      </w:r>
      <w:r w:rsidR="00062BFA">
        <w:t xml:space="preserve"> z dni</w:t>
      </w:r>
      <w:r>
        <w:t>a 11 grudnia 2018 r.</w:t>
      </w:r>
      <w:r w:rsidR="00062BFA">
        <w:t xml:space="preserve"> w spr</w:t>
      </w:r>
      <w:r>
        <w:t>awie promowania stosowania energii ze źródeł odnawialnych (Dz.U. L 328/82</w:t>
      </w:r>
      <w:r w:rsidR="00062BFA">
        <w:t xml:space="preserve"> z 2</w:t>
      </w:r>
      <w:r>
        <w:t>1.12.2018, s. 82).</w:t>
      </w:r>
    </w:p>
  </w:footnote>
  <w:footnote w:id="10">
    <w:p w14:paraId="4BFCB450" w14:textId="77777777" w:rsidR="002B56DE" w:rsidRPr="00947202" w:rsidRDefault="002B56DE" w:rsidP="00947202">
      <w:pPr>
        <w:pStyle w:val="Tekstprzypisudolnego"/>
        <w:ind w:left="0" w:hanging="11"/>
      </w:pPr>
      <w:r>
        <w:rPr>
          <w:rStyle w:val="Odwoanieprzypisudolnego"/>
        </w:rPr>
        <w:footnoteRef/>
      </w:r>
      <w:r>
        <w:tab/>
        <w:t>Rozporządzenie delegowane Komisji (UE) 2019/807</w:t>
      </w:r>
      <w:r w:rsidR="00062BFA">
        <w:t xml:space="preserve"> z dni</w:t>
      </w:r>
      <w:r>
        <w:t>a 13 marca 20</w:t>
      </w:r>
      <w:r w:rsidRPr="00062BFA">
        <w:t>19</w:t>
      </w:r>
      <w:r w:rsidR="00062BFA" w:rsidRPr="00062BFA">
        <w:t> </w:t>
      </w:r>
      <w:r w:rsidRPr="00062BFA">
        <w:t>r.</w:t>
      </w:r>
      <w:r>
        <w:t xml:space="preserve"> uzupełniające dyrektywę Parlamentu Europejskiego</w:t>
      </w:r>
      <w:r w:rsidR="00062BFA">
        <w:t xml:space="preserve"> i Rad</w:t>
      </w:r>
      <w:r>
        <w:t>y (UE) 2018/2001</w:t>
      </w:r>
      <w:r w:rsidR="00062BFA">
        <w:t xml:space="preserve"> w odn</w:t>
      </w:r>
      <w:r>
        <w:t>iesieniu do określania surowców</w:t>
      </w:r>
      <w:r w:rsidR="00062BFA">
        <w:t xml:space="preserve"> o wys</w:t>
      </w:r>
      <w:r>
        <w:t>okim ryzyku spowodowania pośredniej zmiany użytkowania gruntów,</w:t>
      </w:r>
      <w:r w:rsidR="00062BFA">
        <w:t xml:space="preserve"> w prz</w:t>
      </w:r>
      <w:r>
        <w:t>ypadku których zaobserwowano znaczącą ekspansję obszaru produkcji na tereny zasobne</w:t>
      </w:r>
      <w:r w:rsidR="00062BFA">
        <w:t xml:space="preserve"> w pie</w:t>
      </w:r>
      <w:r>
        <w:t>rwiastek węgla oraz certyfikowania biopaliw, biopłynów</w:t>
      </w:r>
      <w:r w:rsidR="00062BFA">
        <w:t xml:space="preserve"> i pal</w:t>
      </w:r>
      <w:r>
        <w:t>iw</w:t>
      </w:r>
      <w:r w:rsidR="00062BFA">
        <w:t xml:space="preserve"> z bio</w:t>
      </w:r>
      <w:r>
        <w:t>masy</w:t>
      </w:r>
      <w:r w:rsidR="00062BFA">
        <w:t xml:space="preserve"> o nis</w:t>
      </w:r>
      <w:r>
        <w:t>kim ryzyku spowodowania pośredniej zmiany użytkowania gruntów</w:t>
      </w:r>
      <w:r>
        <w:rPr>
          <w:rStyle w:val="Uwydatnienie"/>
          <w:i w:val="0"/>
        </w:rPr>
        <w:t xml:space="preserve"> (Dz.U. L 133</w:t>
      </w:r>
      <w:r w:rsidR="00062BFA">
        <w:rPr>
          <w:rStyle w:val="Uwydatnienie"/>
          <w:i w:val="0"/>
        </w:rPr>
        <w:t xml:space="preserve"> z 2</w:t>
      </w:r>
      <w:r>
        <w:rPr>
          <w:rStyle w:val="Uwydatnienie"/>
          <w:i w:val="0"/>
        </w:rPr>
        <w:t>1.5.2019, s. 1).</w:t>
      </w:r>
    </w:p>
  </w:footnote>
  <w:footnote w:id="11">
    <w:p w14:paraId="389E45D8" w14:textId="77777777" w:rsidR="002B56DE" w:rsidRPr="00C8756D" w:rsidRDefault="002B56DE" w:rsidP="00D56697">
      <w:pPr>
        <w:pStyle w:val="Tekstprzypisudolnego"/>
        <w:ind w:left="0" w:firstLine="0"/>
      </w:pPr>
      <w:r>
        <w:rPr>
          <w:rStyle w:val="Odwoanieprzypisudolnego"/>
        </w:rPr>
        <w:footnoteRef/>
      </w:r>
      <w:r>
        <w:tab/>
        <w:t>Konkluzje Rady</w:t>
      </w:r>
      <w:r w:rsidR="00062BFA">
        <w:t xml:space="preserve"> i rzą</w:t>
      </w:r>
      <w:r>
        <w:t>dów państw członkowskich zasiadających</w:t>
      </w:r>
      <w:r w:rsidR="00062BFA">
        <w:t xml:space="preserve"> w Rad</w:t>
      </w:r>
      <w:r>
        <w:t>zie</w:t>
      </w:r>
      <w:r w:rsidR="00062BFA">
        <w:t xml:space="preserve"> w spr</w:t>
      </w:r>
      <w:r>
        <w:t>awie komunikatu dotyczącego zintensyfikowania działań UE na rzecz ochrony</w:t>
      </w:r>
      <w:r w:rsidR="00062BFA">
        <w:t xml:space="preserve"> i odt</w:t>
      </w:r>
      <w:r>
        <w:t>warzania światowych lasów – konkluzje Rady (15151/19</w:t>
      </w:r>
      <w:r w:rsidR="00062BFA">
        <w:t xml:space="preserve"> z dni</w:t>
      </w:r>
      <w:r>
        <w:t>a 16 grudnia 20</w:t>
      </w:r>
      <w:r w:rsidRPr="00062BFA">
        <w:t>19</w:t>
      </w:r>
      <w:r w:rsidR="00062BFA" w:rsidRPr="00062BFA">
        <w:t> </w:t>
      </w:r>
      <w:r w:rsidRPr="00062BFA">
        <w:t>r.</w:t>
      </w:r>
      <w:r>
        <w:t>).</w:t>
      </w:r>
    </w:p>
  </w:footnote>
  <w:footnote w:id="12">
    <w:p w14:paraId="2AEA2EB6" w14:textId="77777777" w:rsidR="002B56DE" w:rsidRPr="00CE4A8A" w:rsidRDefault="002B56DE" w:rsidP="00DE3BCD">
      <w:pPr>
        <w:pStyle w:val="Tekstprzypisudolnego"/>
        <w:ind w:left="0" w:firstLine="0"/>
      </w:pPr>
      <w:r>
        <w:rPr>
          <w:rStyle w:val="Odwoanieprzypisudolnego"/>
        </w:rPr>
        <w:footnoteRef/>
      </w:r>
      <w:r>
        <w:tab/>
      </w:r>
      <w:hyperlink r:id="rId1" w:history="1">
        <w:r>
          <w:rPr>
            <w:sz w:val="18"/>
            <w:szCs w:val="18"/>
            <w:bdr w:val="none" w:sz="0" w:space="0" w:color="auto" w:frame="1"/>
            <w:shd w:val="clear" w:color="auto" w:fill="FFFFFF"/>
          </w:rPr>
          <w:t>Rozporządzenie Parlamentu Europejskiego</w:t>
        </w:r>
        <w:r w:rsidR="00062BFA">
          <w:rPr>
            <w:sz w:val="18"/>
            <w:szCs w:val="18"/>
            <w:bdr w:val="none" w:sz="0" w:space="0" w:color="auto" w:frame="1"/>
            <w:shd w:val="clear" w:color="auto" w:fill="FFFFFF"/>
          </w:rPr>
          <w:t xml:space="preserve"> i Rad</w:t>
        </w:r>
        <w:r>
          <w:rPr>
            <w:sz w:val="18"/>
            <w:szCs w:val="18"/>
            <w:bdr w:val="none" w:sz="0" w:space="0" w:color="auto" w:frame="1"/>
            <w:shd w:val="clear" w:color="auto" w:fill="FFFFFF"/>
          </w:rPr>
          <w:t>y (UE) 2019/1010</w:t>
        </w:r>
        <w:r w:rsidR="00062BFA">
          <w:rPr>
            <w:sz w:val="18"/>
            <w:szCs w:val="18"/>
            <w:bdr w:val="none" w:sz="0" w:space="0" w:color="auto" w:frame="1"/>
            <w:shd w:val="clear" w:color="auto" w:fill="FFFFFF"/>
          </w:rPr>
          <w:t xml:space="preserve"> z dni</w:t>
        </w:r>
        <w:r>
          <w:rPr>
            <w:sz w:val="18"/>
            <w:szCs w:val="18"/>
            <w:bdr w:val="none" w:sz="0" w:space="0" w:color="auto" w:frame="1"/>
            <w:shd w:val="clear" w:color="auto" w:fill="FFFFFF"/>
          </w:rPr>
          <w:t>a 5 czerwca 20</w:t>
        </w:r>
        <w:r w:rsidRPr="00062BFA">
          <w:rPr>
            <w:sz w:val="18"/>
            <w:szCs w:val="18"/>
            <w:bdr w:val="none" w:sz="0" w:space="0" w:color="auto" w:frame="1"/>
            <w:shd w:val="clear" w:color="auto" w:fill="FFFFFF"/>
          </w:rPr>
          <w:t>19</w:t>
        </w:r>
        <w:r w:rsidR="00062BFA" w:rsidRPr="00062BFA">
          <w:rPr>
            <w:sz w:val="18"/>
            <w:szCs w:val="18"/>
            <w:bdr w:val="none" w:sz="0" w:space="0" w:color="auto" w:frame="1"/>
            <w:shd w:val="clear" w:color="auto" w:fill="FFFFFF"/>
          </w:rPr>
          <w:t> </w:t>
        </w:r>
        <w:r w:rsidRPr="00062BFA">
          <w:rPr>
            <w:sz w:val="18"/>
            <w:szCs w:val="18"/>
            <w:bdr w:val="none" w:sz="0" w:space="0" w:color="auto" w:frame="1"/>
            <w:shd w:val="clear" w:color="auto" w:fill="FFFFFF"/>
          </w:rPr>
          <w:t>r.</w:t>
        </w:r>
        <w:r w:rsidR="00062BFA">
          <w:rPr>
            <w:sz w:val="18"/>
            <w:szCs w:val="18"/>
            <w:bdr w:val="none" w:sz="0" w:space="0" w:color="auto" w:frame="1"/>
            <w:shd w:val="clear" w:color="auto" w:fill="FFFFFF"/>
          </w:rPr>
          <w:t xml:space="preserve"> w spr</w:t>
        </w:r>
        <w:r>
          <w:rPr>
            <w:sz w:val="18"/>
            <w:szCs w:val="18"/>
            <w:bdr w:val="none" w:sz="0" w:space="0" w:color="auto" w:frame="1"/>
            <w:shd w:val="clear" w:color="auto" w:fill="FFFFFF"/>
          </w:rPr>
          <w:t>awie dostosowania obowiązków sprawozdawczych</w:t>
        </w:r>
      </w:hyperlink>
      <w:r w:rsidR="00062BFA">
        <w:rPr>
          <w:sz w:val="18"/>
          <w:szCs w:val="18"/>
          <w:shd w:val="clear" w:color="auto" w:fill="FFFFFF"/>
        </w:rPr>
        <w:t xml:space="preserve"> w dzi</w:t>
      </w:r>
      <w:r>
        <w:rPr>
          <w:sz w:val="18"/>
          <w:szCs w:val="18"/>
          <w:shd w:val="clear" w:color="auto" w:fill="FFFFFF"/>
        </w:rPr>
        <w:t>edzinie ustawodawstwa dotyczącego środowiska oraz zmieniające rozporządzenia Parlamentu Europejskiego</w:t>
      </w:r>
      <w:r w:rsidR="00062BFA">
        <w:rPr>
          <w:sz w:val="18"/>
          <w:szCs w:val="18"/>
          <w:shd w:val="clear" w:color="auto" w:fill="FFFFFF"/>
        </w:rPr>
        <w:t xml:space="preserve"> i Rad</w:t>
      </w:r>
      <w:r>
        <w:rPr>
          <w:sz w:val="18"/>
          <w:szCs w:val="18"/>
          <w:shd w:val="clear" w:color="auto" w:fill="FFFFFF"/>
        </w:rPr>
        <w:t xml:space="preserve">y (WE) </w:t>
      </w:r>
      <w:r w:rsidRPr="00062BFA">
        <w:rPr>
          <w:sz w:val="18"/>
          <w:szCs w:val="18"/>
          <w:shd w:val="clear" w:color="auto" w:fill="FFFFFF"/>
        </w:rPr>
        <w:t>nr</w:t>
      </w:r>
      <w:r w:rsidR="00062BFA" w:rsidRPr="00062BFA">
        <w:rPr>
          <w:sz w:val="18"/>
          <w:szCs w:val="18"/>
          <w:shd w:val="clear" w:color="auto" w:fill="FFFFFF"/>
        </w:rPr>
        <w:t> </w:t>
      </w:r>
      <w:r w:rsidRPr="00062BFA">
        <w:rPr>
          <w:sz w:val="18"/>
          <w:szCs w:val="18"/>
          <w:shd w:val="clear" w:color="auto" w:fill="FFFFFF"/>
        </w:rPr>
        <w:t>1</w:t>
      </w:r>
      <w:r>
        <w:rPr>
          <w:sz w:val="18"/>
          <w:szCs w:val="18"/>
          <w:shd w:val="clear" w:color="auto" w:fill="FFFFFF"/>
        </w:rPr>
        <w:t xml:space="preserve">66/2006 i </w:t>
      </w:r>
      <w:r>
        <w:rPr>
          <w:sz w:val="18"/>
          <w:szCs w:val="18"/>
          <w:bdr w:val="none" w:sz="0" w:space="0" w:color="auto" w:frame="1"/>
          <w:shd w:val="clear" w:color="auto" w:fill="FFFFFF"/>
        </w:rPr>
        <w:t xml:space="preserve">(UE) </w:t>
      </w:r>
      <w:r w:rsidRPr="00062BFA">
        <w:rPr>
          <w:sz w:val="18"/>
          <w:szCs w:val="18"/>
          <w:bdr w:val="none" w:sz="0" w:space="0" w:color="auto" w:frame="1"/>
          <w:shd w:val="clear" w:color="auto" w:fill="FFFFFF"/>
        </w:rPr>
        <w:t>nr</w:t>
      </w:r>
      <w:r w:rsidR="00062BFA" w:rsidRPr="00062BFA">
        <w:rPr>
          <w:sz w:val="18"/>
          <w:szCs w:val="18"/>
          <w:bdr w:val="none" w:sz="0" w:space="0" w:color="auto" w:frame="1"/>
          <w:shd w:val="clear" w:color="auto" w:fill="FFFFFF"/>
        </w:rPr>
        <w:t> </w:t>
      </w:r>
      <w:r w:rsidRPr="00062BFA">
        <w:rPr>
          <w:sz w:val="18"/>
          <w:szCs w:val="18"/>
          <w:bdr w:val="none" w:sz="0" w:space="0" w:color="auto" w:frame="1"/>
          <w:shd w:val="clear" w:color="auto" w:fill="FFFFFF"/>
        </w:rPr>
        <w:t>9</w:t>
      </w:r>
      <w:r>
        <w:rPr>
          <w:sz w:val="18"/>
          <w:szCs w:val="18"/>
          <w:bdr w:val="none" w:sz="0" w:space="0" w:color="auto" w:frame="1"/>
          <w:shd w:val="clear" w:color="auto" w:fill="FFFFFF"/>
        </w:rPr>
        <w:t>95/2010</w:t>
      </w:r>
      <w:r>
        <w:rPr>
          <w:sz w:val="18"/>
          <w:szCs w:val="18"/>
          <w:shd w:val="clear" w:color="auto" w:fill="FFFFFF"/>
        </w:rPr>
        <w:t>, dyrektywy Parlamentu Europejskiego</w:t>
      </w:r>
      <w:r w:rsidR="00062BFA">
        <w:rPr>
          <w:sz w:val="18"/>
          <w:szCs w:val="18"/>
          <w:shd w:val="clear" w:color="auto" w:fill="FFFFFF"/>
        </w:rPr>
        <w:t xml:space="preserve"> i Rad</w:t>
      </w:r>
      <w:r>
        <w:rPr>
          <w:sz w:val="18"/>
          <w:szCs w:val="18"/>
          <w:shd w:val="clear" w:color="auto" w:fill="FFFFFF"/>
        </w:rPr>
        <w:t>y 2002/49/WE, 2004/35/WE, 2007/2/WE, 2009/147/WE</w:t>
      </w:r>
      <w:r w:rsidR="00062BFA">
        <w:rPr>
          <w:sz w:val="18"/>
          <w:szCs w:val="18"/>
          <w:shd w:val="clear" w:color="auto" w:fill="FFFFFF"/>
        </w:rPr>
        <w:t xml:space="preserve"> i 2</w:t>
      </w:r>
      <w:r>
        <w:rPr>
          <w:sz w:val="18"/>
          <w:szCs w:val="18"/>
          <w:shd w:val="clear" w:color="auto" w:fill="FFFFFF"/>
        </w:rPr>
        <w:t xml:space="preserve">010/63/UE, </w:t>
      </w:r>
      <w:r>
        <w:rPr>
          <w:color w:val="000000"/>
          <w:sz w:val="18"/>
          <w:szCs w:val="18"/>
          <w:shd w:val="clear" w:color="auto" w:fill="FFFFFF"/>
        </w:rPr>
        <w:t xml:space="preserve">rozporządzenia Rady (WE) </w:t>
      </w:r>
      <w:r w:rsidRPr="00062BFA">
        <w:rPr>
          <w:color w:val="000000"/>
          <w:sz w:val="18"/>
          <w:szCs w:val="18"/>
          <w:shd w:val="clear" w:color="auto" w:fill="FFFFFF"/>
        </w:rPr>
        <w:t>nr</w:t>
      </w:r>
      <w:r w:rsidR="00062BFA" w:rsidRPr="00062BFA">
        <w:rPr>
          <w:color w:val="000000"/>
          <w:sz w:val="18"/>
          <w:szCs w:val="18"/>
          <w:shd w:val="clear" w:color="auto" w:fill="FFFFFF"/>
        </w:rPr>
        <w:t> </w:t>
      </w:r>
      <w:r w:rsidRPr="00062BFA">
        <w:rPr>
          <w:color w:val="000000"/>
          <w:sz w:val="18"/>
          <w:szCs w:val="18"/>
          <w:shd w:val="clear" w:color="auto" w:fill="FFFFFF"/>
        </w:rPr>
        <w:t>3</w:t>
      </w:r>
      <w:r>
        <w:rPr>
          <w:color w:val="000000"/>
          <w:sz w:val="18"/>
          <w:szCs w:val="18"/>
          <w:shd w:val="clear" w:color="auto" w:fill="FFFFFF"/>
        </w:rPr>
        <w:t xml:space="preserve">38/97 i (WE) </w:t>
      </w:r>
      <w:r w:rsidRPr="00062BFA">
        <w:rPr>
          <w:color w:val="000000"/>
          <w:sz w:val="18"/>
          <w:szCs w:val="18"/>
          <w:shd w:val="clear" w:color="auto" w:fill="FFFFFF"/>
        </w:rPr>
        <w:t>nr</w:t>
      </w:r>
      <w:r w:rsidR="00062BFA" w:rsidRPr="00062BFA">
        <w:rPr>
          <w:color w:val="000000"/>
          <w:sz w:val="18"/>
          <w:szCs w:val="18"/>
          <w:shd w:val="clear" w:color="auto" w:fill="FFFFFF"/>
        </w:rPr>
        <w:t> </w:t>
      </w:r>
      <w:r w:rsidRPr="00062BFA">
        <w:rPr>
          <w:color w:val="000000"/>
          <w:sz w:val="18"/>
          <w:szCs w:val="18"/>
          <w:shd w:val="clear" w:color="auto" w:fill="FFFFFF"/>
        </w:rPr>
        <w:t>2</w:t>
      </w:r>
      <w:r>
        <w:rPr>
          <w:color w:val="000000"/>
          <w:sz w:val="18"/>
          <w:szCs w:val="18"/>
          <w:shd w:val="clear" w:color="auto" w:fill="FFFFFF"/>
        </w:rPr>
        <w:t>173/2005 oraz dyrektywę Rady 86/278/EWG (Dz.U. L 170/126</w:t>
      </w:r>
      <w:r w:rsidR="00062BFA">
        <w:rPr>
          <w:color w:val="000000"/>
          <w:sz w:val="18"/>
          <w:szCs w:val="18"/>
          <w:shd w:val="clear" w:color="auto" w:fill="FFFFFF"/>
        </w:rPr>
        <w:t xml:space="preserve"> z 2</w:t>
      </w:r>
      <w:r>
        <w:rPr>
          <w:color w:val="000000"/>
          <w:sz w:val="18"/>
          <w:szCs w:val="18"/>
          <w:shd w:val="clear" w:color="auto" w:fill="FFFFFF"/>
        </w:rPr>
        <w:t>5.6.2019).</w:t>
      </w:r>
    </w:p>
  </w:footnote>
  <w:footnote w:id="13">
    <w:p w14:paraId="750EBB47" w14:textId="77777777" w:rsidR="002B56DE" w:rsidRPr="00FA7766" w:rsidRDefault="002B56DE" w:rsidP="00B02B19">
      <w:pPr>
        <w:pBdr>
          <w:top w:val="nil"/>
          <w:left w:val="nil"/>
          <w:bottom w:val="nil"/>
          <w:right w:val="nil"/>
          <w:between w:val="nil"/>
          <w:bar w:val="nil"/>
        </w:pBdr>
        <w:spacing w:before="0" w:after="0"/>
        <w:rPr>
          <w:rFonts w:eastAsia="Arial Unicode MS"/>
          <w:sz w:val="18"/>
          <w:szCs w:val="18"/>
        </w:rPr>
      </w:pPr>
      <w:r>
        <w:rPr>
          <w:rStyle w:val="Odwoanieprzypisudolnego"/>
        </w:rPr>
        <w:footnoteRef/>
      </w:r>
      <w:r>
        <w:tab/>
      </w:r>
      <w:r>
        <w:rPr>
          <w:sz w:val="18"/>
          <w:szCs w:val="18"/>
        </w:rPr>
        <w:t xml:space="preserve">Europejski Trybunał Obrachunkowy, </w:t>
      </w:r>
      <w:r>
        <w:rPr>
          <w:bCs/>
          <w:sz w:val="18"/>
          <w:szCs w:val="18"/>
        </w:rPr>
        <w:t xml:space="preserve">sprawozdanie specjalne </w:t>
      </w:r>
      <w:r w:rsidRPr="00062BFA">
        <w:rPr>
          <w:bCs/>
          <w:sz w:val="18"/>
          <w:szCs w:val="18"/>
        </w:rPr>
        <w:t>nr</w:t>
      </w:r>
      <w:r w:rsidR="00062BFA" w:rsidRPr="00062BFA">
        <w:rPr>
          <w:bCs/>
          <w:sz w:val="18"/>
          <w:szCs w:val="18"/>
        </w:rPr>
        <w:t> </w:t>
      </w:r>
      <w:r w:rsidRPr="00062BFA">
        <w:rPr>
          <w:bCs/>
          <w:sz w:val="18"/>
          <w:szCs w:val="18"/>
        </w:rPr>
        <w:t>2</w:t>
      </w:r>
      <w:r>
        <w:rPr>
          <w:bCs/>
          <w:sz w:val="18"/>
          <w:szCs w:val="18"/>
        </w:rPr>
        <w:t>1/2021: „Finansowanie unijne na rzecz różnorodności biologicznej</w:t>
      </w:r>
      <w:r w:rsidR="00062BFA">
        <w:rPr>
          <w:bCs/>
          <w:sz w:val="18"/>
          <w:szCs w:val="18"/>
        </w:rPr>
        <w:t xml:space="preserve"> i zap</w:t>
      </w:r>
      <w:r>
        <w:rPr>
          <w:bCs/>
          <w:sz w:val="18"/>
          <w:szCs w:val="18"/>
        </w:rPr>
        <w:t>obiegania zmianie klimatu</w:t>
      </w:r>
      <w:r w:rsidR="00062BFA">
        <w:rPr>
          <w:bCs/>
          <w:sz w:val="18"/>
          <w:szCs w:val="18"/>
        </w:rPr>
        <w:t xml:space="preserve"> w las</w:t>
      </w:r>
      <w:r>
        <w:rPr>
          <w:bCs/>
          <w:sz w:val="18"/>
          <w:szCs w:val="18"/>
        </w:rPr>
        <w:t>ach w UE – pozytywne, lecz ograniczone rezultaty”.</w:t>
      </w:r>
      <w:r>
        <w:rPr>
          <w:sz w:val="18"/>
          <w:szCs w:val="18"/>
        </w:rPr>
        <w:t xml:space="preserve"> Zob.</w:t>
      </w:r>
      <w:r w:rsidR="00062BFA">
        <w:rPr>
          <w:sz w:val="18"/>
          <w:szCs w:val="18"/>
        </w:rPr>
        <w:t xml:space="preserve"> w szc</w:t>
      </w:r>
      <w:r>
        <w:rPr>
          <w:sz w:val="18"/>
          <w:szCs w:val="18"/>
        </w:rPr>
        <w:t xml:space="preserve">zególności </w:t>
      </w:r>
      <w:r w:rsidRPr="00062BFA">
        <w:rPr>
          <w:sz w:val="18"/>
          <w:szCs w:val="18"/>
        </w:rPr>
        <w:t>pkt</w:t>
      </w:r>
      <w:r w:rsidR="00062BFA" w:rsidRPr="00062BFA">
        <w:rPr>
          <w:sz w:val="18"/>
          <w:szCs w:val="18"/>
        </w:rPr>
        <w:t> </w:t>
      </w:r>
      <w:r w:rsidRPr="00062BFA">
        <w:rPr>
          <w:sz w:val="18"/>
          <w:szCs w:val="18"/>
        </w:rPr>
        <w:t>3</w:t>
      </w:r>
      <w:r>
        <w:rPr>
          <w:sz w:val="18"/>
          <w:szCs w:val="18"/>
        </w:rPr>
        <w:t>6,</w:t>
      </w:r>
      <w:r w:rsidR="00062BFA">
        <w:rPr>
          <w:sz w:val="18"/>
          <w:szCs w:val="18"/>
        </w:rPr>
        <w:t xml:space="preserve"> w któ</w:t>
      </w:r>
      <w:r>
        <w:rPr>
          <w:sz w:val="18"/>
          <w:szCs w:val="18"/>
        </w:rPr>
        <w:t>rym Trybunał stwierdza: „Sprawozdania przedłożone zgodnie</w:t>
      </w:r>
      <w:r w:rsidR="00062BFA">
        <w:rPr>
          <w:sz w:val="18"/>
          <w:szCs w:val="18"/>
        </w:rPr>
        <w:t xml:space="preserve"> z roz</w:t>
      </w:r>
      <w:r>
        <w:rPr>
          <w:sz w:val="18"/>
          <w:szCs w:val="18"/>
        </w:rPr>
        <w:t>porządzeniem</w:t>
      </w:r>
      <w:r w:rsidR="00062BFA">
        <w:rPr>
          <w:sz w:val="18"/>
          <w:szCs w:val="18"/>
        </w:rPr>
        <w:t xml:space="preserve"> w spr</w:t>
      </w:r>
      <w:r>
        <w:rPr>
          <w:sz w:val="18"/>
          <w:szCs w:val="18"/>
        </w:rPr>
        <w:t>awie drewna nie zawierają informacji, które mogą posłużyć Komisji do analizy jakości działań monitorujących państw członkowskich, krajowych zasad definiujących nielegalne pozyskiwanie drewna lub procedur stosowanych</w:t>
      </w:r>
      <w:r w:rsidR="00062BFA">
        <w:rPr>
          <w:sz w:val="18"/>
          <w:szCs w:val="18"/>
        </w:rPr>
        <w:t xml:space="preserve"> w ram</w:t>
      </w:r>
      <w:r>
        <w:rPr>
          <w:sz w:val="18"/>
          <w:szCs w:val="18"/>
        </w:rPr>
        <w:t>ach kontroli.</w:t>
      </w:r>
      <w:r>
        <w:rPr>
          <w:i/>
          <w:sz w:val="18"/>
          <w:szCs w:val="18"/>
        </w:rPr>
        <w:t xml:space="preserve"> </w:t>
      </w:r>
      <w:r>
        <w:rPr>
          <w:sz w:val="18"/>
          <w:szCs w:val="18"/>
        </w:rPr>
        <w:t>Nie ma też wymogu, by państwa członkowskie przedstawiały dokumenty poświadczające na poparcie swoich odpowiedzi, co umożliwiłoby Komisji weryfikowanie prawidłowości lub kompletności podanych informacji”.</w:t>
      </w:r>
    </w:p>
    <w:p w14:paraId="513397B7" w14:textId="77777777" w:rsidR="002B56DE" w:rsidRDefault="002B56DE" w:rsidP="00DE3BCD">
      <w:pPr>
        <w:pStyle w:val="Tekstprzypisudolnego"/>
        <w:ind w:left="0" w:firstLine="0"/>
      </w:pPr>
    </w:p>
  </w:footnote>
  <w:footnote w:id="14">
    <w:p w14:paraId="43502A50" w14:textId="77777777" w:rsidR="002B56DE" w:rsidRPr="00BC23DC" w:rsidRDefault="002B56DE" w:rsidP="00DE3BCD">
      <w:pPr>
        <w:pStyle w:val="Tekstprzypisudolnego"/>
        <w:ind w:left="0" w:firstLine="0"/>
      </w:pPr>
      <w:r>
        <w:rPr>
          <w:rStyle w:val="Odwoanieprzypisudolnego"/>
        </w:rPr>
        <w:footnoteRef/>
      </w:r>
      <w:r>
        <w:tab/>
      </w:r>
      <w:r>
        <w:rPr>
          <w:bCs/>
          <w:sz w:val="18"/>
          <w:szCs w:val="18"/>
        </w:rPr>
        <w:t xml:space="preserve">Zob. zalecenie 2 </w:t>
      </w:r>
      <w:r w:rsidRPr="00062BFA">
        <w:rPr>
          <w:bCs/>
          <w:sz w:val="18"/>
          <w:szCs w:val="18"/>
        </w:rPr>
        <w:t>lit.</w:t>
      </w:r>
      <w:r w:rsidR="00062BFA" w:rsidRPr="00062BFA">
        <w:rPr>
          <w:bCs/>
          <w:sz w:val="18"/>
          <w:szCs w:val="18"/>
        </w:rPr>
        <w:t> </w:t>
      </w:r>
      <w:r w:rsidRPr="00062BFA">
        <w:rPr>
          <w:bCs/>
          <w:sz w:val="18"/>
          <w:szCs w:val="18"/>
        </w:rPr>
        <w:t>a)</w:t>
      </w:r>
      <w:r>
        <w:rPr>
          <w:bCs/>
          <w:sz w:val="18"/>
          <w:szCs w:val="18"/>
        </w:rPr>
        <w:t>: „Komisja powinna:</w:t>
      </w:r>
      <w:r>
        <w:rPr>
          <w:bCs/>
          <w:i/>
          <w:sz w:val="18"/>
          <w:szCs w:val="18"/>
        </w:rPr>
        <w:t xml:space="preserve"> </w:t>
      </w:r>
      <w:r>
        <w:rPr>
          <w:bCs/>
          <w:sz w:val="18"/>
          <w:szCs w:val="18"/>
        </w:rPr>
        <w:t>a) rozważyć możliwość opracowania wniosków ustawodawczych, które pozwolą na skuteczniejsze weryfikowanie kontroli przeprowadzanych przez państwa członkowskie</w:t>
      </w:r>
      <w:r w:rsidR="00062BFA">
        <w:rPr>
          <w:bCs/>
          <w:sz w:val="18"/>
          <w:szCs w:val="18"/>
        </w:rPr>
        <w:t xml:space="preserve"> w zak</w:t>
      </w:r>
      <w:r>
        <w:rPr>
          <w:bCs/>
          <w:sz w:val="18"/>
          <w:szCs w:val="18"/>
        </w:rPr>
        <w:t>resie rozporządzenia</w:t>
      </w:r>
      <w:r w:rsidR="00062BFA">
        <w:rPr>
          <w:bCs/>
          <w:sz w:val="18"/>
          <w:szCs w:val="18"/>
        </w:rPr>
        <w:t xml:space="preserve"> w spr</w:t>
      </w:r>
      <w:r>
        <w:rPr>
          <w:bCs/>
          <w:sz w:val="18"/>
          <w:szCs w:val="18"/>
        </w:rPr>
        <w:t>awie drewna”.</w:t>
      </w:r>
    </w:p>
  </w:footnote>
  <w:footnote w:id="15">
    <w:p w14:paraId="757408F0" w14:textId="77777777" w:rsidR="002B56DE" w:rsidRPr="0099215D" w:rsidRDefault="002B56DE" w:rsidP="00DE3BCD">
      <w:pPr>
        <w:pStyle w:val="Tekstprzypisudolnego"/>
        <w:ind w:left="0" w:firstLine="0"/>
      </w:pPr>
      <w:r>
        <w:rPr>
          <w:rStyle w:val="Odwoanieprzypisudolnego"/>
        </w:rPr>
        <w:footnoteRef/>
      </w:r>
      <w:r>
        <w:tab/>
      </w:r>
      <w:r>
        <w:rPr>
          <w:sz w:val="18"/>
          <w:szCs w:val="18"/>
        </w:rPr>
        <w:t>Rozporządzenie Parlamentu Europejskiego</w:t>
      </w:r>
      <w:r w:rsidR="00062BFA">
        <w:rPr>
          <w:sz w:val="18"/>
          <w:szCs w:val="18"/>
        </w:rPr>
        <w:t xml:space="preserve"> i Rad</w:t>
      </w:r>
      <w:r>
        <w:rPr>
          <w:sz w:val="18"/>
          <w:szCs w:val="18"/>
        </w:rPr>
        <w:t>y (UE) 2019/1020</w:t>
      </w:r>
      <w:r w:rsidR="00062BFA">
        <w:rPr>
          <w:sz w:val="18"/>
          <w:szCs w:val="18"/>
        </w:rPr>
        <w:t xml:space="preserve"> z dni</w:t>
      </w:r>
      <w:r>
        <w:rPr>
          <w:sz w:val="18"/>
          <w:szCs w:val="18"/>
        </w:rPr>
        <w:t>a 20 czerwca 20</w:t>
      </w:r>
      <w:r w:rsidRPr="00062BFA">
        <w:rPr>
          <w:sz w:val="18"/>
          <w:szCs w:val="18"/>
        </w:rPr>
        <w:t>19</w:t>
      </w:r>
      <w:r w:rsidR="00062BFA" w:rsidRPr="00062BFA">
        <w:rPr>
          <w:sz w:val="18"/>
          <w:szCs w:val="18"/>
        </w:rPr>
        <w:t> </w:t>
      </w:r>
      <w:r w:rsidRPr="00062BFA">
        <w:rPr>
          <w:sz w:val="18"/>
          <w:szCs w:val="18"/>
        </w:rPr>
        <w:t>r.</w:t>
      </w:r>
      <w:r w:rsidR="00062BFA">
        <w:rPr>
          <w:sz w:val="18"/>
          <w:szCs w:val="18"/>
        </w:rPr>
        <w:t xml:space="preserve"> w spr</w:t>
      </w:r>
      <w:r>
        <w:rPr>
          <w:sz w:val="18"/>
          <w:szCs w:val="18"/>
        </w:rPr>
        <w:t>awie nadzoru rynku</w:t>
      </w:r>
      <w:r w:rsidR="00062BFA">
        <w:rPr>
          <w:sz w:val="18"/>
          <w:szCs w:val="18"/>
        </w:rPr>
        <w:t xml:space="preserve"> i zgo</w:t>
      </w:r>
      <w:r>
        <w:rPr>
          <w:sz w:val="18"/>
          <w:szCs w:val="18"/>
        </w:rPr>
        <w:t xml:space="preserve">dności produktów oraz zmieniające dyrektywę 2004/42/WE oraz rozporządzenia (WE) </w:t>
      </w:r>
      <w:r w:rsidRPr="00062BFA">
        <w:rPr>
          <w:sz w:val="18"/>
          <w:szCs w:val="18"/>
        </w:rPr>
        <w:t>nr</w:t>
      </w:r>
      <w:r w:rsidR="00062BFA" w:rsidRPr="00062BFA">
        <w:rPr>
          <w:sz w:val="18"/>
          <w:szCs w:val="18"/>
        </w:rPr>
        <w:t> </w:t>
      </w:r>
      <w:r w:rsidRPr="00062BFA">
        <w:rPr>
          <w:sz w:val="18"/>
          <w:szCs w:val="18"/>
        </w:rPr>
        <w:t>7</w:t>
      </w:r>
      <w:r>
        <w:rPr>
          <w:sz w:val="18"/>
          <w:szCs w:val="18"/>
        </w:rPr>
        <w:t xml:space="preserve">65/2008 i (UE) </w:t>
      </w:r>
      <w:r w:rsidRPr="00062BFA">
        <w:rPr>
          <w:sz w:val="18"/>
          <w:szCs w:val="18"/>
        </w:rPr>
        <w:t>nr</w:t>
      </w:r>
      <w:r w:rsidR="00062BFA" w:rsidRPr="00062BFA">
        <w:rPr>
          <w:sz w:val="18"/>
          <w:szCs w:val="18"/>
        </w:rPr>
        <w:t> </w:t>
      </w:r>
      <w:r w:rsidRPr="00062BFA">
        <w:rPr>
          <w:sz w:val="18"/>
          <w:szCs w:val="18"/>
        </w:rPr>
        <w:t>3</w:t>
      </w:r>
      <w:r>
        <w:rPr>
          <w:sz w:val="18"/>
          <w:szCs w:val="18"/>
        </w:rPr>
        <w:t>05/2011 (Dz.U. L 169/1</w:t>
      </w:r>
      <w:r w:rsidR="00062BFA">
        <w:rPr>
          <w:sz w:val="18"/>
          <w:szCs w:val="18"/>
        </w:rPr>
        <w:t xml:space="preserve"> z 2</w:t>
      </w:r>
      <w:r>
        <w:rPr>
          <w:sz w:val="18"/>
          <w:szCs w:val="18"/>
        </w:rPr>
        <w:t>5.6.2019).</w:t>
      </w:r>
    </w:p>
  </w:footnote>
  <w:footnote w:id="16">
    <w:p w14:paraId="7F87E322" w14:textId="77777777" w:rsidR="002B56DE" w:rsidRPr="0072133D" w:rsidDel="007C437D" w:rsidRDefault="002B56DE" w:rsidP="00702088">
      <w:pPr>
        <w:pStyle w:val="Tekstprzypisudolnego"/>
      </w:pPr>
      <w:r>
        <w:rPr>
          <w:rStyle w:val="Odwoanieprzypisudolnego"/>
        </w:rPr>
        <w:footnoteRef/>
      </w:r>
      <w:r>
        <w:tab/>
        <w:t>Dz.U. C [...] z [...], s. [...].</w:t>
      </w:r>
    </w:p>
  </w:footnote>
  <w:footnote w:id="17">
    <w:p w14:paraId="1B218A9C" w14:textId="77777777" w:rsidR="002B56DE" w:rsidRPr="0072133D" w:rsidRDefault="002B56DE" w:rsidP="00702088">
      <w:pPr>
        <w:pStyle w:val="Tekstprzypisudolnego"/>
        <w:ind w:left="0" w:firstLine="0"/>
      </w:pPr>
      <w:r>
        <w:rPr>
          <w:rStyle w:val="Odwoanieprzypisudolnego"/>
        </w:rPr>
        <w:footnoteRef/>
      </w:r>
      <w:r>
        <w:tab/>
        <w:t>Dz.U. C [...] z [...], s. [...].</w:t>
      </w:r>
    </w:p>
  </w:footnote>
  <w:footnote w:id="18">
    <w:p w14:paraId="70CF54DE" w14:textId="77777777" w:rsidR="002B56DE" w:rsidRPr="006776AE" w:rsidRDefault="002B56DE" w:rsidP="008E648C">
      <w:pPr>
        <w:pStyle w:val="Tekstprzypisudolnego"/>
        <w:ind w:left="0" w:firstLine="0"/>
      </w:pPr>
      <w:r>
        <w:rPr>
          <w:rStyle w:val="Odwoanieprzypisudolnego"/>
        </w:rPr>
        <w:footnoteRef/>
      </w:r>
      <w:r>
        <w:tab/>
        <w:t>Komunikat Komisji</w:t>
      </w:r>
      <w:r w:rsidR="00062BFA">
        <w:t xml:space="preserve"> z dni</w:t>
      </w:r>
      <w:r>
        <w:t>a 27 lipca 20</w:t>
      </w:r>
      <w:r w:rsidRPr="00062BFA">
        <w:t>19</w:t>
      </w:r>
      <w:r w:rsidR="00062BFA" w:rsidRPr="00062BFA">
        <w:t> </w:t>
      </w:r>
      <w:r w:rsidRPr="00062BFA">
        <w:t>r.</w:t>
      </w:r>
      <w:r>
        <w:t xml:space="preserve"> pt. „Zintensyfikowanie działań UE na rzecz ochrony</w:t>
      </w:r>
      <w:r w:rsidR="00062BFA">
        <w:t xml:space="preserve"> i odt</w:t>
      </w:r>
      <w:r>
        <w:t>warzania światowych lasów”, COM(2019) 352 final.</w:t>
      </w:r>
    </w:p>
  </w:footnote>
  <w:footnote w:id="19">
    <w:p w14:paraId="5CF7AC74" w14:textId="77777777" w:rsidR="002B56DE" w:rsidRPr="00F67FD9" w:rsidRDefault="002B56DE" w:rsidP="008E648C">
      <w:pPr>
        <w:pStyle w:val="Tekstprzypisudolnego"/>
      </w:pPr>
      <w:r>
        <w:rPr>
          <w:rStyle w:val="Odwoanieprzypisudolnego"/>
        </w:rPr>
        <w:footnoteRef/>
      </w:r>
      <w:r>
        <w:tab/>
        <w:t>FAO, Global Forest Resource Assessment 2020 [Ocena światowych zasobów leśnych</w:t>
      </w:r>
      <w:r w:rsidR="00062BFA">
        <w:t xml:space="preserve"> z 2</w:t>
      </w:r>
      <w:r>
        <w:t>0</w:t>
      </w:r>
      <w:r w:rsidRPr="00062BFA">
        <w:t>20</w:t>
      </w:r>
      <w:r w:rsidR="00062BFA" w:rsidRPr="00062BFA">
        <w:t> </w:t>
      </w:r>
      <w:r w:rsidRPr="00062BFA">
        <w:t>r.</w:t>
      </w:r>
      <w:r>
        <w:t>], s. XII, https://www.fao.org/documents/card/en/c/ca9825en</w:t>
      </w:r>
    </w:p>
  </w:footnote>
  <w:footnote w:id="20">
    <w:p w14:paraId="249FB5E2" w14:textId="77777777" w:rsidR="002B56DE" w:rsidRPr="00F67FD9" w:rsidRDefault="002B56DE" w:rsidP="008E648C">
      <w:pPr>
        <w:pStyle w:val="Tekstprzypisudolnego"/>
        <w:ind w:left="0" w:firstLine="0"/>
      </w:pPr>
      <w:r>
        <w:rPr>
          <w:rStyle w:val="Odwoanieprzypisudolnego"/>
        </w:rPr>
        <w:footnoteRef/>
      </w:r>
      <w:r>
        <w:tab/>
        <w:t>Międzyrządowy Zespół ds. Zmian Klimatu, Zmiana klimatu</w:t>
      </w:r>
      <w:r w:rsidR="00062BFA">
        <w:t xml:space="preserve"> i gru</w:t>
      </w:r>
      <w:r>
        <w:t>nty: sprawozdanie specjalne Międzyrządowego Zespołu ds. Zmian Klimatu</w:t>
      </w:r>
      <w:r w:rsidR="00062BFA">
        <w:t xml:space="preserve"> w spr</w:t>
      </w:r>
      <w:r>
        <w:t>awie zmiany klimatu, pustynnienia, degradacji gruntów, zrównoważonego gospodarowania gruntami, bezpieczeństwa żywnościowego</w:t>
      </w:r>
      <w:r w:rsidR="00062BFA">
        <w:t xml:space="preserve"> i prz</w:t>
      </w:r>
      <w:r>
        <w:t>epływów gazów cieplarnianych</w:t>
      </w:r>
      <w:r w:rsidR="00062BFA">
        <w:t xml:space="preserve"> w eko</w:t>
      </w:r>
      <w:r>
        <w:t>systemach lądowych, https://www.ipcc.ch/srccl/.</w:t>
      </w:r>
    </w:p>
  </w:footnote>
  <w:footnote w:id="21">
    <w:p w14:paraId="1E116D7B" w14:textId="77777777" w:rsidR="002B56DE" w:rsidRPr="00705FFA" w:rsidRDefault="002B56DE" w:rsidP="008E648C">
      <w:pPr>
        <w:pStyle w:val="Tekstprzypisudolnego"/>
        <w:ind w:left="0" w:firstLine="0"/>
      </w:pPr>
      <w:r>
        <w:rPr>
          <w:rStyle w:val="Odwoanieprzypisudolnego"/>
        </w:rPr>
        <w:footnoteRef/>
      </w:r>
      <w:r>
        <w:tab/>
        <w:t>Forest Europe – konferencja ministerialna</w:t>
      </w:r>
      <w:r w:rsidR="00062BFA">
        <w:t xml:space="preserve"> w spr</w:t>
      </w:r>
      <w:r>
        <w:t>awie ochrony lasów</w:t>
      </w:r>
      <w:r w:rsidR="00062BFA">
        <w:t xml:space="preserve"> w Eur</w:t>
      </w:r>
      <w:r>
        <w:t>opie, „State of Europe's Forests 2020” [„Stan lasów Europy</w:t>
      </w:r>
      <w:r w:rsidR="00062BFA">
        <w:t xml:space="preserve"> w 2</w:t>
      </w:r>
      <w:r>
        <w:t>0</w:t>
      </w:r>
      <w:r w:rsidRPr="00062BFA">
        <w:t>20</w:t>
      </w:r>
      <w:r w:rsidR="00062BFA" w:rsidRPr="00062BFA">
        <w:t> </w:t>
      </w:r>
      <w:r w:rsidRPr="00062BFA">
        <w:t>r.</w:t>
      </w:r>
      <w:r>
        <w:t>”], https://foresteurope.org/state-europes-forests-2020/</w:t>
      </w:r>
    </w:p>
  </w:footnote>
  <w:footnote w:id="22">
    <w:p w14:paraId="1DA1BB03" w14:textId="77777777" w:rsidR="002B56DE" w:rsidRPr="00705FFA" w:rsidRDefault="002B56DE" w:rsidP="008E648C">
      <w:pPr>
        <w:pStyle w:val="Tekstprzypisudolnego"/>
        <w:ind w:left="0" w:firstLine="0"/>
      </w:pPr>
      <w:r>
        <w:rPr>
          <w:rStyle w:val="Odwoanieprzypisudolnego"/>
        </w:rPr>
        <w:footnoteRef/>
      </w:r>
      <w:r>
        <w:tab/>
        <w:t>Europejska Agencja Środowiska, „State of the Environment 2020” [„Stan środowiska</w:t>
      </w:r>
      <w:r w:rsidR="00062BFA">
        <w:t xml:space="preserve"> w 2</w:t>
      </w:r>
      <w:r>
        <w:t>0</w:t>
      </w:r>
      <w:r w:rsidRPr="00062BFA">
        <w:t>20</w:t>
      </w:r>
      <w:r w:rsidR="00062BFA" w:rsidRPr="00062BFA">
        <w:t> </w:t>
      </w:r>
      <w:r w:rsidRPr="00062BFA">
        <w:t>r.</w:t>
      </w:r>
      <w:r>
        <w:t>”], https://www.eea.europa.eu/soer/publications/soer-2020</w:t>
      </w:r>
    </w:p>
  </w:footnote>
  <w:footnote w:id="23">
    <w:p w14:paraId="609025D3" w14:textId="77777777" w:rsidR="002B56DE" w:rsidRPr="0072133D" w:rsidRDefault="002B56DE" w:rsidP="008E648C">
      <w:pPr>
        <w:pStyle w:val="Tekstprzypisudolnego"/>
      </w:pPr>
      <w:r>
        <w:rPr>
          <w:rStyle w:val="Odwoanieprzypisudolnego"/>
        </w:rPr>
        <w:footnoteRef/>
      </w:r>
      <w:r>
        <w:tab/>
        <w:t>COM(2019) 352 final.</w:t>
      </w:r>
    </w:p>
  </w:footnote>
  <w:footnote w:id="24">
    <w:p w14:paraId="1507F149" w14:textId="77777777" w:rsidR="002B56DE" w:rsidRPr="0022710E" w:rsidRDefault="002B56DE" w:rsidP="008E648C">
      <w:pPr>
        <w:pStyle w:val="Tekstprzypisudolnego"/>
        <w:ind w:left="0" w:firstLine="0"/>
      </w:pPr>
      <w:r>
        <w:rPr>
          <w:rStyle w:val="Odwoanieprzypisudolnego"/>
        </w:rPr>
        <w:footnoteRef/>
      </w:r>
      <w:r>
        <w:tab/>
        <w:t>Komunikat Komisji do Parlamentu Europejskiego, Rady Europejskiej, Rady, Komitetu Ekonomiczno-Społecznego</w:t>
      </w:r>
      <w:r w:rsidR="00062BFA">
        <w:t xml:space="preserve"> i Kom</w:t>
      </w:r>
      <w:r>
        <w:t>itetu Regionów – Europejski Zielony Ład, COM(2019) 640 final.</w:t>
      </w:r>
    </w:p>
  </w:footnote>
  <w:footnote w:id="25">
    <w:p w14:paraId="6CC04AFE" w14:textId="77777777" w:rsidR="002B56DE" w:rsidRPr="009135E0" w:rsidRDefault="002B56DE" w:rsidP="008E648C">
      <w:pPr>
        <w:pStyle w:val="Tekstprzypisudolnego"/>
        <w:ind w:left="0" w:firstLine="0"/>
      </w:pPr>
      <w:r>
        <w:rPr>
          <w:rStyle w:val="Odwoanieprzypisudolnego"/>
        </w:rPr>
        <w:footnoteRef/>
      </w:r>
      <w:r>
        <w:tab/>
        <w:t>Komunikat Komisji do Parlamentu Europejskiego, Rady, Europejskiego Komitetu Ekonomiczno-Społecznego</w:t>
      </w:r>
      <w:r w:rsidR="00062BFA">
        <w:t xml:space="preserve"> i Kom</w:t>
      </w:r>
      <w:r>
        <w:t>itetu Regionów – Unijna strategia na rzecz bioróżnorodności 2030 – Przywracanie przyrody do naszego życia, COM(2020) 380 final.</w:t>
      </w:r>
    </w:p>
  </w:footnote>
  <w:footnote w:id="26">
    <w:p w14:paraId="2809EB6F" w14:textId="77777777" w:rsidR="002B56DE" w:rsidRPr="009135E0" w:rsidRDefault="002B56DE" w:rsidP="008E648C">
      <w:pPr>
        <w:pStyle w:val="Tekstprzypisudolnego"/>
        <w:ind w:left="0" w:firstLine="0"/>
      </w:pPr>
      <w:r>
        <w:rPr>
          <w:rStyle w:val="Odwoanieprzypisudolnego"/>
        </w:rPr>
        <w:footnoteRef/>
      </w:r>
      <w:r>
        <w:tab/>
        <w:t>Komunikat Komisji do Parlamentu Europejskiego, Rady, Europejskiego Komitetu Ekonomiczno-Społecznego</w:t>
      </w:r>
      <w:r w:rsidR="00062BFA">
        <w:t xml:space="preserve"> i Kom</w:t>
      </w:r>
      <w:r>
        <w:t>itetu Regionów – Strategia „od pola do stołu” na rzecz sprawiedliwego, zdrowego</w:t>
      </w:r>
      <w:r w:rsidR="00062BFA">
        <w:t xml:space="preserve"> i prz</w:t>
      </w:r>
      <w:r>
        <w:t>yjaznego dla środowiska systemu żywnościowego, COM(2020) 381 final.</w:t>
      </w:r>
    </w:p>
  </w:footnote>
  <w:footnote w:id="27">
    <w:p w14:paraId="1F99D03A" w14:textId="77777777" w:rsidR="002B56DE" w:rsidRPr="009135E0" w:rsidRDefault="002B56DE" w:rsidP="008E648C">
      <w:pPr>
        <w:pStyle w:val="Tekstprzypisudolnego"/>
        <w:ind w:left="0" w:firstLine="0"/>
      </w:pPr>
      <w:r>
        <w:rPr>
          <w:rStyle w:val="Odwoanieprzypisudolnego"/>
        </w:rPr>
        <w:footnoteRef/>
      </w:r>
      <w:r>
        <w:tab/>
        <w:t>Komunikat Komisji do Parlamentu Europejskiego, Rady, Europejskiego Komitetu Ekonomiczno-Społecznego</w:t>
      </w:r>
      <w:r w:rsidR="00062BFA">
        <w:t xml:space="preserve"> i Kom</w:t>
      </w:r>
      <w:r>
        <w:t>itetu Regionów – Nowa strategia leśna UE na rzecz lasów</w:t>
      </w:r>
      <w:r w:rsidR="00062BFA">
        <w:t xml:space="preserve"> i sek</w:t>
      </w:r>
      <w:r>
        <w:t>tora leśno-drzewnego, COM(2013) 659 final.</w:t>
      </w:r>
    </w:p>
  </w:footnote>
  <w:footnote w:id="28">
    <w:p w14:paraId="6AD5FECF" w14:textId="77777777" w:rsidR="002B56DE" w:rsidRDefault="002B56DE" w:rsidP="008E648C">
      <w:pPr>
        <w:pStyle w:val="Tekstprzypisudolnego"/>
      </w:pPr>
      <w:r>
        <w:rPr>
          <w:rStyle w:val="Odwoanieprzypisudolnego"/>
        </w:rPr>
        <w:footnoteRef/>
      </w:r>
      <w:r>
        <w:tab/>
        <w:t>Komunikat Komisji do Parlamentu Europejskiego, Rady, Europejskiego Komitetu Ekonomiczno-Społecznego</w:t>
      </w:r>
      <w:r w:rsidR="00062BFA">
        <w:t xml:space="preserve"> i Kom</w:t>
      </w:r>
      <w:r>
        <w:t xml:space="preserve">itetu Regionów Droga do zdrowej planety dla wszystkich, Plan działania UE </w:t>
      </w:r>
    </w:p>
    <w:p w14:paraId="2E9D3ED1" w14:textId="77777777" w:rsidR="002B56DE" w:rsidRPr="009135E0" w:rsidRDefault="002B56DE" w:rsidP="008E648C">
      <w:pPr>
        <w:pStyle w:val="Tekstprzypisudolnego"/>
      </w:pPr>
      <w:r>
        <w:t>na rzecz eliminacji zanieczyszczeń wody, powietrza</w:t>
      </w:r>
      <w:r w:rsidR="00062BFA">
        <w:t xml:space="preserve"> i gle</w:t>
      </w:r>
      <w:r>
        <w:t>by, COM(2021) 400 final.</w:t>
      </w:r>
    </w:p>
  </w:footnote>
  <w:footnote w:id="29">
    <w:p w14:paraId="617F95E4" w14:textId="77777777" w:rsidR="002B56DE" w:rsidRPr="00947202" w:rsidRDefault="002B56DE">
      <w:pPr>
        <w:pStyle w:val="Tekstprzypisudolnego"/>
      </w:pPr>
      <w:r>
        <w:rPr>
          <w:rStyle w:val="Odwoanieprzypisudolnego"/>
        </w:rPr>
        <w:footnoteRef/>
      </w:r>
      <w:r>
        <w:tab/>
        <w:t>Np. komunikat Komisji do Parlamentu Europejskiego, Rady, Europejskiego Komitetu Ekonomiczno-Społecznego</w:t>
      </w:r>
      <w:r w:rsidR="00062BFA">
        <w:t xml:space="preserve"> i Kom</w:t>
      </w:r>
      <w:r>
        <w:t>itetu Regionów – Długoterminowa wizja dla obszarów wiejskich UE – W kierunku silniejszych, lepiej skomunikowanych, odpornych</w:t>
      </w:r>
      <w:r w:rsidR="00062BFA">
        <w:t xml:space="preserve"> i zam</w:t>
      </w:r>
      <w:r>
        <w:t xml:space="preserve">ożnych obszarów wiejskich </w:t>
      </w:r>
      <w:r w:rsidRPr="00062BFA">
        <w:t>do</w:t>
      </w:r>
      <w:r w:rsidR="00062BFA" w:rsidRPr="00062BFA">
        <w:t> </w:t>
      </w:r>
      <w:r w:rsidRPr="00062BFA">
        <w:t>2</w:t>
      </w:r>
      <w:r>
        <w:t>0</w:t>
      </w:r>
      <w:r w:rsidRPr="00062BFA">
        <w:t>40</w:t>
      </w:r>
      <w:r w:rsidR="00062BFA" w:rsidRPr="00062BFA">
        <w:t> </w:t>
      </w:r>
      <w:r w:rsidRPr="00062BFA">
        <w:t>r.</w:t>
      </w:r>
      <w:r>
        <w:t>, COM(2021) 345 final.</w:t>
      </w:r>
    </w:p>
  </w:footnote>
  <w:footnote w:id="30">
    <w:p w14:paraId="76A62DFB" w14:textId="77777777" w:rsidR="002B56DE" w:rsidRPr="0022710E" w:rsidRDefault="002B56DE" w:rsidP="008E648C">
      <w:pPr>
        <w:pStyle w:val="Tekstprzypisudolnego"/>
        <w:ind w:left="0" w:firstLine="0"/>
      </w:pPr>
      <w:r>
        <w:rPr>
          <w:rStyle w:val="Odwoanieprzypisudolnego"/>
        </w:rPr>
        <w:footnoteRef/>
      </w:r>
      <w:r>
        <w:tab/>
        <w:t>Komunikat Komisji do Parlamentu Europejskiego, Rady, Europejskiego Komitetu Ekonomiczno-Społecznego</w:t>
      </w:r>
      <w:r w:rsidR="00062BFA">
        <w:t xml:space="preserve"> i Kom</w:t>
      </w:r>
      <w:r>
        <w:t>itetu Regionów – Zrównoważona biogospodarka dla Europy: wzmocnienie powiązań między gospodarką, społeczeństwem</w:t>
      </w:r>
      <w:r w:rsidR="00062BFA">
        <w:t xml:space="preserve"> i śro</w:t>
      </w:r>
      <w:r>
        <w:t>dowiskiem: zaktualizowana strategia dotycząca biogospodarki, COM(2018) 273 final.</w:t>
      </w:r>
    </w:p>
  </w:footnote>
  <w:footnote w:id="31">
    <w:p w14:paraId="603EF470" w14:textId="77777777" w:rsidR="002B56DE" w:rsidRPr="007659DC" w:rsidRDefault="002B56DE" w:rsidP="008E648C">
      <w:pPr>
        <w:pStyle w:val="Tekstprzypisudolnego"/>
        <w:ind w:left="0" w:firstLine="0"/>
      </w:pPr>
      <w:r>
        <w:rPr>
          <w:rStyle w:val="Odwoanieprzypisudolnego"/>
        </w:rPr>
        <w:footnoteRef/>
      </w:r>
      <w:r>
        <w:tab/>
        <w:t>Konkluzje Rady</w:t>
      </w:r>
      <w:r w:rsidR="00062BFA">
        <w:t xml:space="preserve"> w spr</w:t>
      </w:r>
      <w:r>
        <w:t>awie komunikatu dotyczącego zintensyfikowania działań UE na rzecz ochrony</w:t>
      </w:r>
      <w:r w:rsidR="00062BFA">
        <w:t xml:space="preserve"> i odt</w:t>
      </w:r>
      <w:r>
        <w:t>warzania światowych lasów (z dnia 16 grudnia 20</w:t>
      </w:r>
      <w:r w:rsidRPr="00062BFA">
        <w:t>19</w:t>
      </w:r>
      <w:r w:rsidR="00062BFA" w:rsidRPr="00062BFA">
        <w:t> </w:t>
      </w:r>
      <w:r w:rsidRPr="00062BFA">
        <w:t>r.</w:t>
      </w:r>
      <w:r>
        <w:t>) (15151/19). Dostępne pod adresem: https://data.consilium.europa.eu/doc/document/ST-15151-2019-INIT/pl/pdf</w:t>
      </w:r>
    </w:p>
  </w:footnote>
  <w:footnote w:id="32">
    <w:p w14:paraId="6A344912" w14:textId="77777777" w:rsidR="002B56DE" w:rsidRPr="007659DC" w:rsidRDefault="002B56DE" w:rsidP="008E648C">
      <w:pPr>
        <w:pStyle w:val="Tekstprzypisudolnego"/>
        <w:ind w:left="0" w:firstLine="0"/>
      </w:pPr>
      <w:r>
        <w:rPr>
          <w:rStyle w:val="Odwoanieprzypisudolnego"/>
        </w:rPr>
        <w:footnoteRef/>
      </w:r>
      <w:r>
        <w:tab/>
        <w:t>Rezolucja Parlamentu Europejskiego</w:t>
      </w:r>
      <w:r w:rsidR="00062BFA">
        <w:t xml:space="preserve"> z dni</w:t>
      </w:r>
      <w:r>
        <w:t>a 22 października 20</w:t>
      </w:r>
      <w:r w:rsidRPr="00062BFA">
        <w:t>20</w:t>
      </w:r>
      <w:r w:rsidR="00062BFA" w:rsidRPr="00062BFA">
        <w:t> </w:t>
      </w:r>
      <w:r w:rsidRPr="00062BFA">
        <w:t>r.</w:t>
      </w:r>
      <w:r>
        <w:t xml:space="preserve"> zawierająca zalecenia dla Komisji</w:t>
      </w:r>
      <w:r w:rsidR="00062BFA">
        <w:t xml:space="preserve"> w spr</w:t>
      </w:r>
      <w:r>
        <w:t>awie unijnych ram prawnych mających na celu zatrzymanie</w:t>
      </w:r>
      <w:r w:rsidR="00062BFA">
        <w:t xml:space="preserve"> i odw</w:t>
      </w:r>
      <w:r>
        <w:t xml:space="preserve">rócenie globalnego wylesiania spowodowanego przez UE (2020/2006(INL)), dostępna pod adresem: </w:t>
      </w:r>
      <w:hyperlink r:id="rId2" w:history="1">
        <w:r>
          <w:t>https://www.europarl.europa.eu/doceo/document/TA-9-2020-0285_PL.html</w:t>
        </w:r>
      </w:hyperlink>
    </w:p>
  </w:footnote>
  <w:footnote w:id="33">
    <w:p w14:paraId="72E43651" w14:textId="77777777" w:rsidR="002B56DE" w:rsidRPr="007659DC" w:rsidRDefault="002B56DE" w:rsidP="008E648C">
      <w:pPr>
        <w:pStyle w:val="Tekstprzypisudolnego"/>
      </w:pPr>
      <w:r>
        <w:rPr>
          <w:rStyle w:val="Odwoanieprzypisudolnego"/>
        </w:rPr>
        <w:footnoteRef/>
      </w:r>
      <w:r>
        <w:tab/>
        <w:t>Porozumienie ratyfikowane przez UE</w:t>
      </w:r>
      <w:r w:rsidR="00062BFA">
        <w:t xml:space="preserve"> w dni</w:t>
      </w:r>
      <w:r>
        <w:t>u 5 października 20</w:t>
      </w:r>
      <w:r w:rsidRPr="00062BFA">
        <w:t>16</w:t>
      </w:r>
      <w:r w:rsidR="00062BFA" w:rsidRPr="00062BFA">
        <w:t> </w:t>
      </w:r>
      <w:r w:rsidRPr="00062BFA">
        <w:t>r.</w:t>
      </w:r>
      <w:r>
        <w:t xml:space="preserve"> weszło</w:t>
      </w:r>
      <w:r w:rsidR="00062BFA">
        <w:t xml:space="preserve"> w życ</w:t>
      </w:r>
      <w:r>
        <w:t>ie dnia 4 listopada 20</w:t>
      </w:r>
      <w:r w:rsidRPr="00062BFA">
        <w:t>16</w:t>
      </w:r>
      <w:r w:rsidR="00062BFA" w:rsidRPr="00062BFA">
        <w:t> </w:t>
      </w:r>
      <w:r w:rsidRPr="00062BFA">
        <w:t>r.</w:t>
      </w:r>
    </w:p>
  </w:footnote>
  <w:footnote w:id="34">
    <w:p w14:paraId="3804A827" w14:textId="77777777" w:rsidR="002B56DE" w:rsidRPr="005F6FEC" w:rsidRDefault="002B56DE" w:rsidP="008E648C">
      <w:pPr>
        <w:pStyle w:val="Tekstprzypisudolnego"/>
        <w:ind w:left="0" w:firstLine="0"/>
      </w:pPr>
      <w:r>
        <w:rPr>
          <w:rStyle w:val="Odwoanieprzypisudolnego"/>
        </w:rPr>
        <w:footnoteRef/>
      </w:r>
      <w:r>
        <w:tab/>
      </w:r>
      <w:r>
        <w:rPr>
          <w:shd w:val="clear" w:color="auto" w:fill="FFFFFF"/>
        </w:rPr>
        <w:t xml:space="preserve">FAO, nowe </w:t>
      </w:r>
      <w:hyperlink r:id="rId3" w:history="1">
        <w:r>
          <w:rPr>
            <w:rStyle w:val="Hipercze"/>
            <w:color w:val="auto"/>
            <w:u w:val="none"/>
            <w:shd w:val="clear" w:color="auto" w:fill="FFFFFF"/>
          </w:rPr>
          <w:t>badanie teledetekcyjne procesów globalnych</w:t>
        </w:r>
      </w:hyperlink>
      <w:r>
        <w:t>, 6 listopada 20</w:t>
      </w:r>
      <w:r w:rsidRPr="00062BFA">
        <w:t>21</w:t>
      </w:r>
      <w:r w:rsidR="00062BFA" w:rsidRPr="00062BFA">
        <w:t> </w:t>
      </w:r>
      <w:r w:rsidRPr="00062BFA">
        <w:t>r.</w:t>
      </w:r>
      <w:r>
        <w:rPr>
          <w:shd w:val="clear" w:color="auto" w:fill="FFFFFF"/>
        </w:rPr>
        <w:t xml:space="preserve"> – </w:t>
      </w:r>
      <w:hyperlink r:id="rId4" w:history="1">
        <w:r>
          <w:rPr>
            <w:rStyle w:val="Hipercze"/>
            <w:color w:val="auto"/>
            <w:u w:val="none"/>
          </w:rPr>
          <w:t>„FAO Remote Sensing Survey reveals tropical rainforests under pressure as agricultural expansion drives global deforestation”</w:t>
        </w:r>
      </w:hyperlink>
      <w:r>
        <w:t xml:space="preserve"> [Badanie teledetekcyjne FAO ujawnia, że tropikalne lasy deszczowe znajdują się pod presją, ponieważ ekspansja rolna powoduje globalne wylesianie].</w:t>
      </w:r>
    </w:p>
  </w:footnote>
  <w:footnote w:id="35">
    <w:p w14:paraId="25B3BB35" w14:textId="77777777" w:rsidR="002B56DE" w:rsidRPr="007659DC" w:rsidRDefault="002B56DE" w:rsidP="008E648C">
      <w:pPr>
        <w:pStyle w:val="Tekstprzypisudolnego"/>
      </w:pPr>
      <w:r>
        <w:rPr>
          <w:rStyle w:val="Odwoanieprzypisudolnego"/>
        </w:rPr>
        <w:footnoteRef/>
      </w:r>
      <w:r>
        <w:tab/>
        <w:t>https://unfccc.int/news/new-york-declaration-on-forests</w:t>
      </w:r>
    </w:p>
  </w:footnote>
  <w:footnote w:id="36">
    <w:p w14:paraId="7B21AE53" w14:textId="77777777" w:rsidR="002B56DE" w:rsidRPr="00105CB9" w:rsidRDefault="002B56DE" w:rsidP="008E648C">
      <w:pPr>
        <w:pStyle w:val="Tekstprzypisudolnego"/>
      </w:pPr>
      <w:r>
        <w:rPr>
          <w:rStyle w:val="Odwoanieprzypisudolnego"/>
        </w:rPr>
        <w:footnoteRef/>
      </w:r>
      <w:r>
        <w:tab/>
        <w:t>https://www.un.org/esa/forests/wp-content/uploads/2016/12/UNSPF_AdvUnedited.pdf</w:t>
      </w:r>
    </w:p>
  </w:footnote>
  <w:footnote w:id="37">
    <w:p w14:paraId="5629B0B2" w14:textId="77777777" w:rsidR="002B56DE" w:rsidRPr="00105CB9" w:rsidRDefault="002B56DE" w:rsidP="008E648C">
      <w:pPr>
        <w:pStyle w:val="Tekstprzypisudolnego"/>
      </w:pPr>
      <w:r>
        <w:rPr>
          <w:rStyle w:val="Odwoanieprzypisudolnego"/>
        </w:rPr>
        <w:footnoteRef/>
      </w:r>
      <w:r>
        <w:tab/>
        <w:t>https://ukcop26.org/glasgow-leaders-declaration-on-forests-and-land-use</w:t>
      </w:r>
    </w:p>
  </w:footnote>
  <w:footnote w:id="38">
    <w:p w14:paraId="186C70F6" w14:textId="77777777" w:rsidR="002B56DE" w:rsidRPr="00947202" w:rsidRDefault="002B56DE">
      <w:pPr>
        <w:pStyle w:val="Tekstprzypisudolnego"/>
      </w:pPr>
      <w:r>
        <w:rPr>
          <w:rStyle w:val="Odwoanieprzypisudolnego"/>
        </w:rPr>
        <w:footnoteRef/>
      </w:r>
      <w:r>
        <w:tab/>
        <w:t>Komunikat Komisji do Parlamentu Europejskiego, Rady, Europejskiego Komitetu Ekonomiczno-Społecznego</w:t>
      </w:r>
      <w:r w:rsidR="00062BFA">
        <w:t xml:space="preserve"> i Kom</w:t>
      </w:r>
      <w:r>
        <w:t>itetu Regionów, Przegląd polityki handlowej – Otwarta, zrównoważona</w:t>
      </w:r>
      <w:r w:rsidR="00062BFA">
        <w:t xml:space="preserve"> i ase</w:t>
      </w:r>
      <w:r>
        <w:t>rtywna polityka handlowa, COM(2021) 66 final, 18 lutego 20</w:t>
      </w:r>
      <w:r w:rsidRPr="00062BFA">
        <w:t>21</w:t>
      </w:r>
      <w:r w:rsidR="00062BFA" w:rsidRPr="00062BFA">
        <w:t> </w:t>
      </w:r>
      <w:r w:rsidRPr="00062BFA">
        <w:t>r.</w:t>
      </w:r>
    </w:p>
  </w:footnote>
  <w:footnote w:id="39">
    <w:p w14:paraId="13364E1C" w14:textId="77777777" w:rsidR="002B56DE" w:rsidRPr="00B774C3" w:rsidRDefault="002B56DE" w:rsidP="008E648C">
      <w:pPr>
        <w:pStyle w:val="Tekstprzypisudolnego"/>
      </w:pPr>
      <w:r>
        <w:rPr>
          <w:rStyle w:val="Odwoanieprzypisudolnego"/>
        </w:rPr>
        <w:footnoteRef/>
      </w:r>
      <w:r>
        <w:tab/>
        <w:t>COM(2019) 352 final.</w:t>
      </w:r>
    </w:p>
  </w:footnote>
  <w:footnote w:id="40">
    <w:p w14:paraId="255F3940" w14:textId="77777777" w:rsidR="002B56DE" w:rsidRPr="00B774C3" w:rsidRDefault="002B56DE" w:rsidP="008E648C">
      <w:pPr>
        <w:pStyle w:val="Tekstprzypisudolnego"/>
      </w:pPr>
      <w:r>
        <w:rPr>
          <w:rStyle w:val="Odwoanieprzypisudolnego"/>
        </w:rPr>
        <w:footnoteRef/>
      </w:r>
      <w:r>
        <w:tab/>
        <w:t>Dz.U. L 295</w:t>
      </w:r>
      <w:r w:rsidR="00062BFA">
        <w:t xml:space="preserve"> z 1</w:t>
      </w:r>
      <w:r>
        <w:t>2.11.2010, s. 23.</w:t>
      </w:r>
    </w:p>
  </w:footnote>
  <w:footnote w:id="41">
    <w:p w14:paraId="5124251D" w14:textId="77777777" w:rsidR="002B56DE" w:rsidRPr="00B774C3" w:rsidRDefault="002B56DE" w:rsidP="008E648C">
      <w:pPr>
        <w:pStyle w:val="Tekstprzypisudolnego"/>
      </w:pPr>
      <w:r>
        <w:rPr>
          <w:rStyle w:val="Odwoanieprzypisudolnego"/>
        </w:rPr>
        <w:footnoteRef/>
      </w:r>
      <w:r>
        <w:tab/>
        <w:t>Dz.U. L 347</w:t>
      </w:r>
      <w:r w:rsidR="00062BFA">
        <w:t xml:space="preserve"> z 3</w:t>
      </w:r>
      <w:r>
        <w:t>0.12.2005, s. 1.</w:t>
      </w:r>
    </w:p>
  </w:footnote>
  <w:footnote w:id="42">
    <w:p w14:paraId="72B0B3B5" w14:textId="77777777" w:rsidR="002B56DE" w:rsidRPr="00B774C3" w:rsidRDefault="002B56DE" w:rsidP="008E648C">
      <w:pPr>
        <w:pStyle w:val="Tekstprzypisudolnego"/>
        <w:ind w:left="0" w:firstLine="0"/>
      </w:pPr>
      <w:r>
        <w:rPr>
          <w:rStyle w:val="Odwoanieprzypisudolnego"/>
        </w:rPr>
        <w:footnoteRef/>
      </w:r>
      <w:r>
        <w:tab/>
        <w:t>https://ec.europa.eu/info/law/better-regulation/have-your-say/initiatives/11630-Nielegalne-pozyskiwanie-drewna-ocena-przepisow-UE-ocena-adekwatnosci-_pl</w:t>
      </w:r>
    </w:p>
  </w:footnote>
  <w:footnote w:id="43">
    <w:p w14:paraId="7FEB0F5A" w14:textId="77777777" w:rsidR="002B56DE" w:rsidRPr="00B15C12" w:rsidRDefault="002B56DE" w:rsidP="008E648C">
      <w:pPr>
        <w:pStyle w:val="Tekstprzypisudolnego"/>
      </w:pPr>
      <w:r>
        <w:rPr>
          <w:rStyle w:val="Odwoanieprzypisudolnego"/>
        </w:rPr>
        <w:footnoteRef/>
      </w:r>
      <w:r>
        <w:tab/>
        <w:t>https://www.forest-trends.org/wp-content/uploads/2021/05/Illicit-Harvest-Complicit-Goods_rev.pdf</w:t>
      </w:r>
    </w:p>
  </w:footnote>
  <w:footnote w:id="44">
    <w:p w14:paraId="77B8DF69" w14:textId="77777777" w:rsidR="002B56DE" w:rsidRPr="00846DFF" w:rsidRDefault="002B56DE" w:rsidP="008E648C">
      <w:pPr>
        <w:pStyle w:val="Tekstprzypisudolnego"/>
      </w:pPr>
      <w:r>
        <w:rPr>
          <w:rStyle w:val="Odwoanieprzypisudolnego"/>
        </w:rPr>
        <w:footnoteRef/>
      </w:r>
      <w:r>
        <w:tab/>
        <w:t>Pendrill F., Persson U. M., Kastner, T. 2020.</w:t>
      </w:r>
    </w:p>
  </w:footnote>
  <w:footnote w:id="45">
    <w:p w14:paraId="0A5FB8C2" w14:textId="77777777" w:rsidR="002B56DE" w:rsidRPr="005E26CD" w:rsidRDefault="002B56DE" w:rsidP="008E648C">
      <w:pPr>
        <w:pStyle w:val="Tekstprzypisudolnego"/>
      </w:pPr>
      <w:r>
        <w:rPr>
          <w:rStyle w:val="Odwoanieprzypisudolnego"/>
        </w:rPr>
        <w:footnoteRef/>
      </w:r>
      <w:r>
        <w:tab/>
      </w:r>
      <w:r>
        <w:rPr>
          <w:rStyle w:val="Odwoanieprzypisudolnego"/>
          <w:vertAlign w:val="baseline"/>
        </w:rPr>
        <w:t>Rozporządzenie Parlamentu Europejskiego</w:t>
      </w:r>
      <w:r w:rsidR="00062BFA">
        <w:rPr>
          <w:rStyle w:val="Odwoanieprzypisudolnego"/>
          <w:vertAlign w:val="baseline"/>
        </w:rPr>
        <w:t xml:space="preserve"> i Rad</w:t>
      </w:r>
      <w:r>
        <w:rPr>
          <w:rStyle w:val="Odwoanieprzypisudolnego"/>
          <w:vertAlign w:val="baseline"/>
        </w:rPr>
        <w:t>y (UE) 2016/679</w:t>
      </w:r>
      <w:r w:rsidR="00062BFA">
        <w:rPr>
          <w:rStyle w:val="Odwoanieprzypisudolnego"/>
          <w:vertAlign w:val="baseline"/>
        </w:rPr>
        <w:t xml:space="preserve"> z dni</w:t>
      </w:r>
      <w:r>
        <w:rPr>
          <w:rStyle w:val="Odwoanieprzypisudolnego"/>
          <w:vertAlign w:val="baseline"/>
        </w:rPr>
        <w:t>a 27 kwietnia 20</w:t>
      </w:r>
      <w:r w:rsidRPr="00062BFA">
        <w:rPr>
          <w:rStyle w:val="Odwoanieprzypisudolnego"/>
          <w:vertAlign w:val="baseline"/>
        </w:rPr>
        <w:t>16</w:t>
      </w:r>
      <w:r w:rsidR="00062BFA" w:rsidRPr="00062BFA">
        <w:rPr>
          <w:rStyle w:val="Odwoanieprzypisudolnego"/>
          <w:vertAlign w:val="baseline"/>
        </w:rPr>
        <w:t> </w:t>
      </w:r>
      <w:r w:rsidRPr="00062BFA">
        <w:rPr>
          <w:rStyle w:val="Odwoanieprzypisudolnego"/>
          <w:vertAlign w:val="baseline"/>
        </w:rPr>
        <w:t>r.</w:t>
      </w:r>
      <w:r w:rsidR="00062BFA">
        <w:rPr>
          <w:rStyle w:val="Odwoanieprzypisudolnego"/>
          <w:vertAlign w:val="baseline"/>
        </w:rPr>
        <w:t xml:space="preserve"> w spr</w:t>
      </w:r>
      <w:r>
        <w:rPr>
          <w:rStyle w:val="Odwoanieprzypisudolnego"/>
          <w:vertAlign w:val="baseline"/>
        </w:rPr>
        <w:t>awie ochrony osób fizycznych</w:t>
      </w:r>
      <w:r w:rsidR="00062BFA">
        <w:rPr>
          <w:rStyle w:val="Odwoanieprzypisudolnego"/>
          <w:vertAlign w:val="baseline"/>
        </w:rPr>
        <w:t xml:space="preserve"> w zwi</w:t>
      </w:r>
      <w:r>
        <w:rPr>
          <w:rStyle w:val="Odwoanieprzypisudolnego"/>
          <w:vertAlign w:val="baseline"/>
        </w:rPr>
        <w:t>ązku</w:t>
      </w:r>
      <w:r w:rsidR="00062BFA">
        <w:rPr>
          <w:rStyle w:val="Odwoanieprzypisudolnego"/>
          <w:vertAlign w:val="baseline"/>
        </w:rPr>
        <w:t xml:space="preserve"> z prz</w:t>
      </w:r>
      <w:r>
        <w:rPr>
          <w:rStyle w:val="Odwoanieprzypisudolnego"/>
          <w:vertAlign w:val="baseline"/>
        </w:rPr>
        <w:t>etwarzaniem danych osobowych</w:t>
      </w:r>
      <w:r w:rsidR="00062BFA">
        <w:rPr>
          <w:rStyle w:val="Odwoanieprzypisudolnego"/>
          <w:vertAlign w:val="baseline"/>
        </w:rPr>
        <w:t xml:space="preserve"> i w spr</w:t>
      </w:r>
      <w:r>
        <w:rPr>
          <w:rStyle w:val="Odwoanieprzypisudolnego"/>
          <w:vertAlign w:val="baseline"/>
        </w:rPr>
        <w:t>awie swobodnego przepływu takich danych oraz uchylenia dyrektywy 95/46/WE (ogólne rozporządzenie</w:t>
      </w:r>
      <w:r w:rsidR="00062BFA">
        <w:rPr>
          <w:rStyle w:val="Odwoanieprzypisudolnego"/>
          <w:vertAlign w:val="baseline"/>
        </w:rPr>
        <w:t xml:space="preserve"> o och</w:t>
      </w:r>
      <w:r>
        <w:rPr>
          <w:rStyle w:val="Odwoanieprzypisudolnego"/>
          <w:vertAlign w:val="baseline"/>
        </w:rPr>
        <w:t>ronie danych) (Dz.U. L 119</w:t>
      </w:r>
      <w:r w:rsidR="00062BFA">
        <w:rPr>
          <w:rStyle w:val="Odwoanieprzypisudolnego"/>
          <w:vertAlign w:val="baseline"/>
        </w:rPr>
        <w:t xml:space="preserve"> z 4</w:t>
      </w:r>
      <w:r>
        <w:rPr>
          <w:rStyle w:val="Odwoanieprzypisudolnego"/>
          <w:vertAlign w:val="baseline"/>
        </w:rPr>
        <w:t>.5.2016, s. 1).</w:t>
      </w:r>
    </w:p>
  </w:footnote>
  <w:footnote w:id="46">
    <w:p w14:paraId="153F9676" w14:textId="77777777" w:rsidR="002B56DE" w:rsidRPr="005E26CD" w:rsidRDefault="002B56DE" w:rsidP="008E648C">
      <w:pPr>
        <w:pStyle w:val="Tekstprzypisudolnego"/>
      </w:pPr>
      <w:r>
        <w:rPr>
          <w:rStyle w:val="Odwoanieprzypisudolnego"/>
        </w:rPr>
        <w:footnoteRef/>
      </w:r>
      <w:r>
        <w:tab/>
      </w:r>
      <w:r>
        <w:rPr>
          <w:rStyle w:val="Odwoanieprzypisudolnego"/>
          <w:vertAlign w:val="baseline"/>
        </w:rPr>
        <w:t>Rozporządzenie Parlamentu Europejskiego</w:t>
      </w:r>
      <w:r w:rsidR="00062BFA">
        <w:rPr>
          <w:rStyle w:val="Odwoanieprzypisudolnego"/>
          <w:vertAlign w:val="baseline"/>
        </w:rPr>
        <w:t xml:space="preserve"> i Rad</w:t>
      </w:r>
      <w:r>
        <w:rPr>
          <w:rStyle w:val="Odwoanieprzypisudolnego"/>
          <w:vertAlign w:val="baseline"/>
        </w:rPr>
        <w:t>y (UE) 2018/1725</w:t>
      </w:r>
      <w:r w:rsidR="00062BFA">
        <w:rPr>
          <w:rStyle w:val="Odwoanieprzypisudolnego"/>
          <w:vertAlign w:val="baseline"/>
        </w:rPr>
        <w:t xml:space="preserve"> z dni</w:t>
      </w:r>
      <w:r>
        <w:rPr>
          <w:rStyle w:val="Odwoanieprzypisudolnego"/>
          <w:vertAlign w:val="baseline"/>
        </w:rPr>
        <w:t>a 23 października 20</w:t>
      </w:r>
      <w:r w:rsidRPr="00062BFA">
        <w:rPr>
          <w:rStyle w:val="Odwoanieprzypisudolnego"/>
          <w:vertAlign w:val="baseline"/>
        </w:rPr>
        <w:t>18</w:t>
      </w:r>
      <w:r w:rsidR="00062BFA" w:rsidRPr="00062BFA">
        <w:rPr>
          <w:rStyle w:val="Odwoanieprzypisudolnego"/>
          <w:vertAlign w:val="baseline"/>
        </w:rPr>
        <w:t> </w:t>
      </w:r>
      <w:r w:rsidRPr="00062BFA">
        <w:rPr>
          <w:rStyle w:val="Odwoanieprzypisudolnego"/>
          <w:vertAlign w:val="baseline"/>
        </w:rPr>
        <w:t>r.</w:t>
      </w:r>
      <w:r w:rsidR="00062BFA">
        <w:rPr>
          <w:rStyle w:val="Odwoanieprzypisudolnego"/>
          <w:vertAlign w:val="baseline"/>
        </w:rPr>
        <w:t xml:space="preserve"> w spr</w:t>
      </w:r>
      <w:r>
        <w:rPr>
          <w:rStyle w:val="Odwoanieprzypisudolnego"/>
          <w:vertAlign w:val="baseline"/>
        </w:rPr>
        <w:t>awie ochrony osób fizycznych</w:t>
      </w:r>
      <w:r w:rsidR="00062BFA">
        <w:rPr>
          <w:rStyle w:val="Odwoanieprzypisudolnego"/>
          <w:vertAlign w:val="baseline"/>
        </w:rPr>
        <w:t xml:space="preserve"> w zwi</w:t>
      </w:r>
      <w:r>
        <w:rPr>
          <w:rStyle w:val="Odwoanieprzypisudolnego"/>
          <w:vertAlign w:val="baseline"/>
        </w:rPr>
        <w:t>ązku</w:t>
      </w:r>
      <w:r w:rsidR="00062BFA">
        <w:rPr>
          <w:rStyle w:val="Odwoanieprzypisudolnego"/>
          <w:vertAlign w:val="baseline"/>
        </w:rPr>
        <w:t xml:space="preserve"> z prz</w:t>
      </w:r>
      <w:r>
        <w:rPr>
          <w:rStyle w:val="Odwoanieprzypisudolnego"/>
          <w:vertAlign w:val="baseline"/>
        </w:rPr>
        <w:t>etwarzaniem danych osobowych przez instytucje, organy</w:t>
      </w:r>
      <w:r w:rsidR="00062BFA">
        <w:rPr>
          <w:rStyle w:val="Odwoanieprzypisudolnego"/>
          <w:vertAlign w:val="baseline"/>
        </w:rPr>
        <w:t xml:space="preserve"> i jed</w:t>
      </w:r>
      <w:r>
        <w:rPr>
          <w:rStyle w:val="Odwoanieprzypisudolnego"/>
          <w:vertAlign w:val="baseline"/>
        </w:rPr>
        <w:t>nostki organizacyjne Unii</w:t>
      </w:r>
      <w:r w:rsidR="00062BFA">
        <w:rPr>
          <w:rStyle w:val="Odwoanieprzypisudolnego"/>
          <w:vertAlign w:val="baseline"/>
        </w:rPr>
        <w:t xml:space="preserve"> i swo</w:t>
      </w:r>
      <w:r>
        <w:rPr>
          <w:rStyle w:val="Odwoanieprzypisudolnego"/>
          <w:vertAlign w:val="baseline"/>
        </w:rPr>
        <w:t xml:space="preserve">bodnego przepływu takich danych oraz uchylenia rozporządzenia (WE) </w:t>
      </w:r>
      <w:r w:rsidRPr="00062BFA">
        <w:rPr>
          <w:rStyle w:val="Odwoanieprzypisudolnego"/>
          <w:vertAlign w:val="baseline"/>
        </w:rPr>
        <w:t>nr</w:t>
      </w:r>
      <w:r w:rsidR="00062BFA" w:rsidRPr="00062BFA">
        <w:rPr>
          <w:rStyle w:val="Odwoanieprzypisudolnego"/>
          <w:vertAlign w:val="baseline"/>
        </w:rPr>
        <w:t> </w:t>
      </w:r>
      <w:r w:rsidRPr="00062BFA">
        <w:rPr>
          <w:rStyle w:val="Odwoanieprzypisudolnego"/>
          <w:vertAlign w:val="baseline"/>
        </w:rPr>
        <w:t>4</w:t>
      </w:r>
      <w:r>
        <w:rPr>
          <w:rStyle w:val="Odwoanieprzypisudolnego"/>
          <w:vertAlign w:val="baseline"/>
        </w:rPr>
        <w:t>5/2001</w:t>
      </w:r>
      <w:r w:rsidR="00062BFA">
        <w:rPr>
          <w:rStyle w:val="Odwoanieprzypisudolnego"/>
          <w:vertAlign w:val="baseline"/>
        </w:rPr>
        <w:t xml:space="preserve"> i dec</w:t>
      </w:r>
      <w:r>
        <w:rPr>
          <w:rStyle w:val="Odwoanieprzypisudolnego"/>
          <w:vertAlign w:val="baseline"/>
        </w:rPr>
        <w:t xml:space="preserve">yzji </w:t>
      </w:r>
      <w:r w:rsidRPr="00062BFA">
        <w:rPr>
          <w:rStyle w:val="Odwoanieprzypisudolnego"/>
          <w:vertAlign w:val="baseline"/>
        </w:rPr>
        <w:t>nr</w:t>
      </w:r>
      <w:r w:rsidR="00062BFA" w:rsidRPr="00062BFA">
        <w:rPr>
          <w:rStyle w:val="Odwoanieprzypisudolnego"/>
          <w:vertAlign w:val="baseline"/>
        </w:rPr>
        <w:t> </w:t>
      </w:r>
      <w:r w:rsidRPr="00062BFA">
        <w:rPr>
          <w:rStyle w:val="Odwoanieprzypisudolnego"/>
          <w:vertAlign w:val="baseline"/>
        </w:rPr>
        <w:t>1</w:t>
      </w:r>
      <w:r>
        <w:rPr>
          <w:rStyle w:val="Odwoanieprzypisudolnego"/>
          <w:vertAlign w:val="baseline"/>
        </w:rPr>
        <w:t>247/2002/WE (Dz.U. L 295</w:t>
      </w:r>
      <w:r w:rsidR="00062BFA">
        <w:rPr>
          <w:rStyle w:val="Odwoanieprzypisudolnego"/>
          <w:vertAlign w:val="baseline"/>
        </w:rPr>
        <w:t xml:space="preserve"> z 2</w:t>
      </w:r>
      <w:r>
        <w:rPr>
          <w:rStyle w:val="Odwoanieprzypisudolnego"/>
          <w:vertAlign w:val="baseline"/>
        </w:rPr>
        <w:t>1.11.2018, s. 39).</w:t>
      </w:r>
    </w:p>
  </w:footnote>
  <w:footnote w:id="47">
    <w:p w14:paraId="437BF83F" w14:textId="77777777" w:rsidR="002B56DE" w:rsidRPr="00BD247B" w:rsidRDefault="002B56DE" w:rsidP="002F7F77">
      <w:pPr>
        <w:pStyle w:val="Tekstprzypisudolnego"/>
        <w:ind w:left="0" w:firstLine="0"/>
      </w:pPr>
      <w:r>
        <w:rPr>
          <w:rStyle w:val="Odwoanieprzypisudolnego"/>
        </w:rPr>
        <w:footnoteRef/>
      </w:r>
      <w:r>
        <w:tab/>
        <w:t>Rozporządzenie Parlamentu Europejskiego</w:t>
      </w:r>
      <w:r w:rsidR="00062BFA">
        <w:t xml:space="preserve"> i Rad</w:t>
      </w:r>
      <w:r>
        <w:t xml:space="preserve">y (UE) </w:t>
      </w:r>
      <w:r w:rsidRPr="00062BFA">
        <w:t>nr</w:t>
      </w:r>
      <w:r w:rsidR="00062BFA" w:rsidRPr="00062BFA">
        <w:t> </w:t>
      </w:r>
      <w:r w:rsidRPr="00062BFA">
        <w:t>9</w:t>
      </w:r>
      <w:r>
        <w:t>52/2013</w:t>
      </w:r>
      <w:r w:rsidR="00062BFA">
        <w:t xml:space="preserve"> z dni</w:t>
      </w:r>
      <w:r>
        <w:t>a 9 października 20</w:t>
      </w:r>
      <w:r w:rsidRPr="00062BFA">
        <w:t>13</w:t>
      </w:r>
      <w:r w:rsidR="00062BFA" w:rsidRPr="00062BFA">
        <w:t> </w:t>
      </w:r>
      <w:r w:rsidRPr="00062BFA">
        <w:t>r.</w:t>
      </w:r>
      <w:r>
        <w:t xml:space="preserve"> ustanawiające unijny kodeks celny (Dz.U. L 269</w:t>
      </w:r>
      <w:r w:rsidR="00062BFA">
        <w:t xml:space="preserve"> z 1</w:t>
      </w:r>
      <w:r>
        <w:t>0.10.2013, s. 1).</w:t>
      </w:r>
    </w:p>
  </w:footnote>
  <w:footnote w:id="48">
    <w:p w14:paraId="05EF5864" w14:textId="77777777" w:rsidR="002B56DE" w:rsidRPr="003A75CB" w:rsidRDefault="002B56DE" w:rsidP="002F7F77">
      <w:pPr>
        <w:pStyle w:val="Tekstprzypisudolnego"/>
        <w:ind w:left="0" w:firstLine="0"/>
      </w:pPr>
      <w:r>
        <w:rPr>
          <w:rStyle w:val="Odwoanieprzypisudolnego"/>
        </w:rPr>
        <w:footnoteRef/>
      </w:r>
      <w:r>
        <w:tab/>
        <w:t>Dyrektywa Parlamentu Europejskiego</w:t>
      </w:r>
      <w:r w:rsidR="00062BFA">
        <w:t xml:space="preserve"> i Rad</w:t>
      </w:r>
      <w:r>
        <w:t>y 2013/34/UE</w:t>
      </w:r>
      <w:r w:rsidR="00062BFA">
        <w:t xml:space="preserve"> z dni</w:t>
      </w:r>
      <w:r>
        <w:t>a 26 czerwca 20</w:t>
      </w:r>
      <w:r w:rsidRPr="00062BFA">
        <w:t>13</w:t>
      </w:r>
      <w:r w:rsidR="00062BFA" w:rsidRPr="00062BFA">
        <w:t> </w:t>
      </w:r>
      <w:r w:rsidRPr="00062BFA">
        <w:t>r.</w:t>
      </w:r>
      <w:r w:rsidR="00062BFA">
        <w:t xml:space="preserve"> w spr</w:t>
      </w:r>
      <w:r>
        <w:t>awie rocznych sprawozdań finansowych, skonsolidowanych sprawozdań finansowych</w:t>
      </w:r>
      <w:r w:rsidR="00062BFA">
        <w:t xml:space="preserve"> i pow</w:t>
      </w:r>
      <w:r>
        <w:t>iązanych sprawozdań niektórych rodzajów jednostek, zmieniająca dyrektywę Parlamentu Europejskiego</w:t>
      </w:r>
      <w:r w:rsidR="00062BFA">
        <w:t xml:space="preserve"> i Rad</w:t>
      </w:r>
      <w:r>
        <w:t>y 2006/43/WE oraz uchylająca dyrektywy Rady 78/660/EWG</w:t>
      </w:r>
      <w:r w:rsidR="00062BFA">
        <w:t xml:space="preserve"> i 8</w:t>
      </w:r>
      <w:r>
        <w:t>3/349/EWG (Tekst mający znaczenie dla EOG) (Dz.U. L 182</w:t>
      </w:r>
      <w:r w:rsidR="00062BFA">
        <w:t xml:space="preserve"> z 2</w:t>
      </w:r>
      <w:r>
        <w:t>9.6.2013, s. 19).</w:t>
      </w:r>
    </w:p>
  </w:footnote>
  <w:footnote w:id="49">
    <w:p w14:paraId="4A1E9D17" w14:textId="77777777" w:rsidR="002B56DE" w:rsidRPr="00947202" w:rsidRDefault="002B56DE">
      <w:pPr>
        <w:pStyle w:val="Tekstprzypisudolnego"/>
      </w:pPr>
      <w:r>
        <w:rPr>
          <w:rStyle w:val="Odwoanieprzypisudolnego"/>
        </w:rPr>
        <w:footnoteRef/>
      </w:r>
      <w:r>
        <w:tab/>
        <w:t>Dyrektywa Parlamentu Europejskiego</w:t>
      </w:r>
      <w:r w:rsidR="00062BFA">
        <w:t xml:space="preserve"> i Rad</w:t>
      </w:r>
      <w:r>
        <w:t>y (UE) 2018/2001</w:t>
      </w:r>
      <w:r w:rsidR="00062BFA">
        <w:t xml:space="preserve"> z dni</w:t>
      </w:r>
      <w:r>
        <w:t>a 11 grudnia 2018 r.</w:t>
      </w:r>
      <w:r w:rsidR="00062BFA">
        <w:t xml:space="preserve"> w spr</w:t>
      </w:r>
      <w:r>
        <w:t>awie promowania stosowania energii ze źródeł odnawialnych (Dz.U. L 328/82</w:t>
      </w:r>
      <w:r w:rsidR="00062BFA">
        <w:t xml:space="preserve"> z 2</w:t>
      </w:r>
      <w:r>
        <w:t xml:space="preserve">1.12.2018, s. 82) </w:t>
      </w:r>
    </w:p>
  </w:footnote>
  <w:footnote w:id="50">
    <w:p w14:paraId="137D4E01" w14:textId="77777777" w:rsidR="002B56DE" w:rsidRPr="007D26C5" w:rsidRDefault="002B56DE" w:rsidP="00F6614D">
      <w:pPr>
        <w:pStyle w:val="Tekstprzypisudolnego"/>
        <w:ind w:left="0" w:hanging="11"/>
      </w:pPr>
      <w:r>
        <w:rPr>
          <w:rStyle w:val="Odwoanieprzypisudolnego"/>
        </w:rPr>
        <w:footnoteRef/>
      </w:r>
      <w:r>
        <w:tab/>
      </w:r>
      <w:r>
        <w:rPr>
          <w:color w:val="444444"/>
          <w:shd w:val="clear" w:color="auto" w:fill="FFFFFF"/>
        </w:rPr>
        <w:t>Rozporządzenie Parlamentu Europejskiego</w:t>
      </w:r>
      <w:r w:rsidR="00062BFA">
        <w:rPr>
          <w:color w:val="444444"/>
          <w:shd w:val="clear" w:color="auto" w:fill="FFFFFF"/>
        </w:rPr>
        <w:t xml:space="preserve"> i Rad</w:t>
      </w:r>
      <w:r>
        <w:rPr>
          <w:color w:val="444444"/>
          <w:shd w:val="clear" w:color="auto" w:fill="FFFFFF"/>
        </w:rPr>
        <w:t>y (UE) 2019/1020</w:t>
      </w:r>
      <w:r w:rsidR="00062BFA">
        <w:rPr>
          <w:color w:val="444444"/>
          <w:shd w:val="clear" w:color="auto" w:fill="FFFFFF"/>
        </w:rPr>
        <w:t xml:space="preserve"> z dni</w:t>
      </w:r>
      <w:r>
        <w:rPr>
          <w:color w:val="444444"/>
          <w:shd w:val="clear" w:color="auto" w:fill="FFFFFF"/>
        </w:rPr>
        <w:t>a 20 czerwca 2019 r.</w:t>
      </w:r>
      <w:r w:rsidR="00062BFA">
        <w:rPr>
          <w:color w:val="444444"/>
          <w:shd w:val="clear" w:color="auto" w:fill="FFFFFF"/>
        </w:rPr>
        <w:t xml:space="preserve"> w spr</w:t>
      </w:r>
      <w:r>
        <w:rPr>
          <w:color w:val="444444"/>
          <w:shd w:val="clear" w:color="auto" w:fill="FFFFFF"/>
        </w:rPr>
        <w:t>awie nadzoru rynku</w:t>
      </w:r>
      <w:r w:rsidR="00062BFA">
        <w:rPr>
          <w:color w:val="444444"/>
          <w:shd w:val="clear" w:color="auto" w:fill="FFFFFF"/>
        </w:rPr>
        <w:t xml:space="preserve"> i zgo</w:t>
      </w:r>
      <w:r>
        <w:rPr>
          <w:color w:val="444444"/>
          <w:shd w:val="clear" w:color="auto" w:fill="FFFFFF"/>
        </w:rPr>
        <w:t>dności produktów oraz zmieniające dyrektywę 2004/42/WE oraz rozporządzenia (WE) nr 765/2008 i (UE) nr 305/2011.</w:t>
      </w:r>
    </w:p>
  </w:footnote>
  <w:footnote w:id="51">
    <w:p w14:paraId="49263D40" w14:textId="77777777" w:rsidR="002B56DE" w:rsidRPr="00071A89" w:rsidRDefault="002B56DE" w:rsidP="00F6614D">
      <w:pPr>
        <w:pStyle w:val="Tekstprzypisudolnego"/>
        <w:ind w:left="0" w:firstLine="0"/>
      </w:pPr>
      <w:r>
        <w:rPr>
          <w:rStyle w:val="Odwoanieprzypisudolnego"/>
        </w:rPr>
        <w:footnoteRef/>
      </w:r>
      <w:r>
        <w:tab/>
        <w:t>Dyrektywa Parlamentu Europejskiego</w:t>
      </w:r>
      <w:r w:rsidR="00062BFA">
        <w:t xml:space="preserve"> i Rad</w:t>
      </w:r>
      <w:r>
        <w:t>y (UE) 2019/1024</w:t>
      </w:r>
      <w:r w:rsidR="00062BFA">
        <w:t xml:space="preserve"> z dni</w:t>
      </w:r>
      <w:r>
        <w:t>a 20 czerwca 20</w:t>
      </w:r>
      <w:r w:rsidRPr="00062BFA">
        <w:t>19</w:t>
      </w:r>
      <w:r w:rsidR="00062BFA" w:rsidRPr="00062BFA">
        <w:t> </w:t>
      </w:r>
      <w:r w:rsidRPr="00062BFA">
        <w:t>r.</w:t>
      </w:r>
      <w:r w:rsidR="00062BFA">
        <w:t xml:space="preserve"> w spr</w:t>
      </w:r>
      <w:r>
        <w:t>awie otwartych danych</w:t>
      </w:r>
      <w:r w:rsidR="00062BFA">
        <w:t xml:space="preserve"> i pon</w:t>
      </w:r>
      <w:r>
        <w:t>ownego wykorzystywania informacji sektora publicznego (Dz.U. L 172</w:t>
      </w:r>
      <w:r w:rsidR="00062BFA">
        <w:t xml:space="preserve"> z 2</w:t>
      </w:r>
      <w:r>
        <w:t>6.6.2019, s. 56).</w:t>
      </w:r>
    </w:p>
  </w:footnote>
  <w:footnote w:id="52">
    <w:p w14:paraId="5B08A5A0" w14:textId="77777777" w:rsidR="002B56DE" w:rsidRPr="007D26C5" w:rsidRDefault="002B56DE" w:rsidP="00F6614D">
      <w:pPr>
        <w:pStyle w:val="Tekstprzypisudolnego"/>
        <w:ind w:left="0" w:hanging="11"/>
      </w:pPr>
      <w:r>
        <w:rPr>
          <w:rStyle w:val="Odwoanieprzypisudolnego"/>
        </w:rPr>
        <w:footnoteRef/>
      </w:r>
      <w:r>
        <w:tab/>
      </w:r>
      <w:r>
        <w:rPr>
          <w:rStyle w:val="Pogrubienie"/>
          <w:b w:val="0"/>
          <w:shd w:val="clear" w:color="auto" w:fill="FFFFFF"/>
        </w:rPr>
        <w:t>Rozporządzenie</w:t>
      </w:r>
      <w:r>
        <w:rPr>
          <w:shd w:val="clear" w:color="auto" w:fill="FFFFFF"/>
        </w:rPr>
        <w:t> Parlamentu Europejskiego</w:t>
      </w:r>
      <w:r w:rsidR="00062BFA">
        <w:rPr>
          <w:shd w:val="clear" w:color="auto" w:fill="FFFFFF"/>
        </w:rPr>
        <w:t xml:space="preserve"> i Rad</w:t>
      </w:r>
      <w:r>
        <w:rPr>
          <w:shd w:val="clear" w:color="auto" w:fill="FFFFFF"/>
        </w:rPr>
        <w:t>y (UE) nr </w:t>
      </w:r>
      <w:r>
        <w:rPr>
          <w:rStyle w:val="Pogrubienie"/>
          <w:b w:val="0"/>
          <w:shd w:val="clear" w:color="auto" w:fill="FFFFFF"/>
        </w:rPr>
        <w:t>182/2011</w:t>
      </w:r>
      <w:r>
        <w:rPr>
          <w:shd w:val="clear" w:color="auto" w:fill="FFFFFF"/>
        </w:rPr>
        <w:t> z dnia 16 lutego </w:t>
      </w:r>
      <w:r>
        <w:rPr>
          <w:rStyle w:val="Pogrubienie"/>
          <w:b w:val="0"/>
          <w:shd w:val="clear" w:color="auto" w:fill="FFFFFF"/>
        </w:rPr>
        <w:t>20</w:t>
      </w:r>
      <w:r w:rsidRPr="00062BFA">
        <w:rPr>
          <w:rStyle w:val="Pogrubienie"/>
          <w:b w:val="0"/>
          <w:shd w:val="clear" w:color="auto" w:fill="FFFFFF"/>
        </w:rPr>
        <w:t>11</w:t>
      </w:r>
      <w:r w:rsidR="00062BFA" w:rsidRPr="00062BFA">
        <w:rPr>
          <w:rStyle w:val="Pogrubienie"/>
          <w:b w:val="0"/>
          <w:shd w:val="clear" w:color="auto" w:fill="FFFFFF"/>
        </w:rPr>
        <w:t> </w:t>
      </w:r>
      <w:r w:rsidRPr="00062BFA">
        <w:rPr>
          <w:rStyle w:val="Pogrubienie"/>
          <w:b w:val="0"/>
          <w:shd w:val="clear" w:color="auto" w:fill="FFFFFF"/>
        </w:rPr>
        <w:t>r.</w:t>
      </w:r>
      <w:r>
        <w:rPr>
          <w:shd w:val="clear" w:color="auto" w:fill="FFFFFF"/>
        </w:rPr>
        <w:t> ustanawiające przepisy</w:t>
      </w:r>
      <w:r w:rsidR="00062BFA">
        <w:rPr>
          <w:shd w:val="clear" w:color="auto" w:fill="FFFFFF"/>
        </w:rPr>
        <w:t xml:space="preserve"> i zas</w:t>
      </w:r>
      <w:r>
        <w:rPr>
          <w:shd w:val="clear" w:color="auto" w:fill="FFFFFF"/>
        </w:rPr>
        <w:t>ady ogólne dotyczące trybu kontroli przez państwa członkowskie wykonywania uprawnień wykonawczych przez Komisję.</w:t>
      </w:r>
    </w:p>
  </w:footnote>
  <w:footnote w:id="53">
    <w:p w14:paraId="75C6E21C" w14:textId="77777777" w:rsidR="002B56DE" w:rsidRPr="000C199E" w:rsidRDefault="002B56DE" w:rsidP="00F6614D">
      <w:pPr>
        <w:pStyle w:val="Tekstprzypisudolnego"/>
        <w:ind w:left="0" w:firstLine="0"/>
      </w:pPr>
      <w:r>
        <w:rPr>
          <w:rStyle w:val="Odwoanieprzypisudolnego"/>
        </w:rPr>
        <w:footnoteRef/>
      </w:r>
      <w:r>
        <w:tab/>
        <w:t>Zgodnie</w:t>
      </w:r>
      <w:r w:rsidR="00062BFA">
        <w:t xml:space="preserve"> z def</w:t>
      </w:r>
      <w:r>
        <w:t>inicją zawartą</w:t>
      </w:r>
      <w:r w:rsidR="00062BFA">
        <w:t xml:space="preserve"> w </w:t>
      </w:r>
      <w:r w:rsidR="00062BFA" w:rsidRPr="00062BFA">
        <w:t>art</w:t>
      </w:r>
      <w:r w:rsidRPr="00062BFA">
        <w:t>.</w:t>
      </w:r>
      <w:r w:rsidR="00062BFA" w:rsidRPr="00062BFA">
        <w:t> </w:t>
      </w:r>
      <w:r w:rsidRPr="00062BFA">
        <w:t>3</w:t>
      </w:r>
      <w:r>
        <w:t xml:space="preserve"> </w:t>
      </w:r>
      <w:r w:rsidRPr="00062BFA">
        <w:t>ust.</w:t>
      </w:r>
      <w:r w:rsidR="00062BFA" w:rsidRPr="00062BFA">
        <w:t> </w:t>
      </w:r>
      <w:r w:rsidRPr="00062BFA">
        <w:t>1</w:t>
      </w:r>
      <w:r>
        <w:t xml:space="preserve"> dyrektywy Parlamentu Europejskiego</w:t>
      </w:r>
      <w:r w:rsidR="00062BFA">
        <w:t xml:space="preserve"> i Rad</w:t>
      </w:r>
      <w:r>
        <w:t>y 2013/34/UE</w:t>
      </w:r>
      <w:r w:rsidR="00062BFA">
        <w:t xml:space="preserve"> z dni</w:t>
      </w:r>
      <w:r>
        <w:t>a 26 czerwca 20</w:t>
      </w:r>
      <w:r w:rsidRPr="00062BFA">
        <w:t>13</w:t>
      </w:r>
      <w:r w:rsidR="00062BFA" w:rsidRPr="00062BFA">
        <w:t> </w:t>
      </w:r>
      <w:r w:rsidRPr="00062BFA">
        <w:t>r.</w:t>
      </w:r>
      <w:r w:rsidR="00062BFA">
        <w:t xml:space="preserve"> w spr</w:t>
      </w:r>
      <w:r>
        <w:t>awie rocznych sprawozdań finansowych, skonsolidowanych sprawozdań finansowych</w:t>
      </w:r>
      <w:r w:rsidR="00062BFA">
        <w:t xml:space="preserve"> i pow</w:t>
      </w:r>
      <w:r>
        <w:t>iązanych sprawozdań niektórych rodzajów jednostek, zmieniającej dyrektywę Parlamentu Europejskiego</w:t>
      </w:r>
      <w:r w:rsidR="00062BFA">
        <w:t xml:space="preserve"> i Rad</w:t>
      </w:r>
      <w:r>
        <w:t>y 2006/43/WE oraz uchylającej dyrektywy Rady 78/660/EWG</w:t>
      </w:r>
      <w:r w:rsidR="00062BFA">
        <w:t xml:space="preserve"> i 8</w:t>
      </w:r>
      <w:r>
        <w:t>3/349/EWG.</w:t>
      </w:r>
    </w:p>
  </w:footnote>
  <w:footnote w:id="54">
    <w:p w14:paraId="69DD3718" w14:textId="77777777" w:rsidR="002B56DE" w:rsidRPr="004068A1" w:rsidRDefault="002B56DE" w:rsidP="005C77BE">
      <w:pPr>
        <w:rPr>
          <w:rStyle w:val="Odwoanieprzypisudolnego"/>
        </w:rPr>
      </w:pPr>
      <w:r>
        <w:rPr>
          <w:rStyle w:val="Odwoanieprzypisudolnego"/>
        </w:rPr>
        <w:footnoteRef/>
      </w:r>
      <w:r>
        <w:tab/>
        <w:t>O którym mowa</w:t>
      </w:r>
      <w:r w:rsidR="00062BFA">
        <w:t xml:space="preserve"> w </w:t>
      </w:r>
      <w:r w:rsidR="00062BFA" w:rsidRPr="00062BFA">
        <w:t>art</w:t>
      </w:r>
      <w:r w:rsidRPr="00062BFA">
        <w:t>.</w:t>
      </w:r>
      <w:r w:rsidR="00062BFA" w:rsidRPr="00062BFA">
        <w:t> </w:t>
      </w:r>
      <w:r w:rsidRPr="00062BFA">
        <w:t>5</w:t>
      </w:r>
      <w:r>
        <w:t xml:space="preserve">8 </w:t>
      </w:r>
      <w:r w:rsidRPr="00062BFA">
        <w:t>ust.</w:t>
      </w:r>
      <w:r w:rsidR="00062BFA" w:rsidRPr="00062BFA">
        <w:t> </w:t>
      </w:r>
      <w:r w:rsidRPr="00062BFA">
        <w:t>2</w:t>
      </w:r>
      <w:r>
        <w:t xml:space="preserve"> </w:t>
      </w:r>
      <w:r w:rsidRPr="00062BFA">
        <w:t>lit.</w:t>
      </w:r>
      <w:r w:rsidR="00062BFA" w:rsidRPr="00062BFA">
        <w:t> </w:t>
      </w:r>
      <w:r w:rsidRPr="00062BFA">
        <w:t>a)</w:t>
      </w:r>
      <w:r>
        <w:t xml:space="preserve"> lub b) rozporządzenia finansowego.</w:t>
      </w:r>
    </w:p>
  </w:footnote>
  <w:footnote w:id="55">
    <w:p w14:paraId="66977559" w14:textId="77777777" w:rsidR="002B56DE" w:rsidRPr="00B02B19" w:rsidRDefault="002B56DE" w:rsidP="00B02B19">
      <w:pPr>
        <w:rPr>
          <w:rStyle w:val="Odwoanieprzypisudolnego"/>
        </w:rPr>
      </w:pPr>
      <w:r>
        <w:rPr>
          <w:rStyle w:val="Odwoanieprzypisudolnego"/>
        </w:rPr>
        <w:footnoteRef/>
      </w:r>
      <w:r>
        <w:tab/>
      </w:r>
      <w:r>
        <w:rPr>
          <w:sz w:val="20"/>
          <w:szCs w:val="20"/>
        </w:rPr>
        <w:t>https://eur-lex.europa.eu/legal-content/PL/TXT/?qid=1565272554103&amp;uri=CELEX:52019DC0352</w:t>
      </w:r>
    </w:p>
  </w:footnote>
  <w:footnote w:id="56">
    <w:p w14:paraId="5B7DCB2B" w14:textId="77777777" w:rsidR="002B56DE" w:rsidRPr="00540E33" w:rsidRDefault="002B56DE" w:rsidP="00947202">
      <w:pPr>
        <w:pStyle w:val="Tekstprzypisudolnego"/>
        <w:jc w:val="left"/>
        <w:rPr>
          <w:rStyle w:val="Odwoanieprzypisudolnego"/>
        </w:rPr>
      </w:pPr>
      <w:r>
        <w:rPr>
          <w:rStyle w:val="Odwoanieprzypisudolnego"/>
        </w:rPr>
        <w:footnoteRef/>
      </w:r>
      <w:r>
        <w:tab/>
        <w:t xml:space="preserve">Wyjaśnienia dotyczące trybów zarządzania oraz odniesienia do rozporządzenia finansowego znajdują się na następującej stronie: </w:t>
      </w:r>
      <w:hyperlink r:id="rId5" w:history="1">
        <w:r>
          <w:rPr>
            <w:rStyle w:val="Hipercze"/>
          </w:rPr>
          <w:t>https://myintracomm.ec.europa.eu/budgweb/EN/man/budgmanag/Pages/budgmanag.aspx</w:t>
        </w:r>
      </w:hyperlink>
      <w:r>
        <w:t xml:space="preserve"> </w:t>
      </w:r>
    </w:p>
  </w:footnote>
  <w:footnote w:id="57">
    <w:p w14:paraId="03E829C9" w14:textId="77777777" w:rsidR="002B56DE" w:rsidRPr="00F852B7" w:rsidRDefault="002B56DE" w:rsidP="007972EC">
      <w:pPr>
        <w:rPr>
          <w:rStyle w:val="Odwoanieprzypisudolnego"/>
          <w:sz w:val="20"/>
          <w:szCs w:val="20"/>
        </w:rPr>
      </w:pPr>
      <w:r>
        <w:rPr>
          <w:rStyle w:val="Odwoanieprzypisudolnego"/>
        </w:rPr>
        <w:footnoteRef/>
      </w:r>
      <w:r>
        <w:tab/>
        <w:t>Środki zróżnicowane/środki niezróżnicowane</w:t>
      </w:r>
    </w:p>
  </w:footnote>
  <w:footnote w:id="58">
    <w:p w14:paraId="7C97AC7A" w14:textId="77777777" w:rsidR="002B56DE" w:rsidRPr="00F852B7" w:rsidRDefault="002B56DE" w:rsidP="00663F70">
      <w:pPr>
        <w:rPr>
          <w:rStyle w:val="Odwoanieprzypisudolnego"/>
          <w:sz w:val="20"/>
          <w:szCs w:val="20"/>
        </w:rPr>
      </w:pPr>
      <w:r>
        <w:rPr>
          <w:rStyle w:val="Odwoanieprzypisudolnego"/>
        </w:rPr>
        <w:footnoteRef/>
      </w:r>
      <w:r>
        <w:tab/>
      </w:r>
      <w:r>
        <w:rPr>
          <w:sz w:val="20"/>
          <w:szCs w:val="20"/>
        </w:rPr>
        <w:t>EFTA: Europejskie Stowarzyszenie Wolnego Handlu</w:t>
      </w:r>
    </w:p>
  </w:footnote>
  <w:footnote w:id="59">
    <w:p w14:paraId="61C0C7D1" w14:textId="77777777" w:rsidR="002B56DE" w:rsidRPr="00540E33" w:rsidRDefault="002B56DE" w:rsidP="00663F70">
      <w:pPr>
        <w:rPr>
          <w:rStyle w:val="Odwoanieprzypisudolnego"/>
        </w:rPr>
      </w:pPr>
      <w:r>
        <w:rPr>
          <w:rStyle w:val="Odwoanieprzypisudolnego"/>
        </w:rPr>
        <w:footnoteRef/>
      </w:r>
      <w:r>
        <w:tab/>
        <w:t>Kraje kandydujące oraz</w:t>
      </w:r>
      <w:r w:rsidR="00062BFA">
        <w:t xml:space="preserve"> w sto</w:t>
      </w:r>
      <w:r>
        <w:t>sownych przypadkach potencjalne kraje kandydujące Bałkanów Zachodnich.</w:t>
      </w:r>
    </w:p>
  </w:footnote>
  <w:footnote w:id="60">
    <w:p w14:paraId="3BBE94BD" w14:textId="77777777" w:rsidR="002B56DE" w:rsidRPr="00540E33" w:rsidRDefault="002B56DE" w:rsidP="00540E33">
      <w:pPr>
        <w:rPr>
          <w:rStyle w:val="Odwoanieprzypisudolnego"/>
        </w:rPr>
      </w:pPr>
      <w:r>
        <w:rPr>
          <w:rStyle w:val="Odwoanieprzypisudolnego"/>
        </w:rPr>
        <w:footnoteRef/>
      </w:r>
      <w:r>
        <w:tab/>
        <w:t>Wsparcie techniczne lub administracyjne oraz wydatki na wsparcie realizacji programów lub działań UE (dawne linie „BA”), pośrednie badania naukowe, bezpośrednie badania naukowe.</w:t>
      </w:r>
    </w:p>
  </w:footnote>
  <w:footnote w:id="61">
    <w:p w14:paraId="195CDB26" w14:textId="77777777" w:rsidR="002B56DE" w:rsidRDefault="002B56DE" w:rsidP="007F4C85">
      <w:pPr>
        <w:pStyle w:val="Tekstprzypisudolnego"/>
        <w:rPr>
          <w:szCs w:val="24"/>
        </w:rPr>
      </w:pPr>
      <w:r>
        <w:rPr>
          <w:rStyle w:val="Odwoanieprzypisudolnego"/>
        </w:rPr>
        <w:footnoteRef/>
      </w:r>
      <w:r>
        <w:tab/>
        <w:t>Wsparcie techniczne lub administracyjne oraz wydatki na wsparcie realizacji programów lub działań UE (dawne linie „BA”), pośrednie badania naukowe, bezpośrednie badania naukowe.</w:t>
      </w:r>
    </w:p>
  </w:footnote>
  <w:footnote w:id="62">
    <w:p w14:paraId="1A4FF508" w14:textId="77777777" w:rsidR="002B56DE" w:rsidRPr="00947202" w:rsidRDefault="002B56DE" w:rsidP="00263E8C">
      <w:pPr>
        <w:pStyle w:val="Tekstprzypisudolnego"/>
      </w:pPr>
      <w:r>
        <w:rPr>
          <w:rStyle w:val="Odwoanieprzypisudolnego"/>
        </w:rPr>
        <w:footnoteRef/>
      </w:r>
      <w:r>
        <w:tab/>
        <w:t xml:space="preserve">W </w:t>
      </w:r>
      <w:r w:rsidRPr="00062BFA">
        <w:t>art.</w:t>
      </w:r>
      <w:r w:rsidR="00062BFA" w:rsidRPr="00062BFA">
        <w:t> </w:t>
      </w:r>
      <w:r w:rsidRPr="00062BFA">
        <w:t>3</w:t>
      </w:r>
      <w:r>
        <w:t>4 przewidziano utworzenie nowego komitetu</w:t>
      </w:r>
      <w:r w:rsidR="00062BFA">
        <w:t xml:space="preserve"> w roz</w:t>
      </w:r>
      <w:r>
        <w:t xml:space="preserve">umieniu rozporządzenia (UE) </w:t>
      </w:r>
      <w:r w:rsidRPr="00062BFA">
        <w:t>nr</w:t>
      </w:r>
      <w:r w:rsidR="00062BFA" w:rsidRPr="00062BFA">
        <w:t> </w:t>
      </w:r>
      <w:r w:rsidRPr="00062BFA">
        <w:t>1</w:t>
      </w:r>
      <w:r>
        <w:t>82/2011. Komitet wesprze ponadto grupa ekspertów działająca</w:t>
      </w:r>
      <w:r w:rsidR="00062BFA">
        <w:t xml:space="preserve"> w ram</w:t>
      </w:r>
      <w:r>
        <w:t>ach platformy przeciwdziałającej wylesianiu, która to grupa już istnieje, ale nie ma uprawnień decyzyjnych.</w:t>
      </w:r>
    </w:p>
  </w:footnote>
  <w:footnote w:id="63">
    <w:p w14:paraId="0877FE8A" w14:textId="77777777" w:rsidR="002B56DE" w:rsidRPr="004542B3" w:rsidRDefault="002B56DE" w:rsidP="00663F70">
      <w:pPr>
        <w:rPr>
          <w:rStyle w:val="Odwoanieprzypisudolnego"/>
          <w:sz w:val="20"/>
          <w:szCs w:val="20"/>
        </w:rPr>
      </w:pPr>
      <w:r>
        <w:rPr>
          <w:rStyle w:val="Odwoanieprzypisudolnego"/>
        </w:rPr>
        <w:footnoteRef/>
      </w:r>
      <w:r>
        <w:tab/>
        <w:t>Produkty odnoszą się do produktów</w:t>
      </w:r>
      <w:r w:rsidR="00062BFA">
        <w:t xml:space="preserve"> i usł</w:t>
      </w:r>
      <w:r>
        <w:t>ug, które zostaną zapewnione (np.</w:t>
      </w:r>
      <w:r>
        <w:rPr>
          <w:sz w:val="20"/>
          <w:szCs w:val="20"/>
        </w:rPr>
        <w:t xml:space="preserve"> liczba sfinansowanych wymian studentów, liczba kilometrów zbudowanych dróg itp.)</w:t>
      </w:r>
    </w:p>
  </w:footnote>
  <w:footnote w:id="64">
    <w:p w14:paraId="7E6CA44F" w14:textId="77777777" w:rsidR="002B56DE" w:rsidRPr="004542B3" w:rsidRDefault="002B56DE" w:rsidP="00663F70">
      <w:pPr>
        <w:rPr>
          <w:rStyle w:val="Odwoanieprzypisudolnego"/>
          <w:sz w:val="20"/>
          <w:szCs w:val="20"/>
        </w:rPr>
      </w:pPr>
      <w:r>
        <w:rPr>
          <w:rStyle w:val="Odwoanieprzypisudolnego"/>
        </w:rPr>
        <w:footnoteRef/>
      </w:r>
      <w:r>
        <w:tab/>
        <w:t>Zgodnie</w:t>
      </w:r>
      <w:r w:rsidR="00062BFA">
        <w:t xml:space="preserve"> z opi</w:t>
      </w:r>
      <w:r>
        <w:t>sem</w:t>
      </w:r>
      <w:r w:rsidR="00062BFA">
        <w:t xml:space="preserve"> w </w:t>
      </w:r>
      <w:r w:rsidR="00062BFA" w:rsidRPr="00062BFA">
        <w:t>pkt </w:t>
      </w:r>
      <w:r w:rsidRPr="00062BFA">
        <w:t>1</w:t>
      </w:r>
      <w:r>
        <w:t>.4.2.</w:t>
      </w:r>
      <w:r>
        <w:rPr>
          <w:sz w:val="20"/>
          <w:szCs w:val="20"/>
        </w:rPr>
        <w:t xml:space="preserve"> „Cel(e) szczegółowy(e) …”.</w:t>
      </w:r>
    </w:p>
  </w:footnote>
  <w:footnote w:id="65">
    <w:p w14:paraId="28E86309" w14:textId="77777777" w:rsidR="002B56DE" w:rsidRPr="00540E33" w:rsidRDefault="002B56DE" w:rsidP="00663F70">
      <w:pPr>
        <w:rPr>
          <w:rStyle w:val="Odwoanieprzypisudolnego"/>
        </w:rPr>
      </w:pPr>
      <w:r>
        <w:rPr>
          <w:rStyle w:val="Odwoanieprzypisudolnego"/>
        </w:rPr>
        <w:footnoteRef/>
      </w:r>
      <w:r>
        <w:tab/>
        <w:t>Wsparcie techniczne lub administracyjne oraz wydatki na wsparcie realizacji programów lub działań UE (dawne linie „BA”), pośrednie badania naukowe, bezpośrednie badania naukowe</w:t>
      </w:r>
    </w:p>
  </w:footnote>
  <w:footnote w:id="66">
    <w:p w14:paraId="762C1F51" w14:textId="77777777" w:rsidR="002B56DE" w:rsidRPr="006364A8" w:rsidRDefault="002B56DE" w:rsidP="007972EC">
      <w:pPr>
        <w:rPr>
          <w:rStyle w:val="Odwoanieprzypisudolnego"/>
          <w:sz w:val="20"/>
          <w:szCs w:val="20"/>
        </w:rPr>
      </w:pPr>
      <w:r>
        <w:rPr>
          <w:rStyle w:val="Odwoanieprzypisudolnego"/>
        </w:rPr>
        <w:footnoteRef/>
      </w:r>
      <w:r>
        <w:tab/>
        <w:t>CA = personel kontraktowy;</w:t>
      </w:r>
      <w:r>
        <w:rPr>
          <w:sz w:val="20"/>
          <w:szCs w:val="20"/>
        </w:rPr>
        <w:t xml:space="preserve"> LA = personel miejscowy; SNE = oddelegowany ekspert krajowy; INT = personel tymczasowy; JPD = młodszy specjalista</w:t>
      </w:r>
      <w:r w:rsidR="00062BFA">
        <w:rPr>
          <w:sz w:val="20"/>
          <w:szCs w:val="20"/>
        </w:rPr>
        <w:t xml:space="preserve"> w del</w:t>
      </w:r>
      <w:r>
        <w:rPr>
          <w:sz w:val="20"/>
          <w:szCs w:val="20"/>
        </w:rPr>
        <w:t>egaturze.</w:t>
      </w:r>
    </w:p>
  </w:footnote>
  <w:footnote w:id="67">
    <w:p w14:paraId="15BA5878" w14:textId="77777777" w:rsidR="002B56DE" w:rsidRPr="00540E33" w:rsidRDefault="002B56DE" w:rsidP="00663F70">
      <w:pPr>
        <w:rPr>
          <w:rStyle w:val="Odwoanieprzypisudolnego"/>
        </w:rPr>
      </w:pPr>
      <w:r>
        <w:rPr>
          <w:rStyle w:val="Odwoanieprzypisudolnego"/>
        </w:rPr>
        <w:footnoteRef/>
      </w:r>
      <w:r>
        <w:tab/>
        <w:t>W ramach podpułapu na personel zewnętrzny ze środków operacyjnych (dawne linie „BA”).</w:t>
      </w:r>
    </w:p>
  </w:footnote>
  <w:footnote w:id="68">
    <w:p w14:paraId="28E0B8C1" w14:textId="77777777" w:rsidR="002B56DE" w:rsidRPr="00540E33" w:rsidRDefault="002B56DE" w:rsidP="007972EC">
      <w:pPr>
        <w:rPr>
          <w:rStyle w:val="Odwoanieprzypisudolnego"/>
        </w:rPr>
      </w:pPr>
      <w:r>
        <w:rPr>
          <w:rStyle w:val="Odwoanieprzypisudolnego"/>
        </w:rPr>
        <w:footnoteRef/>
      </w:r>
      <w:r>
        <w:tab/>
        <w:t>Rok N jest rokiem,</w:t>
      </w:r>
      <w:r w:rsidR="00062BFA">
        <w:t xml:space="preserve"> w któ</w:t>
      </w:r>
      <w:r>
        <w:t>rym rozpoczyna się realizację wniosku/inicjatywy.</w:t>
      </w:r>
      <w:r>
        <w:rPr>
          <w:sz w:val="20"/>
          <w:szCs w:val="20"/>
        </w:rPr>
        <w:t xml:space="preserve"> „N” należy zastąpić oczekiwanym pierwszym rokiem realizacji (</w:t>
      </w:r>
      <w:r w:rsidRPr="00062BFA">
        <w:rPr>
          <w:sz w:val="20"/>
          <w:szCs w:val="20"/>
        </w:rPr>
        <w:t>np.</w:t>
      </w:r>
      <w:r w:rsidR="00062BFA" w:rsidRPr="00062BFA">
        <w:rPr>
          <w:sz w:val="20"/>
          <w:szCs w:val="20"/>
        </w:rPr>
        <w:t> </w:t>
      </w:r>
      <w:r w:rsidRPr="00062BFA">
        <w:rPr>
          <w:sz w:val="20"/>
          <w:szCs w:val="20"/>
        </w:rPr>
        <w:t>2</w:t>
      </w:r>
      <w:r>
        <w:rPr>
          <w:sz w:val="20"/>
          <w:szCs w:val="20"/>
        </w:rPr>
        <w:t>021). Tak samo należy postąpić dla kolejnych lat.</w:t>
      </w:r>
    </w:p>
  </w:footnote>
  <w:footnote w:id="69">
    <w:p w14:paraId="501C90B0" w14:textId="77777777" w:rsidR="002B56DE" w:rsidRPr="005C77BE" w:rsidRDefault="002B56DE" w:rsidP="007972EC">
      <w:pPr>
        <w:rPr>
          <w:rStyle w:val="Odwoanieprzypisudolnego"/>
          <w:sz w:val="20"/>
          <w:szCs w:val="20"/>
        </w:rPr>
      </w:pPr>
      <w:r>
        <w:rPr>
          <w:rStyle w:val="Odwoanieprzypisudolnego"/>
        </w:rPr>
        <w:footnoteRef/>
      </w:r>
      <w:r>
        <w:tab/>
        <w:t>W przypadku tradycyjnych zasobów własnych (opłaty celne, opłaty wyrównawcze od cukru) należy wskazać kwoty netto, tzn. kwoty brutto po odliczeniu 20 % na poczet kosztów poboru.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C1B9" w14:textId="77777777" w:rsidR="00007A34" w:rsidRPr="00007A34" w:rsidRDefault="00007A34" w:rsidP="00007A34">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59B3" w14:textId="77777777" w:rsidR="00007A34" w:rsidRPr="00007A34" w:rsidRDefault="00007A34" w:rsidP="00007A34">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CBDE" w14:textId="77777777" w:rsidR="002B56DE" w:rsidRPr="004F6DAA" w:rsidRDefault="002B56DE" w:rsidP="00007A3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8913" w14:textId="77777777" w:rsidR="00007A34" w:rsidRPr="00007A34" w:rsidRDefault="00007A34" w:rsidP="00007A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anumerowana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apunktowana"/>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decimal"/>
      <w:pStyle w:val="Nagwek5"/>
      <w:lvlText w:val="%1.%2.%3.%4.%5."/>
      <w:lvlJc w:val="left"/>
      <w:pPr>
        <w:tabs>
          <w:tab w:val="num" w:pos="1417"/>
        </w:tabs>
        <w:ind w:left="1417" w:hanging="1417"/>
      </w:pPr>
    </w:lvl>
    <w:lvl w:ilvl="5">
      <w:start w:val="1"/>
      <w:numFmt w:val="decimal"/>
      <w:pStyle w:val="Nagwek6"/>
      <w:lvlText w:val="%1.%2.%3.%4.%5.%6."/>
      <w:lvlJc w:val="left"/>
      <w:pPr>
        <w:tabs>
          <w:tab w:val="num" w:pos="1417"/>
        </w:tabs>
        <w:ind w:left="1417" w:hanging="1417"/>
      </w:pPr>
    </w:lvl>
    <w:lvl w:ilvl="6">
      <w:start w:val="1"/>
      <w:numFmt w:val="decimal"/>
      <w:pStyle w:val="Nagwek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apunktowana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apunktowana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11"/>
  </w:num>
  <w:num w:numId="52">
    <w:abstractNumId w:val="25"/>
  </w:num>
  <w:num w:numId="53">
    <w:abstractNumId w:val="6"/>
  </w:num>
  <w:num w:numId="54">
    <w:abstractNumId w:val="12"/>
  </w:num>
  <w:num w:numId="55">
    <w:abstractNumId w:val="4"/>
  </w:num>
  <w:num w:numId="56">
    <w:abstractNumId w:val="24"/>
  </w:num>
  <w:num w:numId="57">
    <w:abstractNumId w:val="3"/>
  </w:num>
  <w:num w:numId="58">
    <w:abstractNumId w:val="14"/>
  </w:num>
  <w:num w:numId="59">
    <w:abstractNumId w:val="20"/>
  </w:num>
  <w:num w:numId="60">
    <w:abstractNumId w:val="21"/>
  </w:num>
  <w:num w:numId="61">
    <w:abstractNumId w:val="5"/>
  </w:num>
  <w:num w:numId="62">
    <w:abstractNumId w:val="18"/>
  </w:num>
  <w:num w:numId="63">
    <w:abstractNumId w:val="29"/>
  </w:num>
  <w:num w:numId="64">
    <w:abstractNumId w:val="24"/>
  </w:num>
  <w:num w:numId="65">
    <w:abstractNumId w:val="24"/>
  </w:num>
  <w:num w:numId="66">
    <w:abstractNumId w:val="24"/>
  </w:num>
  <w:num w:numId="67">
    <w:abstractNumId w:val="13"/>
  </w:num>
  <w:num w:numId="68">
    <w:abstractNumId w:val="4"/>
  </w:num>
  <w:num w:numId="69">
    <w:abstractNumId w:val="4"/>
  </w:num>
  <w:num w:numId="70">
    <w:abstractNumId w:val="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ek Cichocki">
    <w15:presenceInfo w15:providerId="Windows Live" w15:userId="676c6d67a27a8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hideSpellingErrors/>
  <w:hideGrammaticalErrors/>
  <w:proofState w:spelling="clean"/>
  <w:attachedTemplate r:id="rId1"/>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2-01-10 18:49: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51"/>
    <w:docVar w:name="DQCStatus" w:val="Green"/>
    <w:docVar w:name="DQCVersion" w:val="3"/>
    <w:docVar w:name="DQCWithWarnings" w:val="0"/>
    <w:docVar w:name="LW_CORRIGENDUM" w:val="&lt;UNUSED&gt;"/>
    <w:docVar w:name="LW_COVERPAGE_EXISTS" w:val="True"/>
    <w:docVar w:name="LW_COVERPAGE_GUID" w:val="BC707432-180A-40B6-B9B5-2961B8DC3B79"/>
    <w:docVar w:name="LW_COVERPAGE_TYPE" w:val="1"/>
    <w:docVar w:name="LW_CROSSREFERENCE" w:val="{SEC(2021) 395 final} - {SEC(2021) 396 final} - {SWD(2021) 325 final} - {SWD(2021) 326 final} - {SWD(2021) 327 final} - {SWD(2021) 328 final} - {SWD(2021) 329 final}"/>
    <w:docVar w:name="LW_DocType" w:val="COM"/>
    <w:docVar w:name="LW_EMISSION" w:val="17.11.2021"/>
    <w:docVar w:name="LW_EMISSION_ISODATE" w:val="2021-11-17"/>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EXP.MOTIFS.NEW" w:val="EM_PL_"/>
    <w:docVar w:name="LW_ID_STATUT" w:val="SJ-023"/>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366"/>
    <w:docVar w:name="LW_REF.II.NEW.CP_YEAR" w:val="2021"/>
    <w:docVar w:name="LW_REF.INST.NEW" w:val="COM"/>
    <w:docVar w:name="LW_REF.INST.NEW_ADOPTED" w:val="final"/>
    <w:docVar w:name="LW_REF.INST.NEW_TEXT" w:val="(2021)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udostępniania na rynku unijnym i wywozu z Unii niektórych towarów i produktów związanych z wylesianiem i degradacją lasów oraz uchylenia rozporządzenia (UE) nr 995/2010"/>
    <w:docVar w:name="LW_TYPE.DOC.CP" w:val="ROZPORZĄDZENIE PARLAMENTU EUROPEJSKIEGO I RADY"/>
    <w:docVar w:name="LwApiVersions" w:val="LW4CoDe 1.23.2.0; LW 8.0, Build 20211117"/>
  </w:docVars>
  <w:rsids>
    <w:rsidRoot w:val="001C3FCC"/>
    <w:rsid w:val="00003FCA"/>
    <w:rsid w:val="00007A34"/>
    <w:rsid w:val="00025FA2"/>
    <w:rsid w:val="00031CB2"/>
    <w:rsid w:val="000326F9"/>
    <w:rsid w:val="00032A8C"/>
    <w:rsid w:val="00044D35"/>
    <w:rsid w:val="00047319"/>
    <w:rsid w:val="000557B7"/>
    <w:rsid w:val="000566A9"/>
    <w:rsid w:val="0006078B"/>
    <w:rsid w:val="00062BFA"/>
    <w:rsid w:val="000660F3"/>
    <w:rsid w:val="00074524"/>
    <w:rsid w:val="00075A15"/>
    <w:rsid w:val="00076711"/>
    <w:rsid w:val="00084B4C"/>
    <w:rsid w:val="000850EE"/>
    <w:rsid w:val="000A1BEE"/>
    <w:rsid w:val="000A2A7B"/>
    <w:rsid w:val="000A54B7"/>
    <w:rsid w:val="000A7517"/>
    <w:rsid w:val="000B4AC7"/>
    <w:rsid w:val="000B5337"/>
    <w:rsid w:val="000D4728"/>
    <w:rsid w:val="000D4B53"/>
    <w:rsid w:val="000E198E"/>
    <w:rsid w:val="001004D1"/>
    <w:rsid w:val="00106D30"/>
    <w:rsid w:val="00110FBE"/>
    <w:rsid w:val="00113D49"/>
    <w:rsid w:val="00114F8D"/>
    <w:rsid w:val="0011546F"/>
    <w:rsid w:val="00120049"/>
    <w:rsid w:val="00121FD8"/>
    <w:rsid w:val="001253EE"/>
    <w:rsid w:val="001306B4"/>
    <w:rsid w:val="00134CEC"/>
    <w:rsid w:val="00135A6E"/>
    <w:rsid w:val="0013610D"/>
    <w:rsid w:val="00145CFC"/>
    <w:rsid w:val="00150A32"/>
    <w:rsid w:val="00180F98"/>
    <w:rsid w:val="00182F73"/>
    <w:rsid w:val="00184BF9"/>
    <w:rsid w:val="00185B84"/>
    <w:rsid w:val="00197D03"/>
    <w:rsid w:val="001A377C"/>
    <w:rsid w:val="001B0427"/>
    <w:rsid w:val="001B52EC"/>
    <w:rsid w:val="001B7390"/>
    <w:rsid w:val="001C2816"/>
    <w:rsid w:val="001C3FCC"/>
    <w:rsid w:val="001E16B3"/>
    <w:rsid w:val="001E402C"/>
    <w:rsid w:val="001F6CED"/>
    <w:rsid w:val="00201A50"/>
    <w:rsid w:val="00211266"/>
    <w:rsid w:val="00213079"/>
    <w:rsid w:val="002163C3"/>
    <w:rsid w:val="00216C61"/>
    <w:rsid w:val="0022235C"/>
    <w:rsid w:val="00230515"/>
    <w:rsid w:val="00232E98"/>
    <w:rsid w:val="002424D9"/>
    <w:rsid w:val="00242644"/>
    <w:rsid w:val="00251F50"/>
    <w:rsid w:val="00254A7F"/>
    <w:rsid w:val="00257D0C"/>
    <w:rsid w:val="00262532"/>
    <w:rsid w:val="00263E8C"/>
    <w:rsid w:val="00265016"/>
    <w:rsid w:val="00266872"/>
    <w:rsid w:val="00275151"/>
    <w:rsid w:val="0027616C"/>
    <w:rsid w:val="00285DB6"/>
    <w:rsid w:val="00287937"/>
    <w:rsid w:val="002A436E"/>
    <w:rsid w:val="002A54C1"/>
    <w:rsid w:val="002B1C55"/>
    <w:rsid w:val="002B56DE"/>
    <w:rsid w:val="002C6E99"/>
    <w:rsid w:val="002D1D18"/>
    <w:rsid w:val="002D2710"/>
    <w:rsid w:val="002D2EF9"/>
    <w:rsid w:val="002D45C8"/>
    <w:rsid w:val="002E2E0E"/>
    <w:rsid w:val="002E373D"/>
    <w:rsid w:val="002E53F5"/>
    <w:rsid w:val="002E7688"/>
    <w:rsid w:val="002F00EC"/>
    <w:rsid w:val="002F1AD0"/>
    <w:rsid w:val="002F7F77"/>
    <w:rsid w:val="003035C5"/>
    <w:rsid w:val="003125E6"/>
    <w:rsid w:val="003143FF"/>
    <w:rsid w:val="00314E07"/>
    <w:rsid w:val="003224AF"/>
    <w:rsid w:val="00324532"/>
    <w:rsid w:val="00336D42"/>
    <w:rsid w:val="003375F4"/>
    <w:rsid w:val="003449CE"/>
    <w:rsid w:val="003465E6"/>
    <w:rsid w:val="00346785"/>
    <w:rsid w:val="00346931"/>
    <w:rsid w:val="00355F9E"/>
    <w:rsid w:val="00364B56"/>
    <w:rsid w:val="0037166C"/>
    <w:rsid w:val="003719AB"/>
    <w:rsid w:val="00372D5D"/>
    <w:rsid w:val="00374B20"/>
    <w:rsid w:val="00375430"/>
    <w:rsid w:val="00375AA3"/>
    <w:rsid w:val="00386C5C"/>
    <w:rsid w:val="003934D2"/>
    <w:rsid w:val="003B6F9A"/>
    <w:rsid w:val="003D2BF9"/>
    <w:rsid w:val="003D41A1"/>
    <w:rsid w:val="003E0F16"/>
    <w:rsid w:val="003E64FE"/>
    <w:rsid w:val="003E7FBC"/>
    <w:rsid w:val="003F153F"/>
    <w:rsid w:val="004024B8"/>
    <w:rsid w:val="004068A1"/>
    <w:rsid w:val="00406B98"/>
    <w:rsid w:val="00411602"/>
    <w:rsid w:val="00425EB9"/>
    <w:rsid w:val="0043211F"/>
    <w:rsid w:val="00432F79"/>
    <w:rsid w:val="004414EC"/>
    <w:rsid w:val="00443321"/>
    <w:rsid w:val="00445504"/>
    <w:rsid w:val="004542B3"/>
    <w:rsid w:val="00470B6C"/>
    <w:rsid w:val="00471378"/>
    <w:rsid w:val="004946C8"/>
    <w:rsid w:val="004A0528"/>
    <w:rsid w:val="004C5018"/>
    <w:rsid w:val="004C507B"/>
    <w:rsid w:val="004E11FC"/>
    <w:rsid w:val="004E1EFB"/>
    <w:rsid w:val="004E2598"/>
    <w:rsid w:val="004E30E9"/>
    <w:rsid w:val="004E5971"/>
    <w:rsid w:val="004E7053"/>
    <w:rsid w:val="004F54C8"/>
    <w:rsid w:val="004F6DAA"/>
    <w:rsid w:val="00502CDE"/>
    <w:rsid w:val="005064E1"/>
    <w:rsid w:val="00527F6D"/>
    <w:rsid w:val="0053358F"/>
    <w:rsid w:val="00540E33"/>
    <w:rsid w:val="00554B86"/>
    <w:rsid w:val="00556CBD"/>
    <w:rsid w:val="00557EC7"/>
    <w:rsid w:val="00561A6D"/>
    <w:rsid w:val="0056717F"/>
    <w:rsid w:val="00572EF4"/>
    <w:rsid w:val="00592133"/>
    <w:rsid w:val="00594A0D"/>
    <w:rsid w:val="005A10A3"/>
    <w:rsid w:val="005A239B"/>
    <w:rsid w:val="005A434E"/>
    <w:rsid w:val="005B7832"/>
    <w:rsid w:val="005C77BE"/>
    <w:rsid w:val="005D5512"/>
    <w:rsid w:val="005D676D"/>
    <w:rsid w:val="005D7BB2"/>
    <w:rsid w:val="005E26CD"/>
    <w:rsid w:val="005E2FC1"/>
    <w:rsid w:val="005E30FF"/>
    <w:rsid w:val="005F4603"/>
    <w:rsid w:val="005F7CAE"/>
    <w:rsid w:val="0060735C"/>
    <w:rsid w:val="006125C2"/>
    <w:rsid w:val="006139B0"/>
    <w:rsid w:val="006160E0"/>
    <w:rsid w:val="00620B5A"/>
    <w:rsid w:val="00625FB1"/>
    <w:rsid w:val="00634F1D"/>
    <w:rsid w:val="006364A8"/>
    <w:rsid w:val="006411A1"/>
    <w:rsid w:val="006450A4"/>
    <w:rsid w:val="00647534"/>
    <w:rsid w:val="0065177F"/>
    <w:rsid w:val="00657360"/>
    <w:rsid w:val="00663F70"/>
    <w:rsid w:val="006730B6"/>
    <w:rsid w:val="00677470"/>
    <w:rsid w:val="0068222C"/>
    <w:rsid w:val="006A0D10"/>
    <w:rsid w:val="006B7149"/>
    <w:rsid w:val="006C2EF8"/>
    <w:rsid w:val="006E17BA"/>
    <w:rsid w:val="006E49EA"/>
    <w:rsid w:val="0070128F"/>
    <w:rsid w:val="00702088"/>
    <w:rsid w:val="00710619"/>
    <w:rsid w:val="007116AE"/>
    <w:rsid w:val="00713D91"/>
    <w:rsid w:val="00720684"/>
    <w:rsid w:val="00726DAE"/>
    <w:rsid w:val="00727872"/>
    <w:rsid w:val="00736B1E"/>
    <w:rsid w:val="00745ECF"/>
    <w:rsid w:val="007477CB"/>
    <w:rsid w:val="007501B9"/>
    <w:rsid w:val="00752155"/>
    <w:rsid w:val="00764C71"/>
    <w:rsid w:val="00773BCC"/>
    <w:rsid w:val="0077458D"/>
    <w:rsid w:val="007772D0"/>
    <w:rsid w:val="00777D1F"/>
    <w:rsid w:val="00780F7E"/>
    <w:rsid w:val="00783D5E"/>
    <w:rsid w:val="007972EC"/>
    <w:rsid w:val="007A36A7"/>
    <w:rsid w:val="007B0620"/>
    <w:rsid w:val="007B0906"/>
    <w:rsid w:val="007B131E"/>
    <w:rsid w:val="007B48D3"/>
    <w:rsid w:val="007B7EB7"/>
    <w:rsid w:val="007C06F6"/>
    <w:rsid w:val="007C6E0D"/>
    <w:rsid w:val="007D5308"/>
    <w:rsid w:val="007D7B76"/>
    <w:rsid w:val="007E4B52"/>
    <w:rsid w:val="007E6BDD"/>
    <w:rsid w:val="007F1015"/>
    <w:rsid w:val="007F4C85"/>
    <w:rsid w:val="007F7441"/>
    <w:rsid w:val="00804B4C"/>
    <w:rsid w:val="00816016"/>
    <w:rsid w:val="00834953"/>
    <w:rsid w:val="00835C46"/>
    <w:rsid w:val="00846A4F"/>
    <w:rsid w:val="00846FD9"/>
    <w:rsid w:val="00847890"/>
    <w:rsid w:val="00853975"/>
    <w:rsid w:val="0086436F"/>
    <w:rsid w:val="00864FFC"/>
    <w:rsid w:val="008654CA"/>
    <w:rsid w:val="00866310"/>
    <w:rsid w:val="00867783"/>
    <w:rsid w:val="008C3889"/>
    <w:rsid w:val="008D14E1"/>
    <w:rsid w:val="008D259E"/>
    <w:rsid w:val="008D6B65"/>
    <w:rsid w:val="008E2BE6"/>
    <w:rsid w:val="008E4815"/>
    <w:rsid w:val="008E648C"/>
    <w:rsid w:val="008E6A22"/>
    <w:rsid w:val="008F58FD"/>
    <w:rsid w:val="00901272"/>
    <w:rsid w:val="00906A57"/>
    <w:rsid w:val="00913699"/>
    <w:rsid w:val="00914140"/>
    <w:rsid w:val="00915664"/>
    <w:rsid w:val="00922AA8"/>
    <w:rsid w:val="009274C3"/>
    <w:rsid w:val="00932CA4"/>
    <w:rsid w:val="00932CDC"/>
    <w:rsid w:val="00935252"/>
    <w:rsid w:val="009375F4"/>
    <w:rsid w:val="00943B9A"/>
    <w:rsid w:val="00947202"/>
    <w:rsid w:val="00951CD9"/>
    <w:rsid w:val="00953D20"/>
    <w:rsid w:val="009600A2"/>
    <w:rsid w:val="009628CA"/>
    <w:rsid w:val="00964727"/>
    <w:rsid w:val="00964CBE"/>
    <w:rsid w:val="00986B33"/>
    <w:rsid w:val="00987AD5"/>
    <w:rsid w:val="00990E23"/>
    <w:rsid w:val="00992B23"/>
    <w:rsid w:val="00997D72"/>
    <w:rsid w:val="009A1D1E"/>
    <w:rsid w:val="009A3168"/>
    <w:rsid w:val="009A63D5"/>
    <w:rsid w:val="009B423E"/>
    <w:rsid w:val="009B7138"/>
    <w:rsid w:val="009C3C99"/>
    <w:rsid w:val="009C63EC"/>
    <w:rsid w:val="009C6FE9"/>
    <w:rsid w:val="009D2D3C"/>
    <w:rsid w:val="009D654B"/>
    <w:rsid w:val="00A02853"/>
    <w:rsid w:val="00A05B18"/>
    <w:rsid w:val="00A13594"/>
    <w:rsid w:val="00A43EED"/>
    <w:rsid w:val="00A5041C"/>
    <w:rsid w:val="00A57657"/>
    <w:rsid w:val="00A70F78"/>
    <w:rsid w:val="00A72D7E"/>
    <w:rsid w:val="00A72EDD"/>
    <w:rsid w:val="00A758ED"/>
    <w:rsid w:val="00A82771"/>
    <w:rsid w:val="00A827FE"/>
    <w:rsid w:val="00A9755C"/>
    <w:rsid w:val="00AA07FA"/>
    <w:rsid w:val="00AA53B8"/>
    <w:rsid w:val="00AE46BC"/>
    <w:rsid w:val="00AE794A"/>
    <w:rsid w:val="00AE7C99"/>
    <w:rsid w:val="00AF2224"/>
    <w:rsid w:val="00B02B19"/>
    <w:rsid w:val="00B11618"/>
    <w:rsid w:val="00B37B40"/>
    <w:rsid w:val="00B437AA"/>
    <w:rsid w:val="00B43BB0"/>
    <w:rsid w:val="00B47E1C"/>
    <w:rsid w:val="00B52029"/>
    <w:rsid w:val="00B5265E"/>
    <w:rsid w:val="00B56C8F"/>
    <w:rsid w:val="00B6068B"/>
    <w:rsid w:val="00B74492"/>
    <w:rsid w:val="00B74FE2"/>
    <w:rsid w:val="00B76B55"/>
    <w:rsid w:val="00B76F27"/>
    <w:rsid w:val="00B81C53"/>
    <w:rsid w:val="00B835E9"/>
    <w:rsid w:val="00B85214"/>
    <w:rsid w:val="00B85550"/>
    <w:rsid w:val="00B923F7"/>
    <w:rsid w:val="00BA33EA"/>
    <w:rsid w:val="00BA357E"/>
    <w:rsid w:val="00BA3D2E"/>
    <w:rsid w:val="00BA79F6"/>
    <w:rsid w:val="00BB4801"/>
    <w:rsid w:val="00BB675B"/>
    <w:rsid w:val="00BB6AA7"/>
    <w:rsid w:val="00BB7822"/>
    <w:rsid w:val="00BC14DB"/>
    <w:rsid w:val="00BC24D7"/>
    <w:rsid w:val="00BD6C50"/>
    <w:rsid w:val="00BE246D"/>
    <w:rsid w:val="00BE531D"/>
    <w:rsid w:val="00BE6D4F"/>
    <w:rsid w:val="00BF0120"/>
    <w:rsid w:val="00BF17AA"/>
    <w:rsid w:val="00C0226A"/>
    <w:rsid w:val="00C02409"/>
    <w:rsid w:val="00C04800"/>
    <w:rsid w:val="00C110F7"/>
    <w:rsid w:val="00C13170"/>
    <w:rsid w:val="00C20093"/>
    <w:rsid w:val="00C229AB"/>
    <w:rsid w:val="00C24556"/>
    <w:rsid w:val="00C26005"/>
    <w:rsid w:val="00C308DE"/>
    <w:rsid w:val="00C330EC"/>
    <w:rsid w:val="00C42B89"/>
    <w:rsid w:val="00C52824"/>
    <w:rsid w:val="00C52EBE"/>
    <w:rsid w:val="00C5456E"/>
    <w:rsid w:val="00C6653E"/>
    <w:rsid w:val="00C71DEA"/>
    <w:rsid w:val="00C7212E"/>
    <w:rsid w:val="00C80336"/>
    <w:rsid w:val="00C80B82"/>
    <w:rsid w:val="00C93423"/>
    <w:rsid w:val="00C9553E"/>
    <w:rsid w:val="00CB1B6B"/>
    <w:rsid w:val="00CC3FE1"/>
    <w:rsid w:val="00CD179D"/>
    <w:rsid w:val="00CD554F"/>
    <w:rsid w:val="00CD7E0C"/>
    <w:rsid w:val="00CE030F"/>
    <w:rsid w:val="00CE3A2F"/>
    <w:rsid w:val="00CF44EE"/>
    <w:rsid w:val="00CF4A1A"/>
    <w:rsid w:val="00CF62AF"/>
    <w:rsid w:val="00D0625F"/>
    <w:rsid w:val="00D16643"/>
    <w:rsid w:val="00D22ACC"/>
    <w:rsid w:val="00D27086"/>
    <w:rsid w:val="00D33254"/>
    <w:rsid w:val="00D355BF"/>
    <w:rsid w:val="00D4147B"/>
    <w:rsid w:val="00D42807"/>
    <w:rsid w:val="00D43018"/>
    <w:rsid w:val="00D51C83"/>
    <w:rsid w:val="00D5274B"/>
    <w:rsid w:val="00D54783"/>
    <w:rsid w:val="00D56697"/>
    <w:rsid w:val="00D65F69"/>
    <w:rsid w:val="00D66476"/>
    <w:rsid w:val="00D667B9"/>
    <w:rsid w:val="00D71412"/>
    <w:rsid w:val="00D75E09"/>
    <w:rsid w:val="00D9368B"/>
    <w:rsid w:val="00DA4BA7"/>
    <w:rsid w:val="00DC4D95"/>
    <w:rsid w:val="00DD4781"/>
    <w:rsid w:val="00DD4B64"/>
    <w:rsid w:val="00DD67BF"/>
    <w:rsid w:val="00DE3BCD"/>
    <w:rsid w:val="00DE4FED"/>
    <w:rsid w:val="00DE5FED"/>
    <w:rsid w:val="00DF23A9"/>
    <w:rsid w:val="00E12554"/>
    <w:rsid w:val="00E16819"/>
    <w:rsid w:val="00E25EB4"/>
    <w:rsid w:val="00E2789E"/>
    <w:rsid w:val="00E303F9"/>
    <w:rsid w:val="00E353E8"/>
    <w:rsid w:val="00E5146E"/>
    <w:rsid w:val="00E57932"/>
    <w:rsid w:val="00E60942"/>
    <w:rsid w:val="00E60A40"/>
    <w:rsid w:val="00E61A77"/>
    <w:rsid w:val="00E70E12"/>
    <w:rsid w:val="00E8358F"/>
    <w:rsid w:val="00E85C3D"/>
    <w:rsid w:val="00E963F9"/>
    <w:rsid w:val="00EA24A1"/>
    <w:rsid w:val="00EA283C"/>
    <w:rsid w:val="00EB0C6F"/>
    <w:rsid w:val="00EB78D7"/>
    <w:rsid w:val="00EC0F53"/>
    <w:rsid w:val="00EC19AE"/>
    <w:rsid w:val="00ED0223"/>
    <w:rsid w:val="00ED07DC"/>
    <w:rsid w:val="00ED0BFD"/>
    <w:rsid w:val="00ED19EE"/>
    <w:rsid w:val="00ED2B63"/>
    <w:rsid w:val="00ED5F57"/>
    <w:rsid w:val="00EE14B9"/>
    <w:rsid w:val="00EF0FDF"/>
    <w:rsid w:val="00EF1DFE"/>
    <w:rsid w:val="00EF2A93"/>
    <w:rsid w:val="00EF3BE2"/>
    <w:rsid w:val="00EF576E"/>
    <w:rsid w:val="00F05E1B"/>
    <w:rsid w:val="00F06FBD"/>
    <w:rsid w:val="00F20062"/>
    <w:rsid w:val="00F20463"/>
    <w:rsid w:val="00F346F4"/>
    <w:rsid w:val="00F46E90"/>
    <w:rsid w:val="00F50506"/>
    <w:rsid w:val="00F53064"/>
    <w:rsid w:val="00F54A62"/>
    <w:rsid w:val="00F55E9D"/>
    <w:rsid w:val="00F565EF"/>
    <w:rsid w:val="00F5723B"/>
    <w:rsid w:val="00F63F81"/>
    <w:rsid w:val="00F6614D"/>
    <w:rsid w:val="00F852B7"/>
    <w:rsid w:val="00F875B3"/>
    <w:rsid w:val="00FA44C2"/>
    <w:rsid w:val="00FA6A72"/>
    <w:rsid w:val="00FA7653"/>
    <w:rsid w:val="00FB0B03"/>
    <w:rsid w:val="00FB5319"/>
    <w:rsid w:val="00FC414F"/>
    <w:rsid w:val="00FC4B00"/>
    <w:rsid w:val="00FD24AC"/>
    <w:rsid w:val="00FE10AB"/>
    <w:rsid w:val="00FE4A80"/>
    <w:rsid w:val="00FF129E"/>
    <w:rsid w:val="00FF7525"/>
    <w:rsid w:val="00FF7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7B7D7B"/>
  <w15:docId w15:val="{8014F613-A86D-410D-96AA-77FC9AD1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120" w:after="120" w:line="240" w:lineRule="auto"/>
      <w:jc w:val="both"/>
    </w:pPr>
    <w:rPr>
      <w:rFonts w:ascii="Times New Roman" w:hAnsi="Times New Roman" w:cs="Times New Roman"/>
      <w:sz w:val="24"/>
      <w:lang w:val="pl-PL"/>
    </w:rPr>
  </w:style>
  <w:style w:type="paragraph" w:styleId="Nagwek1">
    <w:name w:val="heading 1"/>
    <w:basedOn w:val="Normalny"/>
    <w:next w:val="Text1"/>
    <w:link w:val="Nagwek1Znak"/>
    <w:uiPriority w:val="9"/>
    <w:qFormat/>
    <w:rsid w:val="009B7138"/>
    <w:pPr>
      <w:keepNext/>
      <w:numPr>
        <w:numId w:val="66"/>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rsid w:val="009B7138"/>
    <w:pPr>
      <w:keepNext/>
      <w:numPr>
        <w:ilvl w:val="1"/>
        <w:numId w:val="66"/>
      </w:numPr>
      <w:outlineLvl w:val="1"/>
    </w:pPr>
    <w:rPr>
      <w:rFonts w:eastAsiaTheme="majorEastAsia"/>
      <w:b/>
      <w:bCs/>
      <w:szCs w:val="26"/>
    </w:rPr>
  </w:style>
  <w:style w:type="paragraph" w:styleId="Nagwek3">
    <w:name w:val="heading 3"/>
    <w:basedOn w:val="Normalny"/>
    <w:next w:val="Text1"/>
    <w:link w:val="Nagwek3Znak"/>
    <w:uiPriority w:val="9"/>
    <w:semiHidden/>
    <w:unhideWhenUsed/>
    <w:qFormat/>
    <w:rsid w:val="009B7138"/>
    <w:pPr>
      <w:keepNext/>
      <w:numPr>
        <w:ilvl w:val="2"/>
        <w:numId w:val="66"/>
      </w:numPr>
      <w:outlineLvl w:val="2"/>
    </w:pPr>
    <w:rPr>
      <w:rFonts w:eastAsiaTheme="majorEastAsia"/>
      <w:bCs/>
      <w:i/>
    </w:rPr>
  </w:style>
  <w:style w:type="paragraph" w:styleId="Nagwek4">
    <w:name w:val="heading 4"/>
    <w:basedOn w:val="Normalny"/>
    <w:next w:val="Text1"/>
    <w:link w:val="Nagwek4Znak"/>
    <w:uiPriority w:val="9"/>
    <w:semiHidden/>
    <w:unhideWhenUsed/>
    <w:qFormat/>
    <w:rsid w:val="009B7138"/>
    <w:pPr>
      <w:keepNext/>
      <w:numPr>
        <w:ilvl w:val="3"/>
        <w:numId w:val="66"/>
      </w:numPr>
      <w:outlineLvl w:val="3"/>
    </w:pPr>
    <w:rPr>
      <w:rFonts w:eastAsiaTheme="majorEastAsia"/>
      <w:bCs/>
      <w:iCs/>
    </w:rPr>
  </w:style>
  <w:style w:type="paragraph" w:styleId="Nagwek5">
    <w:name w:val="heading 5"/>
    <w:basedOn w:val="Normalny"/>
    <w:next w:val="Text2"/>
    <w:link w:val="Nagwek5Znak"/>
    <w:uiPriority w:val="9"/>
    <w:semiHidden/>
    <w:unhideWhenUsed/>
    <w:qFormat/>
    <w:rsid w:val="009600A2"/>
    <w:pPr>
      <w:keepNext/>
      <w:numPr>
        <w:ilvl w:val="4"/>
        <w:numId w:val="66"/>
      </w:numPr>
      <w:outlineLvl w:val="4"/>
    </w:pPr>
    <w:rPr>
      <w:rFonts w:eastAsiaTheme="majorEastAsia"/>
    </w:rPr>
  </w:style>
  <w:style w:type="paragraph" w:styleId="Nagwek6">
    <w:name w:val="heading 6"/>
    <w:basedOn w:val="Normalny"/>
    <w:next w:val="Text2"/>
    <w:link w:val="Nagwek6Znak"/>
    <w:uiPriority w:val="9"/>
    <w:semiHidden/>
    <w:unhideWhenUsed/>
    <w:qFormat/>
    <w:rsid w:val="009600A2"/>
    <w:pPr>
      <w:keepNext/>
      <w:numPr>
        <w:ilvl w:val="5"/>
        <w:numId w:val="66"/>
      </w:numPr>
      <w:outlineLvl w:val="5"/>
    </w:pPr>
    <w:rPr>
      <w:rFonts w:eastAsiaTheme="majorEastAsia"/>
      <w:iCs/>
    </w:rPr>
  </w:style>
  <w:style w:type="paragraph" w:styleId="Nagwek7">
    <w:name w:val="heading 7"/>
    <w:basedOn w:val="Normalny"/>
    <w:next w:val="Text2"/>
    <w:link w:val="Nagwek7Znak"/>
    <w:uiPriority w:val="9"/>
    <w:semiHidden/>
    <w:unhideWhenUsed/>
    <w:qFormat/>
    <w:rsid w:val="009600A2"/>
    <w:pPr>
      <w:keepNext/>
      <w:numPr>
        <w:ilvl w:val="6"/>
        <w:numId w:val="66"/>
      </w:numPr>
      <w:outlineLvl w:val="6"/>
    </w:pPr>
    <w:rPr>
      <w:rFonts w:eastAsiaTheme="majorEastAsia"/>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4">
    <w:name w:val="List Bullet 4"/>
    <w:basedOn w:val="Normalny"/>
    <w:rsid w:val="001C3FCC"/>
    <w:pPr>
      <w:numPr>
        <w:numId w:val="2"/>
      </w:numPr>
    </w:pPr>
    <w:rPr>
      <w:rFonts w:eastAsia="Times New Roman"/>
      <w:lang w:eastAsia="de-DE"/>
    </w:rPr>
  </w:style>
  <w:style w:type="paragraph" w:styleId="Listanumerowana">
    <w:name w:val="List Number"/>
    <w:basedOn w:val="Normalny"/>
    <w:rsid w:val="001C3FCC"/>
    <w:pPr>
      <w:numPr>
        <w:numId w:val="6"/>
      </w:numPr>
    </w:pPr>
    <w:rPr>
      <w:rFonts w:eastAsia="Times New Roman"/>
      <w:lang w:eastAsia="de-DE"/>
    </w:rPr>
  </w:style>
  <w:style w:type="paragraph" w:customStyle="1" w:styleId="ListBullet1">
    <w:name w:val="List Bullet 1"/>
    <w:basedOn w:val="Normalny"/>
    <w:rsid w:val="001C3FCC"/>
    <w:pPr>
      <w:numPr>
        <w:numId w:val="1"/>
      </w:numPr>
    </w:pPr>
    <w:rPr>
      <w:rFonts w:eastAsia="Times New Roman"/>
      <w:lang w:eastAsia="de-DE"/>
    </w:rPr>
  </w:style>
  <w:style w:type="paragraph" w:customStyle="1" w:styleId="ListDash">
    <w:name w:val="List Dash"/>
    <w:basedOn w:val="Normalny"/>
    <w:rsid w:val="001C3FCC"/>
    <w:pPr>
      <w:numPr>
        <w:numId w:val="3"/>
      </w:numPr>
    </w:pPr>
    <w:rPr>
      <w:rFonts w:eastAsia="Times New Roman"/>
      <w:lang w:eastAsia="de-DE"/>
    </w:rPr>
  </w:style>
  <w:style w:type="paragraph" w:customStyle="1" w:styleId="ListDash1">
    <w:name w:val="List Dash 1"/>
    <w:basedOn w:val="Normalny"/>
    <w:rsid w:val="001C3FCC"/>
    <w:pPr>
      <w:numPr>
        <w:numId w:val="4"/>
      </w:numPr>
    </w:pPr>
    <w:rPr>
      <w:rFonts w:eastAsia="Times New Roman"/>
      <w:lang w:eastAsia="de-DE"/>
    </w:rPr>
  </w:style>
  <w:style w:type="paragraph" w:customStyle="1" w:styleId="ListDash2">
    <w:name w:val="List Dash 2"/>
    <w:basedOn w:val="Normalny"/>
    <w:rsid w:val="001C3FCC"/>
    <w:pPr>
      <w:numPr>
        <w:numId w:val="5"/>
      </w:numPr>
    </w:pPr>
    <w:rPr>
      <w:rFonts w:eastAsia="Times New Roman"/>
      <w:lang w:eastAsia="de-DE"/>
    </w:rPr>
  </w:style>
  <w:style w:type="paragraph" w:customStyle="1" w:styleId="ListNumberLevel2">
    <w:name w:val="List Number (Level 2)"/>
    <w:basedOn w:val="Normalny"/>
    <w:rsid w:val="001C3FCC"/>
    <w:pPr>
      <w:numPr>
        <w:ilvl w:val="1"/>
        <w:numId w:val="6"/>
      </w:numPr>
    </w:pPr>
    <w:rPr>
      <w:rFonts w:eastAsia="Times New Roman"/>
      <w:lang w:eastAsia="de-DE"/>
    </w:rPr>
  </w:style>
  <w:style w:type="paragraph" w:customStyle="1" w:styleId="ListNumberLevel3">
    <w:name w:val="List Number (Level 3)"/>
    <w:basedOn w:val="Normalny"/>
    <w:rsid w:val="001C3FCC"/>
    <w:pPr>
      <w:numPr>
        <w:ilvl w:val="2"/>
        <w:numId w:val="6"/>
      </w:numPr>
    </w:pPr>
    <w:rPr>
      <w:rFonts w:eastAsia="Times New Roman"/>
      <w:lang w:eastAsia="de-DE"/>
    </w:rPr>
  </w:style>
  <w:style w:type="paragraph" w:customStyle="1" w:styleId="ListNumberLevel4">
    <w:name w:val="List Number (Level 4)"/>
    <w:basedOn w:val="Normalny"/>
    <w:rsid w:val="001C3FCC"/>
    <w:pPr>
      <w:numPr>
        <w:ilvl w:val="3"/>
        <w:numId w:val="6"/>
      </w:numPr>
    </w:pPr>
    <w:rPr>
      <w:rFonts w:eastAsia="Times New Roman"/>
      <w:lang w:eastAsia="de-DE"/>
    </w:rPr>
  </w:style>
  <w:style w:type="table" w:styleId="Tabela-Siatka">
    <w:name w:val="Table Grid"/>
    <w:basedOn w:val="Standardowy"/>
    <w:uiPriority w:val="39"/>
    <w:rsid w:val="001C3FCC"/>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1C3FCC"/>
    <w:rPr>
      <w:color w:val="0000FF"/>
      <w:u w:val="single"/>
    </w:rPr>
  </w:style>
  <w:style w:type="paragraph" w:styleId="Listapunktowana">
    <w:name w:val="List Bullet"/>
    <w:basedOn w:val="Normalny"/>
    <w:rsid w:val="001C3FCC"/>
    <w:pPr>
      <w:numPr>
        <w:numId w:val="7"/>
      </w:numPr>
    </w:pPr>
    <w:rPr>
      <w:rFonts w:eastAsia="Times New Roman"/>
      <w:lang w:eastAsia="en-GB"/>
    </w:rPr>
  </w:style>
  <w:style w:type="paragraph" w:styleId="Listapunktowana2">
    <w:name w:val="List Bullet 2"/>
    <w:basedOn w:val="Normalny"/>
    <w:rsid w:val="001C3FCC"/>
    <w:pPr>
      <w:numPr>
        <w:numId w:val="8"/>
      </w:numPr>
    </w:pPr>
    <w:rPr>
      <w:rFonts w:eastAsia="Times New Roman"/>
      <w:lang w:eastAsia="en-GB"/>
    </w:rPr>
  </w:style>
  <w:style w:type="paragraph" w:styleId="Listapunktowana3">
    <w:name w:val="List Bullet 3"/>
    <w:basedOn w:val="Normalny"/>
    <w:rsid w:val="001C3FCC"/>
    <w:pPr>
      <w:numPr>
        <w:numId w:val="9"/>
      </w:numPr>
    </w:pPr>
    <w:rPr>
      <w:rFonts w:eastAsia="Times New Roman"/>
      <w:lang w:eastAsia="en-GB"/>
    </w:rPr>
  </w:style>
  <w:style w:type="paragraph" w:styleId="Listanumerowana2">
    <w:name w:val="List Number 2"/>
    <w:basedOn w:val="Normalny"/>
    <w:rsid w:val="001C3FCC"/>
    <w:pPr>
      <w:numPr>
        <w:numId w:val="13"/>
      </w:numPr>
    </w:pPr>
    <w:rPr>
      <w:rFonts w:eastAsia="Times New Roman"/>
      <w:lang w:eastAsia="en-GB"/>
    </w:rPr>
  </w:style>
  <w:style w:type="paragraph" w:styleId="Listanumerowana3">
    <w:name w:val="List Number 3"/>
    <w:basedOn w:val="Normalny"/>
    <w:rsid w:val="001C3FCC"/>
    <w:pPr>
      <w:numPr>
        <w:numId w:val="14"/>
      </w:numPr>
    </w:pPr>
    <w:rPr>
      <w:rFonts w:eastAsia="Times New Roman"/>
      <w:lang w:eastAsia="en-GB"/>
    </w:rPr>
  </w:style>
  <w:style w:type="paragraph" w:styleId="Listanumerowana4">
    <w:name w:val="List Number 4"/>
    <w:basedOn w:val="Normalny"/>
    <w:rsid w:val="001C3FCC"/>
    <w:pPr>
      <w:numPr>
        <w:numId w:val="15"/>
      </w:numPr>
    </w:pPr>
    <w:rPr>
      <w:rFonts w:eastAsia="Times New Roman"/>
      <w:lang w:eastAsia="en-GB"/>
    </w:rPr>
  </w:style>
  <w:style w:type="paragraph" w:customStyle="1" w:styleId="ListDash3">
    <w:name w:val="List Dash 3"/>
    <w:basedOn w:val="Normalny"/>
    <w:rsid w:val="001C3FCC"/>
    <w:pPr>
      <w:numPr>
        <w:numId w:val="10"/>
      </w:numPr>
    </w:pPr>
    <w:rPr>
      <w:rFonts w:eastAsia="Times New Roman"/>
      <w:lang w:eastAsia="en-GB"/>
    </w:rPr>
  </w:style>
  <w:style w:type="paragraph" w:customStyle="1" w:styleId="ListDash4">
    <w:name w:val="List Dash 4"/>
    <w:basedOn w:val="Normalny"/>
    <w:rsid w:val="001C3FCC"/>
    <w:pPr>
      <w:numPr>
        <w:numId w:val="11"/>
      </w:numPr>
    </w:pPr>
    <w:rPr>
      <w:rFonts w:eastAsia="Times New Roman"/>
      <w:lang w:eastAsia="en-GB"/>
    </w:rPr>
  </w:style>
  <w:style w:type="paragraph" w:customStyle="1" w:styleId="ListNumber1">
    <w:name w:val="List Number 1"/>
    <w:basedOn w:val="Text1"/>
    <w:rsid w:val="001C3FCC"/>
    <w:pPr>
      <w:numPr>
        <w:numId w:val="12"/>
      </w:numPr>
    </w:pPr>
    <w:rPr>
      <w:rFonts w:eastAsia="Times New Roman"/>
      <w:lang w:eastAsia="en-GB"/>
    </w:rPr>
  </w:style>
  <w:style w:type="paragraph" w:customStyle="1" w:styleId="ListNumber1Level2">
    <w:name w:val="List Number 1 (Level 2)"/>
    <w:basedOn w:val="Text1"/>
    <w:rsid w:val="001C3FCC"/>
    <w:pPr>
      <w:numPr>
        <w:ilvl w:val="1"/>
        <w:numId w:val="12"/>
      </w:numPr>
    </w:pPr>
    <w:rPr>
      <w:rFonts w:eastAsia="Times New Roman"/>
      <w:lang w:eastAsia="en-GB"/>
    </w:rPr>
  </w:style>
  <w:style w:type="paragraph" w:customStyle="1" w:styleId="ListNumber2Level2">
    <w:name w:val="List Number 2 (Level 2)"/>
    <w:basedOn w:val="Text2"/>
    <w:rsid w:val="001C3FCC"/>
    <w:pPr>
      <w:numPr>
        <w:ilvl w:val="1"/>
        <w:numId w:val="13"/>
      </w:numPr>
    </w:pPr>
    <w:rPr>
      <w:rFonts w:eastAsia="Times New Roman"/>
      <w:lang w:eastAsia="en-GB"/>
    </w:rPr>
  </w:style>
  <w:style w:type="paragraph" w:customStyle="1" w:styleId="ListNumber3Level2">
    <w:name w:val="List Number 3 (Level 2)"/>
    <w:basedOn w:val="Text3"/>
    <w:rsid w:val="001C3FCC"/>
    <w:pPr>
      <w:numPr>
        <w:ilvl w:val="1"/>
        <w:numId w:val="14"/>
      </w:numPr>
    </w:pPr>
    <w:rPr>
      <w:rFonts w:eastAsia="Times New Roman"/>
      <w:lang w:eastAsia="en-GB"/>
    </w:rPr>
  </w:style>
  <w:style w:type="paragraph" w:customStyle="1" w:styleId="ListNumber4Level2">
    <w:name w:val="List Number 4 (Level 2)"/>
    <w:basedOn w:val="Text4"/>
    <w:rsid w:val="001C3FCC"/>
    <w:pPr>
      <w:numPr>
        <w:ilvl w:val="1"/>
        <w:numId w:val="15"/>
      </w:numPr>
    </w:pPr>
    <w:rPr>
      <w:rFonts w:eastAsia="Times New Roman"/>
      <w:lang w:eastAsia="en-GB"/>
    </w:rPr>
  </w:style>
  <w:style w:type="paragraph" w:customStyle="1" w:styleId="ListNumber1Level3">
    <w:name w:val="List Number 1 (Level 3)"/>
    <w:basedOn w:val="Text1"/>
    <w:rsid w:val="001C3FCC"/>
    <w:pPr>
      <w:numPr>
        <w:ilvl w:val="2"/>
        <w:numId w:val="12"/>
      </w:numPr>
    </w:pPr>
    <w:rPr>
      <w:rFonts w:eastAsia="Times New Roman"/>
      <w:lang w:eastAsia="en-GB"/>
    </w:rPr>
  </w:style>
  <w:style w:type="paragraph" w:customStyle="1" w:styleId="ListNumber2Level3">
    <w:name w:val="List Number 2 (Level 3)"/>
    <w:basedOn w:val="Text2"/>
    <w:rsid w:val="001C3FCC"/>
    <w:pPr>
      <w:numPr>
        <w:ilvl w:val="2"/>
        <w:numId w:val="13"/>
      </w:numPr>
    </w:pPr>
    <w:rPr>
      <w:rFonts w:eastAsia="Times New Roman"/>
      <w:lang w:eastAsia="en-GB"/>
    </w:rPr>
  </w:style>
  <w:style w:type="paragraph" w:customStyle="1" w:styleId="ListNumber3Level3">
    <w:name w:val="List Number 3 (Level 3)"/>
    <w:basedOn w:val="Text3"/>
    <w:rsid w:val="001C3FCC"/>
    <w:pPr>
      <w:numPr>
        <w:ilvl w:val="2"/>
        <w:numId w:val="14"/>
      </w:numPr>
    </w:pPr>
    <w:rPr>
      <w:rFonts w:eastAsia="Times New Roman"/>
      <w:lang w:eastAsia="en-GB"/>
    </w:rPr>
  </w:style>
  <w:style w:type="paragraph" w:customStyle="1" w:styleId="ListNumber4Level3">
    <w:name w:val="List Number 4 (Level 3)"/>
    <w:basedOn w:val="Text4"/>
    <w:rsid w:val="001C3FCC"/>
    <w:pPr>
      <w:numPr>
        <w:ilvl w:val="2"/>
        <w:numId w:val="15"/>
      </w:numPr>
    </w:pPr>
    <w:rPr>
      <w:rFonts w:eastAsia="Times New Roman"/>
      <w:lang w:eastAsia="en-GB"/>
    </w:rPr>
  </w:style>
  <w:style w:type="paragraph" w:customStyle="1" w:styleId="ListNumber1Level4">
    <w:name w:val="List Number 1 (Level 4)"/>
    <w:basedOn w:val="Text1"/>
    <w:rsid w:val="001C3FCC"/>
    <w:pPr>
      <w:numPr>
        <w:ilvl w:val="3"/>
        <w:numId w:val="12"/>
      </w:numPr>
    </w:pPr>
    <w:rPr>
      <w:rFonts w:eastAsia="Times New Roman"/>
      <w:lang w:eastAsia="en-GB"/>
    </w:rPr>
  </w:style>
  <w:style w:type="paragraph" w:customStyle="1" w:styleId="ListNumber2Level4">
    <w:name w:val="List Number 2 (Level 4)"/>
    <w:basedOn w:val="Text2"/>
    <w:rsid w:val="001C3FCC"/>
    <w:pPr>
      <w:numPr>
        <w:ilvl w:val="3"/>
        <w:numId w:val="13"/>
      </w:numPr>
    </w:pPr>
    <w:rPr>
      <w:rFonts w:eastAsia="Times New Roman"/>
      <w:lang w:eastAsia="en-GB"/>
    </w:rPr>
  </w:style>
  <w:style w:type="paragraph" w:customStyle="1" w:styleId="ListNumber3Level4">
    <w:name w:val="List Number 3 (Level 4)"/>
    <w:basedOn w:val="Text3"/>
    <w:rsid w:val="001C3FCC"/>
    <w:pPr>
      <w:numPr>
        <w:ilvl w:val="3"/>
        <w:numId w:val="14"/>
      </w:numPr>
    </w:pPr>
    <w:rPr>
      <w:rFonts w:eastAsia="Times New Roman"/>
      <w:lang w:eastAsia="en-GB"/>
    </w:rPr>
  </w:style>
  <w:style w:type="paragraph" w:customStyle="1" w:styleId="ListNumber4Level4">
    <w:name w:val="List Number 4 (Level 4)"/>
    <w:basedOn w:val="Text4"/>
    <w:rsid w:val="001C3FCC"/>
    <w:pPr>
      <w:numPr>
        <w:ilvl w:val="3"/>
        <w:numId w:val="15"/>
      </w:numPr>
    </w:pPr>
    <w:rPr>
      <w:rFonts w:eastAsia="Times New Roman"/>
      <w:lang w:eastAsia="en-GB"/>
    </w:rPr>
  </w:style>
  <w:style w:type="paragraph" w:customStyle="1" w:styleId="Annexetitreacte">
    <w:name w:val="Annexe titre (acte)"/>
    <w:basedOn w:val="Normalny"/>
    <w:next w:val="Normalny"/>
    <w:rsid w:val="001C3FCC"/>
    <w:pPr>
      <w:jc w:val="center"/>
    </w:pPr>
    <w:rPr>
      <w:rFonts w:eastAsia="Times New Roman"/>
      <w:b/>
      <w:u w:val="single"/>
      <w:lang w:eastAsia="en-GB"/>
    </w:rPr>
  </w:style>
  <w:style w:type="paragraph" w:customStyle="1" w:styleId="Annexetitreexposglobal">
    <w:name w:val="Annexe titre (exposé global)"/>
    <w:basedOn w:val="Normalny"/>
    <w:next w:val="Normalny"/>
    <w:rsid w:val="001C3FCC"/>
    <w:pPr>
      <w:jc w:val="center"/>
    </w:pPr>
    <w:rPr>
      <w:rFonts w:eastAsia="Times New Roman"/>
      <w:b/>
      <w:u w:val="single"/>
      <w:lang w:eastAsia="en-GB"/>
    </w:rPr>
  </w:style>
  <w:style w:type="paragraph" w:customStyle="1" w:styleId="Annexetitrefichefinacte">
    <w:name w:val="Annexe titre (fiche fin. acte)"/>
    <w:basedOn w:val="Normalny"/>
    <w:next w:val="Normalny"/>
    <w:rsid w:val="001C3FCC"/>
    <w:pPr>
      <w:jc w:val="center"/>
    </w:pPr>
    <w:rPr>
      <w:rFonts w:eastAsia="Times New Roman"/>
      <w:b/>
      <w:u w:val="single"/>
      <w:lang w:eastAsia="en-GB"/>
    </w:rPr>
  </w:style>
  <w:style w:type="paragraph" w:customStyle="1" w:styleId="Annexetitrefichefinglobale">
    <w:name w:val="Annexe titre (fiche fin. globale)"/>
    <w:basedOn w:val="Normalny"/>
    <w:next w:val="Normalny"/>
    <w:rsid w:val="001C3FCC"/>
    <w:pPr>
      <w:jc w:val="center"/>
    </w:pPr>
    <w:rPr>
      <w:rFonts w:eastAsia="Times New Roman"/>
      <w:b/>
      <w:u w:val="single"/>
      <w:lang w:eastAsia="en-GB"/>
    </w:rPr>
  </w:style>
  <w:style w:type="paragraph" w:customStyle="1" w:styleId="Annexetitreglobale">
    <w:name w:val="Annexe titre (globale)"/>
    <w:basedOn w:val="Normalny"/>
    <w:next w:val="Normalny"/>
    <w:rsid w:val="001C3FCC"/>
    <w:pPr>
      <w:jc w:val="center"/>
    </w:pPr>
    <w:rPr>
      <w:rFonts w:eastAsia="Times New Roman"/>
      <w:b/>
      <w:u w:val="single"/>
      <w:lang w:eastAsia="en-GB"/>
    </w:rPr>
  </w:style>
  <w:style w:type="paragraph" w:customStyle="1" w:styleId="Exposdesmotifstitreglobal">
    <w:name w:val="Exposé des motifs titre (global)"/>
    <w:basedOn w:val="Normalny"/>
    <w:next w:val="Normalny"/>
    <w:rsid w:val="001C3FCC"/>
    <w:pPr>
      <w:jc w:val="center"/>
    </w:pPr>
    <w:rPr>
      <w:rFonts w:eastAsia="Times New Roman"/>
      <w:b/>
      <w:u w:val="single"/>
      <w:lang w:eastAsia="en-GB"/>
    </w:rPr>
  </w:style>
  <w:style w:type="paragraph" w:customStyle="1" w:styleId="Langueoriginale">
    <w:name w:val="Langue originale"/>
    <w:basedOn w:val="Normalny"/>
    <w:rsid w:val="001C3FCC"/>
    <w:pPr>
      <w:spacing w:before="360"/>
      <w:jc w:val="center"/>
    </w:pPr>
    <w:rPr>
      <w:rFonts w:eastAsia="Times New Roman"/>
      <w:caps/>
      <w:lang w:eastAsia="en-GB"/>
    </w:rPr>
  </w:style>
  <w:style w:type="paragraph" w:customStyle="1" w:styleId="Phrasefinale">
    <w:name w:val="Phrase finale"/>
    <w:basedOn w:val="Normalny"/>
    <w:next w:val="Normalny"/>
    <w:rsid w:val="001C3FCC"/>
    <w:pPr>
      <w:spacing w:before="360" w:after="0"/>
      <w:jc w:val="center"/>
    </w:pPr>
    <w:rPr>
      <w:rFonts w:eastAsia="Times New Roman"/>
      <w:lang w:eastAsia="en-GB"/>
    </w:rPr>
  </w:style>
  <w:style w:type="paragraph" w:customStyle="1" w:styleId="Prliminairetitre">
    <w:name w:val="Préliminaire titre"/>
    <w:basedOn w:val="Normalny"/>
    <w:next w:val="Normalny"/>
    <w:rsid w:val="001C3FCC"/>
    <w:pPr>
      <w:spacing w:before="360" w:after="360"/>
      <w:jc w:val="center"/>
    </w:pPr>
    <w:rPr>
      <w:rFonts w:eastAsia="Times New Roman"/>
      <w:b/>
      <w:lang w:eastAsia="en-GB"/>
    </w:rPr>
  </w:style>
  <w:style w:type="paragraph" w:customStyle="1" w:styleId="Prliminairetype">
    <w:name w:val="Préliminaire type"/>
    <w:basedOn w:val="Normalny"/>
    <w:next w:val="Normalny"/>
    <w:rsid w:val="001C3FCC"/>
    <w:pPr>
      <w:spacing w:before="360" w:after="0"/>
      <w:jc w:val="center"/>
    </w:pPr>
    <w:rPr>
      <w:rFonts w:eastAsia="Times New Roman"/>
      <w:b/>
      <w:lang w:eastAsia="en-GB"/>
    </w:rPr>
  </w:style>
  <w:style w:type="paragraph" w:customStyle="1" w:styleId="Rfrenceinstitutionelle">
    <w:name w:val="Référence institutionelle"/>
    <w:basedOn w:val="Normalny"/>
    <w:next w:val="Statut"/>
    <w:rsid w:val="001C3FCC"/>
    <w:pPr>
      <w:spacing w:before="0" w:after="240"/>
      <w:ind w:left="5103"/>
      <w:jc w:val="left"/>
    </w:pPr>
    <w:rPr>
      <w:rFonts w:eastAsia="Times New Roman"/>
      <w:lang w:eastAsia="en-GB"/>
    </w:rPr>
  </w:style>
  <w:style w:type="paragraph" w:customStyle="1" w:styleId="Rfrenceinterinstitutionelle">
    <w:name w:val="Référence interinstitutionelle"/>
    <w:basedOn w:val="Normalny"/>
    <w:next w:val="Statut"/>
    <w:rsid w:val="001C3FCC"/>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ny"/>
    <w:next w:val="Normalny"/>
    <w:rsid w:val="001C3FCC"/>
    <w:pPr>
      <w:spacing w:before="0" w:after="0"/>
      <w:ind w:left="5103"/>
      <w:jc w:val="left"/>
    </w:pPr>
    <w:rPr>
      <w:rFonts w:eastAsia="Times New Roman"/>
      <w:lang w:eastAsia="en-GB"/>
    </w:rPr>
  </w:style>
  <w:style w:type="paragraph" w:customStyle="1" w:styleId="Sous-titreobjetprliminaire">
    <w:name w:val="Sous-titre objet (préliminaire)"/>
    <w:basedOn w:val="Normalny"/>
    <w:rsid w:val="001C3FCC"/>
    <w:pPr>
      <w:spacing w:before="0" w:after="0"/>
      <w:jc w:val="center"/>
    </w:pPr>
    <w:rPr>
      <w:rFonts w:eastAsia="Times New Roman"/>
      <w:b/>
      <w:lang w:eastAsia="en-GB"/>
    </w:rPr>
  </w:style>
  <w:style w:type="paragraph" w:customStyle="1" w:styleId="Statutprliminaire">
    <w:name w:val="Statut (préliminaire)"/>
    <w:basedOn w:val="Normalny"/>
    <w:next w:val="Normalny"/>
    <w:rsid w:val="001C3FCC"/>
    <w:pPr>
      <w:spacing w:before="360" w:after="0"/>
      <w:jc w:val="center"/>
    </w:pPr>
    <w:rPr>
      <w:rFonts w:eastAsia="Times New Roman"/>
      <w:lang w:eastAsia="en-GB"/>
    </w:rPr>
  </w:style>
  <w:style w:type="paragraph" w:customStyle="1" w:styleId="Titreobjetprliminaire">
    <w:name w:val="Titre objet (préliminaire)"/>
    <w:basedOn w:val="Normalny"/>
    <w:next w:val="Normalny"/>
    <w:rsid w:val="001C3FCC"/>
    <w:pPr>
      <w:spacing w:before="360" w:after="360"/>
      <w:jc w:val="center"/>
    </w:pPr>
    <w:rPr>
      <w:rFonts w:eastAsia="Times New Roman"/>
      <w:b/>
      <w:lang w:eastAsia="en-GB"/>
    </w:rPr>
  </w:style>
  <w:style w:type="paragraph" w:customStyle="1" w:styleId="Typedudocumentprliminaire">
    <w:name w:val="Type du document (préliminaire)"/>
    <w:basedOn w:val="Normalny"/>
    <w:next w:val="Normalny"/>
    <w:rsid w:val="001C3FCC"/>
    <w:pPr>
      <w:spacing w:before="360" w:after="0"/>
      <w:jc w:val="center"/>
    </w:pPr>
    <w:rPr>
      <w:rFonts w:eastAsia="Times New Roman"/>
      <w:b/>
      <w:lang w:eastAsia="en-GB"/>
    </w:rPr>
  </w:style>
  <w:style w:type="paragraph" w:customStyle="1" w:styleId="Fichefinancirestandardtitre">
    <w:name w:val="Fiche financière (standard) titre"/>
    <w:basedOn w:val="Normalny"/>
    <w:next w:val="Normalny"/>
    <w:rsid w:val="001C3FCC"/>
    <w:pPr>
      <w:jc w:val="center"/>
    </w:pPr>
    <w:rPr>
      <w:rFonts w:eastAsia="Times New Roman"/>
      <w:b/>
      <w:u w:val="single"/>
      <w:lang w:eastAsia="en-GB"/>
    </w:rPr>
  </w:style>
  <w:style w:type="paragraph" w:customStyle="1" w:styleId="Fichefinancirestandardtitreacte">
    <w:name w:val="Fiche financière (standard) titre (acte)"/>
    <w:basedOn w:val="Normalny"/>
    <w:next w:val="Normalny"/>
    <w:rsid w:val="001C3FCC"/>
    <w:pPr>
      <w:jc w:val="center"/>
    </w:pPr>
    <w:rPr>
      <w:rFonts w:eastAsia="Times New Roman"/>
      <w:b/>
      <w:u w:val="single"/>
      <w:lang w:eastAsia="en-GB"/>
    </w:rPr>
  </w:style>
  <w:style w:type="paragraph" w:customStyle="1" w:styleId="Fichefinanciretravailtitre">
    <w:name w:val="Fiche financière (travail) titre"/>
    <w:basedOn w:val="Normalny"/>
    <w:next w:val="Normalny"/>
    <w:rsid w:val="001C3FCC"/>
    <w:pPr>
      <w:jc w:val="center"/>
    </w:pPr>
    <w:rPr>
      <w:rFonts w:eastAsia="Times New Roman"/>
      <w:b/>
      <w:u w:val="single"/>
      <w:lang w:eastAsia="en-GB"/>
    </w:rPr>
  </w:style>
  <w:style w:type="paragraph" w:customStyle="1" w:styleId="Fichefinanciretravailtitreacte">
    <w:name w:val="Fiche financière (travail) titre (acte)"/>
    <w:basedOn w:val="Normalny"/>
    <w:next w:val="Normalny"/>
    <w:rsid w:val="001C3FCC"/>
    <w:pPr>
      <w:jc w:val="center"/>
    </w:pPr>
    <w:rPr>
      <w:rFonts w:eastAsia="Times New Roman"/>
      <w:b/>
      <w:u w:val="single"/>
      <w:lang w:eastAsia="en-GB"/>
    </w:rPr>
  </w:style>
  <w:style w:type="paragraph" w:customStyle="1" w:styleId="Fichefinancireattributiontitre">
    <w:name w:val="Fiche financière (attribution) titre"/>
    <w:basedOn w:val="Normalny"/>
    <w:next w:val="Normalny"/>
    <w:rsid w:val="001C3FCC"/>
    <w:pPr>
      <w:jc w:val="center"/>
    </w:pPr>
    <w:rPr>
      <w:rFonts w:eastAsia="Times New Roman"/>
      <w:b/>
      <w:u w:val="single"/>
      <w:lang w:eastAsia="en-GB"/>
    </w:rPr>
  </w:style>
  <w:style w:type="paragraph" w:customStyle="1" w:styleId="Fichefinancireattributiontitreacte">
    <w:name w:val="Fiche financière (attribution) titre (acte)"/>
    <w:basedOn w:val="Normalny"/>
    <w:next w:val="Normalny"/>
    <w:rsid w:val="001C3FCC"/>
    <w:pPr>
      <w:jc w:val="center"/>
    </w:pPr>
    <w:rPr>
      <w:rFonts w:eastAsia="Times New Roman"/>
      <w:b/>
      <w:u w:val="single"/>
      <w:lang w:eastAsia="en-GB"/>
    </w:rPr>
  </w:style>
  <w:style w:type="character" w:styleId="Odwoaniedokomentarza">
    <w:name w:val="annotation reference"/>
    <w:uiPriority w:val="99"/>
    <w:rsid w:val="001C3FCC"/>
    <w:rPr>
      <w:rFonts w:cs="Times New Roman"/>
      <w:sz w:val="16"/>
      <w:szCs w:val="16"/>
    </w:rPr>
  </w:style>
  <w:style w:type="paragraph" w:styleId="Tekstkomentarza">
    <w:name w:val="annotation text"/>
    <w:basedOn w:val="Normalny"/>
    <w:link w:val="TekstkomentarzaZnak"/>
    <w:uiPriority w:val="99"/>
    <w:rsid w:val="001C3FCC"/>
    <w:rPr>
      <w:rFonts w:eastAsia="Times New Roman"/>
      <w:sz w:val="20"/>
      <w:szCs w:val="20"/>
      <w:lang w:eastAsia="en-GB"/>
    </w:rPr>
  </w:style>
  <w:style w:type="character" w:customStyle="1" w:styleId="TekstkomentarzaZnak">
    <w:name w:val="Tekst komentarza Znak"/>
    <w:basedOn w:val="Domylnaczcionkaakapitu"/>
    <w:link w:val="Tekstkomentarza"/>
    <w:uiPriority w:val="99"/>
    <w:rsid w:val="001C3FCC"/>
    <w:rPr>
      <w:rFonts w:ascii="Times New Roman" w:eastAsia="Times New Roman" w:hAnsi="Times New Roman" w:cs="Times New Roman"/>
      <w:sz w:val="20"/>
      <w:szCs w:val="20"/>
      <w:lang w:val="pl-PL" w:eastAsia="en-GB"/>
    </w:rPr>
  </w:style>
  <w:style w:type="paragraph" w:styleId="Tematkomentarza">
    <w:name w:val="annotation subject"/>
    <w:basedOn w:val="Tekstkomentarza"/>
    <w:next w:val="Tekstkomentarza"/>
    <w:link w:val="TematkomentarzaZnak"/>
    <w:uiPriority w:val="99"/>
    <w:rsid w:val="001C3FCC"/>
    <w:rPr>
      <w:b/>
      <w:bCs/>
    </w:rPr>
  </w:style>
  <w:style w:type="character" w:customStyle="1" w:styleId="TematkomentarzaZnak">
    <w:name w:val="Temat komentarza Znak"/>
    <w:basedOn w:val="TekstkomentarzaZnak"/>
    <w:link w:val="Tematkomentarza"/>
    <w:uiPriority w:val="99"/>
    <w:rsid w:val="001C3FCC"/>
    <w:rPr>
      <w:rFonts w:ascii="Times New Roman" w:eastAsia="Times New Roman" w:hAnsi="Times New Roman" w:cs="Times New Roman"/>
      <w:b/>
      <w:bCs/>
      <w:sz w:val="20"/>
      <w:szCs w:val="20"/>
      <w:lang w:val="pl-PL" w:eastAsia="en-GB"/>
    </w:rPr>
  </w:style>
  <w:style w:type="paragraph" w:styleId="Tekstdymka">
    <w:name w:val="Balloon Text"/>
    <w:basedOn w:val="Normalny"/>
    <w:link w:val="TekstdymkaZnak"/>
    <w:uiPriority w:val="99"/>
    <w:rsid w:val="001C3FCC"/>
    <w:rPr>
      <w:rFonts w:ascii="Tahoma" w:eastAsia="Times New Roman" w:hAnsi="Tahoma" w:cs="Tahoma"/>
      <w:sz w:val="16"/>
      <w:szCs w:val="16"/>
      <w:lang w:eastAsia="en-GB"/>
    </w:rPr>
  </w:style>
  <w:style w:type="character" w:customStyle="1" w:styleId="TekstdymkaZnak">
    <w:name w:val="Tekst dymka Znak"/>
    <w:basedOn w:val="Domylnaczcionkaakapitu"/>
    <w:link w:val="Tekstdymka"/>
    <w:uiPriority w:val="99"/>
    <w:rsid w:val="001C3FCC"/>
    <w:rPr>
      <w:rFonts w:ascii="Tahoma" w:eastAsia="Times New Roman" w:hAnsi="Tahoma" w:cs="Tahoma"/>
      <w:sz w:val="16"/>
      <w:szCs w:val="16"/>
      <w:lang w:val="pl-PL" w:eastAsia="en-GB"/>
    </w:rPr>
  </w:style>
  <w:style w:type="paragraph" w:styleId="Legenda">
    <w:name w:val="caption"/>
    <w:basedOn w:val="Normalny"/>
    <w:next w:val="Normalny"/>
    <w:uiPriority w:val="35"/>
    <w:qFormat/>
    <w:rsid w:val="001C3FCC"/>
    <w:rPr>
      <w:rFonts w:eastAsia="Times New Roman"/>
      <w:b/>
      <w:bCs/>
      <w:sz w:val="20"/>
      <w:szCs w:val="20"/>
      <w:lang w:eastAsia="en-GB"/>
    </w:rPr>
  </w:style>
  <w:style w:type="paragraph" w:styleId="Spisilustracji">
    <w:name w:val="table of figures"/>
    <w:basedOn w:val="Normalny"/>
    <w:next w:val="Normalny"/>
    <w:rsid w:val="001C3FCC"/>
    <w:rPr>
      <w:rFonts w:eastAsia="Times New Roman"/>
      <w:lang w:eastAsia="en-GB"/>
    </w:rPr>
  </w:style>
  <w:style w:type="character" w:styleId="Numerstrony">
    <w:name w:val="page number"/>
    <w:rsid w:val="001C3FCC"/>
  </w:style>
  <w:style w:type="character" w:customStyle="1" w:styleId="tw4winMark">
    <w:name w:val="tw4winMark"/>
    <w:rsid w:val="001C3FCC"/>
    <w:rPr>
      <w:vanish/>
      <w:color w:val="800080"/>
      <w:vertAlign w:val="subscript"/>
    </w:rPr>
  </w:style>
  <w:style w:type="character" w:styleId="UyteHipercze">
    <w:name w:val="FollowedHyperlink"/>
    <w:uiPriority w:val="99"/>
    <w:rsid w:val="001C3FCC"/>
    <w:rPr>
      <w:color w:val="800080"/>
      <w:u w:val="single"/>
    </w:rPr>
  </w:style>
  <w:style w:type="paragraph" w:customStyle="1" w:styleId="Sous-titreobjet">
    <w:name w:val="Sous-titre objet"/>
    <w:basedOn w:val="Normalny"/>
    <w:rsid w:val="001C3FCC"/>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1C3FCC"/>
  </w:style>
  <w:style w:type="paragraph" w:styleId="Poprawka">
    <w:name w:val="Revision"/>
    <w:hidden/>
    <w:uiPriority w:val="99"/>
    <w:semiHidden/>
    <w:rsid w:val="001C3FCC"/>
    <w:rPr>
      <w:rFonts w:ascii="Calibri" w:eastAsia="Calibri" w:hAnsi="Calibri" w:cs="Times New Roman"/>
      <w:sz w:val="24"/>
      <w:lang w:eastAsia="en-GB"/>
    </w:rPr>
  </w:style>
  <w:style w:type="paragraph" w:customStyle="1" w:styleId="FooterCoverPage">
    <w:name w:val="Footer Cover Page"/>
    <w:basedOn w:val="Normalny"/>
    <w:link w:val="FooterCoverPageChar"/>
    <w:rsid w:val="001C3FCC"/>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1C3FCC"/>
    <w:rPr>
      <w:rFonts w:ascii="Times New Roman" w:hAnsi="Times New Roman" w:cs="Times New Roman"/>
      <w:b/>
      <w:sz w:val="28"/>
      <w:lang w:val="pl-PL"/>
    </w:rPr>
  </w:style>
  <w:style w:type="character" w:customStyle="1" w:styleId="FooterCoverPageChar">
    <w:name w:val="Footer Cover Page Char"/>
    <w:link w:val="FooterCoverPage"/>
    <w:rsid w:val="001C3FCC"/>
    <w:rPr>
      <w:rFonts w:ascii="Times New Roman" w:eastAsia="Calibri" w:hAnsi="Times New Roman" w:cs="Times New Roman"/>
      <w:sz w:val="24"/>
      <w:lang w:val="pl-PL" w:eastAsia="en-GB"/>
    </w:rPr>
  </w:style>
  <w:style w:type="paragraph" w:customStyle="1" w:styleId="HeaderCoverPage">
    <w:name w:val="Header Cover Page"/>
    <w:basedOn w:val="Normalny"/>
    <w:link w:val="HeaderCoverPageChar"/>
    <w:rsid w:val="001C3FCC"/>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1C3FCC"/>
    <w:rPr>
      <w:rFonts w:ascii="Times New Roman" w:eastAsia="Calibri" w:hAnsi="Times New Roman" w:cs="Times New Roman"/>
      <w:sz w:val="24"/>
      <w:lang w:val="pl-PL" w:eastAsia="en-GB"/>
    </w:rPr>
  </w:style>
  <w:style w:type="paragraph" w:customStyle="1" w:styleId="WDBody">
    <w:name w:val="WD Body"/>
    <w:aliases w:val="Body,AFW Body,Normal Arial,AFW Memo Body,AFW Mins,NuGen Body Numbered,AMEC Body,Body (IACC),NG Body Numbered,Infin Body Numbered,Vat Body Numbered,Body (DIO PSP),38058 11pt Body,AFW Capability Body 9pt,AFW Profile Body 9pt,36380  Body,WD Mins"/>
    <w:link w:val="AFWBodyChar"/>
    <w:qFormat/>
    <w:rsid w:val="009A3168"/>
    <w:pPr>
      <w:spacing w:after="160" w:line="240" w:lineRule="atLeast"/>
    </w:pPr>
    <w:rPr>
      <w:rFonts w:ascii="Segoe UI" w:hAnsi="Segoe UI"/>
      <w:color w:val="000000"/>
      <w:sz w:val="20"/>
    </w:rPr>
  </w:style>
  <w:style w:type="character" w:customStyle="1" w:styleId="AFWBodyChar">
    <w:name w:val="AFW Body Char"/>
    <w:aliases w:val="Body Char"/>
    <w:link w:val="WDBody"/>
    <w:locked/>
    <w:rsid w:val="009A3168"/>
    <w:rPr>
      <w:rFonts w:ascii="Segoe UI" w:hAnsi="Segoe UI"/>
      <w:color w:val="000000"/>
      <w:sz w:val="20"/>
      <w:lang w:val="pl-PL"/>
    </w:rPr>
  </w:style>
  <w:style w:type="paragraph" w:styleId="NormalnyWeb">
    <w:name w:val="Normal (Web)"/>
    <w:basedOn w:val="Normalny"/>
    <w:uiPriority w:val="99"/>
    <w:unhideWhenUsed/>
    <w:rsid w:val="009A3168"/>
    <w:pPr>
      <w:spacing w:before="100" w:beforeAutospacing="1" w:after="100" w:afterAutospacing="1"/>
      <w:jc w:val="left"/>
    </w:pPr>
    <w:rPr>
      <w:rFonts w:eastAsia="Times New Roman"/>
      <w:szCs w:val="24"/>
      <w:lang w:eastAsia="zh-CN"/>
    </w:rPr>
  </w:style>
  <w:style w:type="paragraph" w:styleId="Akapitzlist">
    <w:name w:val="List Paragraph"/>
    <w:aliases w:val="Issue Action POC,List Paragraph1,3,POCG Table Text,Dot pt,F5 List Paragraph,List Paragraph Char Char Char,Indicator Text,Colorful List - Accent 11,Numbered Para 1,Bullet Points,List Paragraph2,MAIN CONTENT,Normal numbered,EC,No T"/>
    <w:basedOn w:val="Normalny"/>
    <w:link w:val="AkapitzlistZnak"/>
    <w:uiPriority w:val="34"/>
    <w:qFormat/>
    <w:rsid w:val="009A3168"/>
    <w:pPr>
      <w:spacing w:before="0" w:after="160" w:line="256" w:lineRule="auto"/>
      <w:ind w:left="720"/>
      <w:contextualSpacing/>
      <w:jc w:val="left"/>
    </w:pPr>
    <w:rPr>
      <w:rFonts w:asciiTheme="minorHAnsi" w:hAnsiTheme="minorHAnsi" w:cstheme="minorBidi"/>
      <w:sz w:val="22"/>
    </w:rPr>
  </w:style>
  <w:style w:type="character" w:customStyle="1" w:styleId="AkapitzlistZnak">
    <w:name w:val="Akapit z listą Znak"/>
    <w:aliases w:val="Issue Action POC Znak,List Paragraph1 Znak,3 Znak,POCG Table Text Znak,Dot pt Znak,F5 List Paragraph Znak,List Paragraph Char Char Char Znak,Indicator Text Znak,Colorful List - Accent 11 Znak,Numbered Para 1 Znak,Bullet Points Znak"/>
    <w:basedOn w:val="Domylnaczcionkaakapitu"/>
    <w:link w:val="Akapitzlist"/>
    <w:uiPriority w:val="34"/>
    <w:qFormat/>
    <w:locked/>
    <w:rsid w:val="009A3168"/>
  </w:style>
  <w:style w:type="character" w:customStyle="1" w:styleId="none">
    <w:name w:val="none"/>
    <w:basedOn w:val="Domylnaczcionkaakapitu"/>
    <w:rsid w:val="00B56C8F"/>
  </w:style>
  <w:style w:type="paragraph" w:customStyle="1" w:styleId="sti-art">
    <w:name w:val="sti-art"/>
    <w:basedOn w:val="Normalny"/>
    <w:rsid w:val="004E30E9"/>
    <w:pPr>
      <w:spacing w:before="100" w:beforeAutospacing="1" w:after="100" w:afterAutospacing="1"/>
      <w:jc w:val="left"/>
    </w:pPr>
    <w:rPr>
      <w:rFonts w:eastAsia="Times New Roman"/>
      <w:szCs w:val="24"/>
      <w:lang w:eastAsia="en-GB"/>
    </w:rPr>
  </w:style>
  <w:style w:type="paragraph" w:customStyle="1" w:styleId="ti-art">
    <w:name w:val="ti-art"/>
    <w:basedOn w:val="Normalny"/>
    <w:rsid w:val="00D4147B"/>
    <w:pPr>
      <w:spacing w:before="100" w:beforeAutospacing="1" w:after="100" w:afterAutospacing="1"/>
      <w:jc w:val="left"/>
    </w:pPr>
    <w:rPr>
      <w:rFonts w:eastAsia="Times New Roman"/>
      <w:szCs w:val="24"/>
      <w:lang w:eastAsia="en-GB"/>
    </w:rPr>
  </w:style>
  <w:style w:type="paragraph" w:customStyle="1" w:styleId="Trt">
    <w:name w:val="Trt"/>
    <w:basedOn w:val="NumPar1"/>
    <w:rsid w:val="00DD67BF"/>
  </w:style>
  <w:style w:type="paragraph" w:customStyle="1" w:styleId="Normal8">
    <w:name w:val="Normal8"/>
    <w:basedOn w:val="Normalny"/>
    <w:rsid w:val="00336D42"/>
    <w:pPr>
      <w:spacing w:before="100" w:beforeAutospacing="1" w:after="100" w:afterAutospacing="1"/>
      <w:jc w:val="left"/>
    </w:pPr>
    <w:rPr>
      <w:rFonts w:eastAsia="Times New Roman"/>
      <w:szCs w:val="24"/>
      <w:lang w:eastAsia="en-GB"/>
    </w:rPr>
  </w:style>
  <w:style w:type="paragraph" w:styleId="Tekstprzypisukocowego">
    <w:name w:val="endnote text"/>
    <w:basedOn w:val="Normalny"/>
    <w:link w:val="TekstprzypisukocowegoZnak"/>
    <w:uiPriority w:val="99"/>
    <w:semiHidden/>
    <w:unhideWhenUsed/>
    <w:rsid w:val="00A82771"/>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A82771"/>
    <w:rPr>
      <w:rFonts w:ascii="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A82771"/>
    <w:rPr>
      <w:vertAlign w:val="superscript"/>
    </w:rPr>
  </w:style>
  <w:style w:type="numbering" w:customStyle="1" w:styleId="Chapter">
    <w:name w:val="Chapter"/>
    <w:basedOn w:val="Bezlisty"/>
    <w:uiPriority w:val="99"/>
    <w:rsid w:val="00A82771"/>
  </w:style>
  <w:style w:type="paragraph" w:customStyle="1" w:styleId="Default">
    <w:name w:val="Default"/>
    <w:rsid w:val="00A827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omylnaczcionkaakapitu"/>
    <w:rsid w:val="00A82771"/>
  </w:style>
  <w:style w:type="character" w:customStyle="1" w:styleId="eop">
    <w:name w:val="eop"/>
    <w:basedOn w:val="Domylnaczcionkaakapitu"/>
    <w:rsid w:val="00A82771"/>
  </w:style>
  <w:style w:type="paragraph" w:customStyle="1" w:styleId="Normal1">
    <w:name w:val="Normal1"/>
    <w:basedOn w:val="Normalny"/>
    <w:rsid w:val="00A82771"/>
    <w:pPr>
      <w:spacing w:before="100" w:beforeAutospacing="1" w:after="100" w:afterAutospacing="1"/>
      <w:jc w:val="left"/>
    </w:pPr>
    <w:rPr>
      <w:rFonts w:eastAsia="Times New Roman"/>
      <w:szCs w:val="24"/>
      <w:lang w:eastAsia="en-GB"/>
    </w:rPr>
  </w:style>
  <w:style w:type="character" w:customStyle="1" w:styleId="italic">
    <w:name w:val="italic"/>
    <w:basedOn w:val="Domylnaczcionkaakapitu"/>
    <w:rsid w:val="00A82771"/>
  </w:style>
  <w:style w:type="character" w:customStyle="1" w:styleId="highlight">
    <w:name w:val="highlight"/>
    <w:basedOn w:val="Domylnaczcionkaakapitu"/>
    <w:rsid w:val="00A82771"/>
  </w:style>
  <w:style w:type="paragraph" w:customStyle="1" w:styleId="Normal2">
    <w:name w:val="Normal2"/>
    <w:basedOn w:val="Normalny"/>
    <w:rsid w:val="00A82771"/>
    <w:pPr>
      <w:spacing w:before="100" w:beforeAutospacing="1" w:after="100" w:afterAutospacing="1"/>
      <w:jc w:val="left"/>
    </w:pPr>
    <w:rPr>
      <w:rFonts w:eastAsia="Times New Roman"/>
      <w:szCs w:val="24"/>
      <w:lang w:eastAsia="en-GB"/>
    </w:rPr>
  </w:style>
  <w:style w:type="paragraph" w:customStyle="1" w:styleId="Normal3">
    <w:name w:val="Normal3"/>
    <w:basedOn w:val="Normalny"/>
    <w:rsid w:val="00A82771"/>
    <w:pPr>
      <w:spacing w:before="100" w:beforeAutospacing="1" w:after="100" w:afterAutospacing="1"/>
      <w:jc w:val="left"/>
    </w:pPr>
    <w:rPr>
      <w:rFonts w:eastAsia="Times New Roman"/>
      <w:szCs w:val="24"/>
      <w:lang w:eastAsia="en-GB"/>
    </w:rPr>
  </w:style>
  <w:style w:type="paragraph" w:customStyle="1" w:styleId="Normal4">
    <w:name w:val="Normal4"/>
    <w:basedOn w:val="Normalny"/>
    <w:rsid w:val="00A82771"/>
    <w:pPr>
      <w:spacing w:before="100" w:beforeAutospacing="1" w:after="100" w:afterAutospacing="1"/>
      <w:jc w:val="left"/>
    </w:pPr>
    <w:rPr>
      <w:rFonts w:eastAsia="Times New Roman"/>
      <w:szCs w:val="24"/>
      <w:lang w:eastAsia="en-GB"/>
    </w:rPr>
  </w:style>
  <w:style w:type="paragraph" w:customStyle="1" w:styleId="ti-section-1">
    <w:name w:val="ti-section-1"/>
    <w:basedOn w:val="Normalny"/>
    <w:rsid w:val="00A82771"/>
    <w:pPr>
      <w:spacing w:before="100" w:beforeAutospacing="1" w:after="100" w:afterAutospacing="1"/>
      <w:jc w:val="left"/>
    </w:pPr>
    <w:rPr>
      <w:rFonts w:eastAsia="Times New Roman"/>
      <w:szCs w:val="24"/>
      <w:lang w:eastAsia="en-GB"/>
    </w:rPr>
  </w:style>
  <w:style w:type="paragraph" w:customStyle="1" w:styleId="ti-section-2">
    <w:name w:val="ti-section-2"/>
    <w:basedOn w:val="Normalny"/>
    <w:rsid w:val="00A82771"/>
    <w:pPr>
      <w:spacing w:before="100" w:beforeAutospacing="1" w:after="100" w:afterAutospacing="1"/>
      <w:jc w:val="left"/>
    </w:pPr>
    <w:rPr>
      <w:rFonts w:eastAsia="Times New Roman"/>
      <w:szCs w:val="24"/>
      <w:lang w:eastAsia="en-GB"/>
    </w:rPr>
  </w:style>
  <w:style w:type="character" w:customStyle="1" w:styleId="bold">
    <w:name w:val="bold"/>
    <w:basedOn w:val="Domylnaczcionkaakapitu"/>
    <w:rsid w:val="00A82771"/>
  </w:style>
  <w:style w:type="paragraph" w:customStyle="1" w:styleId="Normal5">
    <w:name w:val="Normal5"/>
    <w:basedOn w:val="Normalny"/>
    <w:rsid w:val="00A82771"/>
    <w:pPr>
      <w:spacing w:before="100" w:beforeAutospacing="1" w:after="100" w:afterAutospacing="1"/>
      <w:jc w:val="left"/>
    </w:pPr>
    <w:rPr>
      <w:rFonts w:eastAsia="Times New Roman"/>
      <w:szCs w:val="24"/>
      <w:lang w:eastAsia="en-GB"/>
    </w:rPr>
  </w:style>
  <w:style w:type="paragraph" w:customStyle="1" w:styleId="title-article-norm">
    <w:name w:val="title-article-norm"/>
    <w:basedOn w:val="Normalny"/>
    <w:rsid w:val="00A82771"/>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ny"/>
    <w:rsid w:val="00A82771"/>
    <w:pPr>
      <w:spacing w:before="100" w:beforeAutospacing="1" w:after="100" w:afterAutospacing="1"/>
      <w:jc w:val="left"/>
    </w:pPr>
    <w:rPr>
      <w:rFonts w:eastAsia="Times New Roman"/>
      <w:szCs w:val="24"/>
      <w:lang w:eastAsia="en-GB"/>
    </w:rPr>
  </w:style>
  <w:style w:type="paragraph" w:customStyle="1" w:styleId="norm">
    <w:name w:val="norm"/>
    <w:basedOn w:val="Normalny"/>
    <w:rsid w:val="00A82771"/>
    <w:pPr>
      <w:spacing w:before="100" w:beforeAutospacing="1" w:after="100" w:afterAutospacing="1"/>
      <w:jc w:val="left"/>
    </w:pPr>
    <w:rPr>
      <w:rFonts w:eastAsia="Times New Roman"/>
      <w:szCs w:val="24"/>
      <w:lang w:eastAsia="en-GB"/>
    </w:rPr>
  </w:style>
  <w:style w:type="paragraph" w:customStyle="1" w:styleId="Normal6">
    <w:name w:val="Normal6"/>
    <w:basedOn w:val="Normalny"/>
    <w:rsid w:val="00A82771"/>
    <w:pPr>
      <w:spacing w:before="100" w:beforeAutospacing="1" w:after="100" w:afterAutospacing="1"/>
      <w:jc w:val="left"/>
    </w:pPr>
    <w:rPr>
      <w:rFonts w:eastAsia="Times New Roman"/>
      <w:szCs w:val="24"/>
      <w:lang w:eastAsia="en-GB"/>
    </w:rPr>
  </w:style>
  <w:style w:type="table" w:customStyle="1" w:styleId="TableGrid2">
    <w:name w:val="Table Grid2"/>
    <w:basedOn w:val="Standardowy"/>
    <w:uiPriority w:val="39"/>
    <w:rsid w:val="00A8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omylnaczcionkaakapitu"/>
    <w:rsid w:val="00A82771"/>
  </w:style>
  <w:style w:type="paragraph" w:customStyle="1" w:styleId="Normal7">
    <w:name w:val="Normal7"/>
    <w:basedOn w:val="Normalny"/>
    <w:rsid w:val="00A82771"/>
    <w:pPr>
      <w:spacing w:before="100" w:beforeAutospacing="1" w:after="100" w:afterAutospacing="1"/>
      <w:jc w:val="left"/>
    </w:pPr>
    <w:rPr>
      <w:rFonts w:eastAsia="Times New Roman"/>
      <w:szCs w:val="24"/>
      <w:lang w:eastAsia="en-GB"/>
    </w:rPr>
  </w:style>
  <w:style w:type="character" w:customStyle="1" w:styleId="no-parag">
    <w:name w:val="no-parag"/>
    <w:basedOn w:val="Domylnaczcionkaakapitu"/>
    <w:rsid w:val="00A82771"/>
  </w:style>
  <w:style w:type="character" w:styleId="Pogrubienie">
    <w:name w:val="Strong"/>
    <w:basedOn w:val="Domylnaczcionkaakapitu"/>
    <w:uiPriority w:val="22"/>
    <w:qFormat/>
    <w:rsid w:val="00F6614D"/>
    <w:rPr>
      <w:b/>
      <w:bCs/>
    </w:rPr>
  </w:style>
  <w:style w:type="character" w:styleId="Uwydatnienie">
    <w:name w:val="Emphasis"/>
    <w:basedOn w:val="Domylnaczcionkaakapitu"/>
    <w:uiPriority w:val="20"/>
    <w:qFormat/>
    <w:rsid w:val="007F4C85"/>
    <w:rPr>
      <w:i/>
      <w:iCs/>
    </w:rPr>
  </w:style>
  <w:style w:type="character" w:customStyle="1" w:styleId="sub-num">
    <w:name w:val="sub-num"/>
    <w:basedOn w:val="Domylnaczcionkaakapitu"/>
    <w:rsid w:val="007F4C85"/>
  </w:style>
  <w:style w:type="character" w:customStyle="1" w:styleId="dttext">
    <w:name w:val="dttext"/>
    <w:basedOn w:val="Domylnaczcionkaakapitu"/>
    <w:rsid w:val="007F4C85"/>
  </w:style>
  <w:style w:type="paragraph" w:styleId="Nagwek">
    <w:name w:val="header"/>
    <w:basedOn w:val="Normalny"/>
    <w:link w:val="NagwekZnak"/>
    <w:uiPriority w:val="99"/>
    <w:unhideWhenUsed/>
    <w:rsid w:val="00007A34"/>
    <w:pPr>
      <w:tabs>
        <w:tab w:val="center" w:pos="4535"/>
        <w:tab w:val="right" w:pos="9071"/>
      </w:tabs>
      <w:spacing w:before="0"/>
    </w:pPr>
  </w:style>
  <w:style w:type="character" w:customStyle="1" w:styleId="NagwekZnak">
    <w:name w:val="Nagłówek Znak"/>
    <w:basedOn w:val="Domylnaczcionkaakapitu"/>
    <w:link w:val="Nagwek"/>
    <w:uiPriority w:val="99"/>
    <w:rsid w:val="00007A34"/>
    <w:rPr>
      <w:rFonts w:ascii="Times New Roman" w:hAnsi="Times New Roman" w:cs="Times New Roman"/>
      <w:sz w:val="24"/>
      <w:lang w:val="pl-PL"/>
    </w:rPr>
  </w:style>
  <w:style w:type="paragraph" w:styleId="Stopka">
    <w:name w:val="footer"/>
    <w:basedOn w:val="Normalny"/>
    <w:link w:val="StopkaZnak"/>
    <w:uiPriority w:val="99"/>
    <w:unhideWhenUsed/>
    <w:rsid w:val="00007A34"/>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sid w:val="00007A34"/>
    <w:rPr>
      <w:rFonts w:ascii="Times New Roman" w:hAnsi="Times New Roman" w:cs="Times New Roman"/>
      <w:sz w:val="24"/>
      <w:lang w:val="pl-PL"/>
    </w:rPr>
  </w:style>
  <w:style w:type="paragraph" w:styleId="Tekstprzypisudolnego">
    <w:name w:val="footnote text"/>
    <w:basedOn w:val="Normalny"/>
    <w:link w:val="TekstprzypisudolnegoZnak"/>
    <w:uiPriority w:val="99"/>
    <w:semiHidden/>
    <w:unhideWhenUsed/>
    <w:rsid w:val="009B7138"/>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sid w:val="009B7138"/>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sid w:val="009B7138"/>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sid w:val="009B7138"/>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sid w:val="009B7138"/>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sid w:val="009B7138"/>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rsid w:val="009B7138"/>
    <w:pPr>
      <w:spacing w:after="240"/>
      <w:jc w:val="center"/>
    </w:pPr>
    <w:rPr>
      <w:b/>
      <w:sz w:val="28"/>
    </w:rPr>
  </w:style>
  <w:style w:type="paragraph" w:styleId="Spistreci1">
    <w:name w:val="toc 1"/>
    <w:basedOn w:val="Normalny"/>
    <w:next w:val="Normalny"/>
    <w:uiPriority w:val="39"/>
    <w:semiHidden/>
    <w:unhideWhenUsed/>
    <w:rsid w:val="009B7138"/>
    <w:pPr>
      <w:tabs>
        <w:tab w:val="right" w:leader="dot" w:pos="9071"/>
      </w:tabs>
      <w:spacing w:before="60"/>
      <w:ind w:left="850" w:hanging="850"/>
      <w:jc w:val="left"/>
    </w:pPr>
  </w:style>
  <w:style w:type="paragraph" w:styleId="Spistreci2">
    <w:name w:val="toc 2"/>
    <w:basedOn w:val="Normalny"/>
    <w:next w:val="Normalny"/>
    <w:uiPriority w:val="39"/>
    <w:semiHidden/>
    <w:unhideWhenUsed/>
    <w:rsid w:val="009B7138"/>
    <w:pPr>
      <w:tabs>
        <w:tab w:val="right" w:leader="dot" w:pos="9071"/>
      </w:tabs>
      <w:spacing w:before="60"/>
      <w:ind w:left="850" w:hanging="850"/>
      <w:jc w:val="left"/>
    </w:pPr>
  </w:style>
  <w:style w:type="paragraph" w:styleId="Spistreci3">
    <w:name w:val="toc 3"/>
    <w:basedOn w:val="Normalny"/>
    <w:next w:val="Normalny"/>
    <w:uiPriority w:val="39"/>
    <w:semiHidden/>
    <w:unhideWhenUsed/>
    <w:rsid w:val="009B7138"/>
    <w:pPr>
      <w:tabs>
        <w:tab w:val="right" w:leader="dot" w:pos="9071"/>
      </w:tabs>
      <w:spacing w:before="60"/>
      <w:ind w:left="850" w:hanging="850"/>
      <w:jc w:val="left"/>
    </w:pPr>
  </w:style>
  <w:style w:type="paragraph" w:styleId="Spistreci4">
    <w:name w:val="toc 4"/>
    <w:basedOn w:val="Normalny"/>
    <w:next w:val="Normalny"/>
    <w:uiPriority w:val="39"/>
    <w:semiHidden/>
    <w:unhideWhenUsed/>
    <w:rsid w:val="009B7138"/>
    <w:pPr>
      <w:tabs>
        <w:tab w:val="right" w:leader="dot" w:pos="9071"/>
      </w:tabs>
      <w:spacing w:before="60"/>
      <w:ind w:left="850" w:hanging="850"/>
      <w:jc w:val="left"/>
    </w:pPr>
  </w:style>
  <w:style w:type="paragraph" w:styleId="Spistreci5">
    <w:name w:val="toc 5"/>
    <w:basedOn w:val="Normalny"/>
    <w:next w:val="Normalny"/>
    <w:uiPriority w:val="39"/>
    <w:semiHidden/>
    <w:unhideWhenUsed/>
    <w:rsid w:val="009B7138"/>
    <w:pPr>
      <w:tabs>
        <w:tab w:val="right" w:leader="dot" w:pos="9071"/>
      </w:tabs>
      <w:spacing w:before="300"/>
      <w:jc w:val="left"/>
    </w:pPr>
  </w:style>
  <w:style w:type="paragraph" w:styleId="Spistreci6">
    <w:name w:val="toc 6"/>
    <w:basedOn w:val="Normalny"/>
    <w:next w:val="Normalny"/>
    <w:uiPriority w:val="39"/>
    <w:semiHidden/>
    <w:unhideWhenUsed/>
    <w:rsid w:val="009B7138"/>
    <w:pPr>
      <w:tabs>
        <w:tab w:val="right" w:leader="dot" w:pos="9071"/>
      </w:tabs>
      <w:spacing w:before="240"/>
      <w:jc w:val="left"/>
    </w:pPr>
  </w:style>
  <w:style w:type="paragraph" w:styleId="Spistreci7">
    <w:name w:val="toc 7"/>
    <w:basedOn w:val="Normalny"/>
    <w:next w:val="Normalny"/>
    <w:uiPriority w:val="39"/>
    <w:semiHidden/>
    <w:unhideWhenUsed/>
    <w:rsid w:val="009B7138"/>
    <w:pPr>
      <w:tabs>
        <w:tab w:val="right" w:leader="dot" w:pos="9071"/>
      </w:tabs>
      <w:spacing w:before="180"/>
      <w:jc w:val="left"/>
    </w:pPr>
  </w:style>
  <w:style w:type="paragraph" w:styleId="Spistreci8">
    <w:name w:val="toc 8"/>
    <w:basedOn w:val="Normalny"/>
    <w:next w:val="Normalny"/>
    <w:uiPriority w:val="39"/>
    <w:semiHidden/>
    <w:unhideWhenUsed/>
    <w:rsid w:val="009B7138"/>
    <w:pPr>
      <w:tabs>
        <w:tab w:val="right" w:leader="dot" w:pos="9071"/>
      </w:tabs>
      <w:jc w:val="left"/>
    </w:pPr>
  </w:style>
  <w:style w:type="paragraph" w:styleId="Spistreci9">
    <w:name w:val="toc 9"/>
    <w:basedOn w:val="Normalny"/>
    <w:next w:val="Normalny"/>
    <w:uiPriority w:val="39"/>
    <w:semiHidden/>
    <w:unhideWhenUsed/>
    <w:rsid w:val="009B7138"/>
    <w:pPr>
      <w:tabs>
        <w:tab w:val="right" w:leader="dot" w:pos="9071"/>
      </w:tabs>
    </w:pPr>
  </w:style>
  <w:style w:type="paragraph" w:customStyle="1" w:styleId="HeaderLandscape">
    <w:name w:val="HeaderLandscape"/>
    <w:basedOn w:val="Normalny"/>
    <w:rsid w:val="00007A34"/>
    <w:pPr>
      <w:tabs>
        <w:tab w:val="center" w:pos="7285"/>
        <w:tab w:val="right" w:pos="14003"/>
      </w:tabs>
      <w:spacing w:before="0"/>
    </w:pPr>
  </w:style>
  <w:style w:type="paragraph" w:customStyle="1" w:styleId="FooterLandscape">
    <w:name w:val="FooterLandscape"/>
    <w:basedOn w:val="Normalny"/>
    <w:rsid w:val="00007A34"/>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sid w:val="009B7138"/>
    <w:rPr>
      <w:shd w:val="clear" w:color="auto" w:fill="auto"/>
      <w:vertAlign w:val="superscript"/>
    </w:rPr>
  </w:style>
  <w:style w:type="paragraph" w:customStyle="1" w:styleId="HeaderSensitivity">
    <w:name w:val="Header Sensitivity"/>
    <w:basedOn w:val="Normalny"/>
    <w:rsid w:val="00007A3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ny"/>
    <w:rsid w:val="00007A34"/>
    <w:pPr>
      <w:spacing w:before="0"/>
      <w:jc w:val="right"/>
    </w:pPr>
    <w:rPr>
      <w:sz w:val="28"/>
    </w:rPr>
  </w:style>
  <w:style w:type="paragraph" w:customStyle="1" w:styleId="FooterSensitivity">
    <w:name w:val="Footer Sensitivity"/>
    <w:basedOn w:val="Normalny"/>
    <w:rsid w:val="00007A3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ny"/>
    <w:rsid w:val="009B7138"/>
    <w:pPr>
      <w:ind w:left="850"/>
    </w:pPr>
  </w:style>
  <w:style w:type="paragraph" w:customStyle="1" w:styleId="Text2">
    <w:name w:val="Text 2"/>
    <w:basedOn w:val="Normalny"/>
    <w:rsid w:val="009B7138"/>
    <w:pPr>
      <w:ind w:left="1417"/>
    </w:pPr>
  </w:style>
  <w:style w:type="paragraph" w:customStyle="1" w:styleId="Text3">
    <w:name w:val="Text 3"/>
    <w:basedOn w:val="Normalny"/>
    <w:rsid w:val="009B7138"/>
    <w:pPr>
      <w:ind w:left="1984"/>
    </w:pPr>
  </w:style>
  <w:style w:type="paragraph" w:customStyle="1" w:styleId="Text4">
    <w:name w:val="Text 4"/>
    <w:basedOn w:val="Normalny"/>
    <w:rsid w:val="009B7138"/>
    <w:pPr>
      <w:ind w:left="2551"/>
    </w:pPr>
  </w:style>
  <w:style w:type="paragraph" w:customStyle="1" w:styleId="NormalCentered">
    <w:name w:val="Normal Centered"/>
    <w:basedOn w:val="Normalny"/>
    <w:rsid w:val="009B7138"/>
    <w:pPr>
      <w:jc w:val="center"/>
    </w:pPr>
  </w:style>
  <w:style w:type="paragraph" w:customStyle="1" w:styleId="NormalLeft">
    <w:name w:val="Normal Left"/>
    <w:basedOn w:val="Normalny"/>
    <w:rsid w:val="009B7138"/>
    <w:pPr>
      <w:jc w:val="left"/>
    </w:pPr>
  </w:style>
  <w:style w:type="paragraph" w:customStyle="1" w:styleId="NormalRight">
    <w:name w:val="Normal Right"/>
    <w:basedOn w:val="Normalny"/>
    <w:rsid w:val="009B7138"/>
    <w:pPr>
      <w:jc w:val="right"/>
    </w:pPr>
  </w:style>
  <w:style w:type="paragraph" w:customStyle="1" w:styleId="QuotedText">
    <w:name w:val="Quoted Text"/>
    <w:basedOn w:val="Normalny"/>
    <w:rsid w:val="009B7138"/>
    <w:pPr>
      <w:ind w:left="1417"/>
    </w:pPr>
  </w:style>
  <w:style w:type="paragraph" w:customStyle="1" w:styleId="Point0">
    <w:name w:val="Point 0"/>
    <w:basedOn w:val="Normalny"/>
    <w:rsid w:val="009B7138"/>
    <w:pPr>
      <w:ind w:left="850" w:hanging="850"/>
    </w:pPr>
  </w:style>
  <w:style w:type="paragraph" w:customStyle="1" w:styleId="Point1">
    <w:name w:val="Point 1"/>
    <w:basedOn w:val="Normalny"/>
    <w:rsid w:val="009B7138"/>
    <w:pPr>
      <w:ind w:left="1417" w:hanging="567"/>
    </w:pPr>
  </w:style>
  <w:style w:type="paragraph" w:customStyle="1" w:styleId="Point2">
    <w:name w:val="Point 2"/>
    <w:basedOn w:val="Normalny"/>
    <w:rsid w:val="009B7138"/>
    <w:pPr>
      <w:ind w:left="1984" w:hanging="567"/>
    </w:pPr>
  </w:style>
  <w:style w:type="paragraph" w:customStyle="1" w:styleId="Point3">
    <w:name w:val="Point 3"/>
    <w:basedOn w:val="Normalny"/>
    <w:rsid w:val="009B7138"/>
    <w:pPr>
      <w:ind w:left="2551" w:hanging="567"/>
    </w:pPr>
  </w:style>
  <w:style w:type="paragraph" w:customStyle="1" w:styleId="Point4">
    <w:name w:val="Point 4"/>
    <w:basedOn w:val="Normalny"/>
    <w:rsid w:val="009B7138"/>
    <w:pPr>
      <w:ind w:left="3118" w:hanging="567"/>
    </w:pPr>
  </w:style>
  <w:style w:type="paragraph" w:customStyle="1" w:styleId="Tiret0">
    <w:name w:val="Tiret 0"/>
    <w:basedOn w:val="Point0"/>
    <w:rsid w:val="009B7138"/>
    <w:pPr>
      <w:numPr>
        <w:numId w:val="50"/>
      </w:numPr>
    </w:pPr>
  </w:style>
  <w:style w:type="paragraph" w:customStyle="1" w:styleId="Tiret1">
    <w:name w:val="Tiret 1"/>
    <w:basedOn w:val="Point1"/>
    <w:rsid w:val="009B7138"/>
    <w:pPr>
      <w:numPr>
        <w:numId w:val="51"/>
      </w:numPr>
    </w:pPr>
  </w:style>
  <w:style w:type="paragraph" w:customStyle="1" w:styleId="Tiret2">
    <w:name w:val="Tiret 2"/>
    <w:basedOn w:val="Point2"/>
    <w:rsid w:val="009B7138"/>
    <w:pPr>
      <w:numPr>
        <w:numId w:val="52"/>
      </w:numPr>
    </w:pPr>
  </w:style>
  <w:style w:type="paragraph" w:customStyle="1" w:styleId="Tiret3">
    <w:name w:val="Tiret 3"/>
    <w:basedOn w:val="Point3"/>
    <w:rsid w:val="009B7138"/>
    <w:pPr>
      <w:numPr>
        <w:numId w:val="53"/>
      </w:numPr>
    </w:pPr>
  </w:style>
  <w:style w:type="paragraph" w:customStyle="1" w:styleId="Tiret4">
    <w:name w:val="Tiret 4"/>
    <w:basedOn w:val="Point4"/>
    <w:rsid w:val="009B7138"/>
    <w:pPr>
      <w:numPr>
        <w:numId w:val="54"/>
      </w:numPr>
    </w:pPr>
  </w:style>
  <w:style w:type="paragraph" w:customStyle="1" w:styleId="PointDouble0">
    <w:name w:val="PointDouble 0"/>
    <w:basedOn w:val="Normalny"/>
    <w:rsid w:val="009B7138"/>
    <w:pPr>
      <w:tabs>
        <w:tab w:val="left" w:pos="850"/>
      </w:tabs>
      <w:ind w:left="1417" w:hanging="1417"/>
    </w:pPr>
  </w:style>
  <w:style w:type="paragraph" w:customStyle="1" w:styleId="PointDouble1">
    <w:name w:val="PointDouble 1"/>
    <w:basedOn w:val="Normalny"/>
    <w:rsid w:val="009B7138"/>
    <w:pPr>
      <w:tabs>
        <w:tab w:val="left" w:pos="1417"/>
      </w:tabs>
      <w:ind w:left="1984" w:hanging="1134"/>
    </w:pPr>
  </w:style>
  <w:style w:type="paragraph" w:customStyle="1" w:styleId="PointDouble2">
    <w:name w:val="PointDouble 2"/>
    <w:basedOn w:val="Normalny"/>
    <w:rsid w:val="009B7138"/>
    <w:pPr>
      <w:tabs>
        <w:tab w:val="left" w:pos="1984"/>
      </w:tabs>
      <w:ind w:left="2551" w:hanging="1134"/>
    </w:pPr>
  </w:style>
  <w:style w:type="paragraph" w:customStyle="1" w:styleId="PointDouble3">
    <w:name w:val="PointDouble 3"/>
    <w:basedOn w:val="Normalny"/>
    <w:rsid w:val="009B7138"/>
    <w:pPr>
      <w:tabs>
        <w:tab w:val="left" w:pos="2551"/>
      </w:tabs>
      <w:ind w:left="3118" w:hanging="1134"/>
    </w:pPr>
  </w:style>
  <w:style w:type="paragraph" w:customStyle="1" w:styleId="PointDouble4">
    <w:name w:val="PointDouble 4"/>
    <w:basedOn w:val="Normalny"/>
    <w:rsid w:val="009B7138"/>
    <w:pPr>
      <w:tabs>
        <w:tab w:val="left" w:pos="3118"/>
      </w:tabs>
      <w:ind w:left="3685" w:hanging="1134"/>
    </w:pPr>
  </w:style>
  <w:style w:type="paragraph" w:customStyle="1" w:styleId="PointTriple0">
    <w:name w:val="PointTriple 0"/>
    <w:basedOn w:val="Normalny"/>
    <w:rsid w:val="009B7138"/>
    <w:pPr>
      <w:tabs>
        <w:tab w:val="left" w:pos="850"/>
        <w:tab w:val="left" w:pos="1417"/>
      </w:tabs>
      <w:ind w:left="1984" w:hanging="1984"/>
    </w:pPr>
  </w:style>
  <w:style w:type="paragraph" w:customStyle="1" w:styleId="PointTriple1">
    <w:name w:val="PointTriple 1"/>
    <w:basedOn w:val="Normalny"/>
    <w:rsid w:val="009B7138"/>
    <w:pPr>
      <w:tabs>
        <w:tab w:val="left" w:pos="1417"/>
        <w:tab w:val="left" w:pos="1984"/>
      </w:tabs>
      <w:ind w:left="2551" w:hanging="1701"/>
    </w:pPr>
  </w:style>
  <w:style w:type="paragraph" w:customStyle="1" w:styleId="PointTriple2">
    <w:name w:val="PointTriple 2"/>
    <w:basedOn w:val="Normalny"/>
    <w:rsid w:val="009B7138"/>
    <w:pPr>
      <w:tabs>
        <w:tab w:val="left" w:pos="1984"/>
        <w:tab w:val="left" w:pos="2551"/>
      </w:tabs>
      <w:ind w:left="3118" w:hanging="1701"/>
    </w:pPr>
  </w:style>
  <w:style w:type="paragraph" w:customStyle="1" w:styleId="PointTriple3">
    <w:name w:val="PointTriple 3"/>
    <w:basedOn w:val="Normalny"/>
    <w:rsid w:val="009B7138"/>
    <w:pPr>
      <w:tabs>
        <w:tab w:val="left" w:pos="2551"/>
        <w:tab w:val="left" w:pos="3118"/>
      </w:tabs>
      <w:ind w:left="3685" w:hanging="1701"/>
    </w:pPr>
  </w:style>
  <w:style w:type="paragraph" w:customStyle="1" w:styleId="PointTriple4">
    <w:name w:val="PointTriple 4"/>
    <w:basedOn w:val="Normalny"/>
    <w:rsid w:val="009B7138"/>
    <w:pPr>
      <w:tabs>
        <w:tab w:val="left" w:pos="3118"/>
        <w:tab w:val="left" w:pos="3685"/>
      </w:tabs>
      <w:ind w:left="4252" w:hanging="1701"/>
    </w:pPr>
  </w:style>
  <w:style w:type="paragraph" w:customStyle="1" w:styleId="NumPar1">
    <w:name w:val="NumPar 1"/>
    <w:basedOn w:val="Normalny"/>
    <w:next w:val="Text1"/>
    <w:rsid w:val="009B7138"/>
    <w:pPr>
      <w:numPr>
        <w:numId w:val="70"/>
      </w:numPr>
    </w:pPr>
  </w:style>
  <w:style w:type="paragraph" w:customStyle="1" w:styleId="NumPar2">
    <w:name w:val="NumPar 2"/>
    <w:basedOn w:val="Normalny"/>
    <w:next w:val="Text1"/>
    <w:rsid w:val="009B7138"/>
    <w:pPr>
      <w:numPr>
        <w:ilvl w:val="1"/>
        <w:numId w:val="70"/>
      </w:numPr>
    </w:pPr>
  </w:style>
  <w:style w:type="paragraph" w:customStyle="1" w:styleId="NumPar3">
    <w:name w:val="NumPar 3"/>
    <w:basedOn w:val="Normalny"/>
    <w:next w:val="Text1"/>
    <w:rsid w:val="009B7138"/>
    <w:pPr>
      <w:numPr>
        <w:ilvl w:val="2"/>
        <w:numId w:val="70"/>
      </w:numPr>
    </w:pPr>
  </w:style>
  <w:style w:type="paragraph" w:customStyle="1" w:styleId="NumPar4">
    <w:name w:val="NumPar 4"/>
    <w:basedOn w:val="Normalny"/>
    <w:next w:val="Text1"/>
    <w:rsid w:val="009B7138"/>
    <w:pPr>
      <w:numPr>
        <w:ilvl w:val="3"/>
        <w:numId w:val="70"/>
      </w:numPr>
    </w:pPr>
  </w:style>
  <w:style w:type="paragraph" w:customStyle="1" w:styleId="ManualNumPar1">
    <w:name w:val="Manual NumPar 1"/>
    <w:basedOn w:val="Normalny"/>
    <w:next w:val="Text1"/>
    <w:rsid w:val="009B7138"/>
    <w:pPr>
      <w:ind w:left="850" w:hanging="850"/>
    </w:pPr>
  </w:style>
  <w:style w:type="paragraph" w:customStyle="1" w:styleId="ManualNumPar2">
    <w:name w:val="Manual NumPar 2"/>
    <w:basedOn w:val="Normalny"/>
    <w:next w:val="Text1"/>
    <w:rsid w:val="009B7138"/>
    <w:pPr>
      <w:ind w:left="850" w:hanging="850"/>
    </w:pPr>
  </w:style>
  <w:style w:type="paragraph" w:customStyle="1" w:styleId="ManualNumPar3">
    <w:name w:val="Manual NumPar 3"/>
    <w:basedOn w:val="Normalny"/>
    <w:next w:val="Text1"/>
    <w:rsid w:val="009B7138"/>
    <w:pPr>
      <w:ind w:left="850" w:hanging="850"/>
    </w:pPr>
  </w:style>
  <w:style w:type="paragraph" w:customStyle="1" w:styleId="ManualNumPar4">
    <w:name w:val="Manual NumPar 4"/>
    <w:basedOn w:val="Normalny"/>
    <w:next w:val="Text1"/>
    <w:rsid w:val="009B7138"/>
    <w:pPr>
      <w:ind w:left="850" w:hanging="850"/>
    </w:pPr>
  </w:style>
  <w:style w:type="paragraph" w:customStyle="1" w:styleId="QuotedNumPar">
    <w:name w:val="Quoted NumPar"/>
    <w:basedOn w:val="Normalny"/>
    <w:rsid w:val="009B7138"/>
    <w:pPr>
      <w:ind w:left="1417" w:hanging="567"/>
    </w:pPr>
  </w:style>
  <w:style w:type="paragraph" w:customStyle="1" w:styleId="ManualHeading1">
    <w:name w:val="Manual Heading 1"/>
    <w:basedOn w:val="Normalny"/>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ny"/>
    <w:next w:val="Text1"/>
    <w:rsid w:val="009B7138"/>
    <w:pPr>
      <w:keepNext/>
      <w:tabs>
        <w:tab w:val="left" w:pos="850"/>
      </w:tabs>
      <w:ind w:left="850" w:hanging="850"/>
      <w:outlineLvl w:val="1"/>
    </w:pPr>
    <w:rPr>
      <w:b/>
    </w:rPr>
  </w:style>
  <w:style w:type="paragraph" w:customStyle="1" w:styleId="ManualHeading3">
    <w:name w:val="Manual Heading 3"/>
    <w:basedOn w:val="Normalny"/>
    <w:next w:val="Text1"/>
    <w:rsid w:val="009B7138"/>
    <w:pPr>
      <w:keepNext/>
      <w:tabs>
        <w:tab w:val="left" w:pos="850"/>
      </w:tabs>
      <w:ind w:left="850" w:hanging="850"/>
      <w:outlineLvl w:val="2"/>
    </w:pPr>
    <w:rPr>
      <w:i/>
    </w:rPr>
  </w:style>
  <w:style w:type="paragraph" w:customStyle="1" w:styleId="ManualHeading4">
    <w:name w:val="Manual Heading 4"/>
    <w:basedOn w:val="Normalny"/>
    <w:next w:val="Text1"/>
    <w:rsid w:val="009B7138"/>
    <w:pPr>
      <w:keepNext/>
      <w:tabs>
        <w:tab w:val="left" w:pos="850"/>
      </w:tabs>
      <w:ind w:left="850" w:hanging="850"/>
      <w:outlineLvl w:val="3"/>
    </w:pPr>
  </w:style>
  <w:style w:type="paragraph" w:customStyle="1" w:styleId="ChapterTitle">
    <w:name w:val="ChapterTitle"/>
    <w:basedOn w:val="Normalny"/>
    <w:next w:val="Normalny"/>
    <w:rsid w:val="009B7138"/>
    <w:pPr>
      <w:keepNext/>
      <w:spacing w:after="360"/>
      <w:jc w:val="center"/>
    </w:pPr>
    <w:rPr>
      <w:b/>
      <w:sz w:val="32"/>
    </w:rPr>
  </w:style>
  <w:style w:type="paragraph" w:customStyle="1" w:styleId="PartTitle">
    <w:name w:val="PartTitle"/>
    <w:basedOn w:val="Normalny"/>
    <w:next w:val="ChapterTitle"/>
    <w:rsid w:val="009B7138"/>
    <w:pPr>
      <w:keepNext/>
      <w:pageBreakBefore/>
      <w:spacing w:after="360"/>
      <w:jc w:val="center"/>
    </w:pPr>
    <w:rPr>
      <w:b/>
      <w:sz w:val="36"/>
    </w:rPr>
  </w:style>
  <w:style w:type="paragraph" w:customStyle="1" w:styleId="SectionTitle">
    <w:name w:val="SectionTitle"/>
    <w:basedOn w:val="Normalny"/>
    <w:next w:val="Nagwek1"/>
    <w:rsid w:val="009B7138"/>
    <w:pPr>
      <w:keepNext/>
      <w:spacing w:after="360"/>
      <w:jc w:val="center"/>
    </w:pPr>
    <w:rPr>
      <w:b/>
      <w:smallCaps/>
      <w:sz w:val="28"/>
    </w:rPr>
  </w:style>
  <w:style w:type="paragraph" w:customStyle="1" w:styleId="TableTitle">
    <w:name w:val="Table Title"/>
    <w:basedOn w:val="Normalny"/>
    <w:next w:val="Normalny"/>
    <w:rsid w:val="009B7138"/>
    <w:pPr>
      <w:jc w:val="center"/>
    </w:pPr>
    <w:rPr>
      <w:b/>
    </w:rPr>
  </w:style>
  <w:style w:type="character" w:customStyle="1" w:styleId="Marker">
    <w:name w:val="Marker"/>
    <w:basedOn w:val="Domylnaczcionkaakapitu"/>
    <w:rsid w:val="00914140"/>
    <w:rPr>
      <w:color w:val="0000FF"/>
      <w:shd w:val="clear" w:color="auto" w:fill="auto"/>
    </w:rPr>
  </w:style>
  <w:style w:type="character" w:customStyle="1" w:styleId="Marker1">
    <w:name w:val="Marker1"/>
    <w:basedOn w:val="Domylnaczcionkaakapitu"/>
    <w:rsid w:val="009B7138"/>
    <w:rPr>
      <w:color w:val="008000"/>
      <w:shd w:val="clear" w:color="auto" w:fill="auto"/>
    </w:rPr>
  </w:style>
  <w:style w:type="character" w:customStyle="1" w:styleId="Marker2">
    <w:name w:val="Marker2"/>
    <w:basedOn w:val="Domylnaczcionkaakapitu"/>
    <w:rsid w:val="009B7138"/>
    <w:rPr>
      <w:color w:val="FF0000"/>
      <w:shd w:val="clear" w:color="auto" w:fill="auto"/>
    </w:rPr>
  </w:style>
  <w:style w:type="paragraph" w:customStyle="1" w:styleId="Point0number">
    <w:name w:val="Point 0 (number)"/>
    <w:basedOn w:val="Normalny"/>
    <w:rsid w:val="009B7138"/>
    <w:pPr>
      <w:numPr>
        <w:numId w:val="57"/>
      </w:numPr>
    </w:pPr>
  </w:style>
  <w:style w:type="paragraph" w:customStyle="1" w:styleId="Point1number">
    <w:name w:val="Point 1 (number)"/>
    <w:basedOn w:val="Normalny"/>
    <w:rsid w:val="009B7138"/>
    <w:pPr>
      <w:numPr>
        <w:ilvl w:val="2"/>
        <w:numId w:val="57"/>
      </w:numPr>
    </w:pPr>
  </w:style>
  <w:style w:type="paragraph" w:customStyle="1" w:styleId="Point2number">
    <w:name w:val="Point 2 (number)"/>
    <w:basedOn w:val="Normalny"/>
    <w:rsid w:val="009B7138"/>
    <w:pPr>
      <w:numPr>
        <w:ilvl w:val="4"/>
        <w:numId w:val="57"/>
      </w:numPr>
    </w:pPr>
  </w:style>
  <w:style w:type="paragraph" w:customStyle="1" w:styleId="Point3number">
    <w:name w:val="Point 3 (number)"/>
    <w:basedOn w:val="Normalny"/>
    <w:rsid w:val="009B7138"/>
    <w:pPr>
      <w:numPr>
        <w:ilvl w:val="6"/>
        <w:numId w:val="57"/>
      </w:numPr>
    </w:pPr>
  </w:style>
  <w:style w:type="paragraph" w:customStyle="1" w:styleId="Point0letter">
    <w:name w:val="Point 0 (letter)"/>
    <w:basedOn w:val="Normalny"/>
    <w:rsid w:val="009B7138"/>
    <w:pPr>
      <w:numPr>
        <w:ilvl w:val="1"/>
        <w:numId w:val="57"/>
      </w:numPr>
    </w:pPr>
  </w:style>
  <w:style w:type="paragraph" w:customStyle="1" w:styleId="Point1letter">
    <w:name w:val="Point 1 (letter)"/>
    <w:basedOn w:val="Normalny"/>
    <w:rsid w:val="009B7138"/>
    <w:pPr>
      <w:numPr>
        <w:ilvl w:val="3"/>
        <w:numId w:val="57"/>
      </w:numPr>
    </w:pPr>
  </w:style>
  <w:style w:type="paragraph" w:customStyle="1" w:styleId="Point2letter">
    <w:name w:val="Point 2 (letter)"/>
    <w:basedOn w:val="Normalny"/>
    <w:rsid w:val="009B7138"/>
    <w:pPr>
      <w:numPr>
        <w:ilvl w:val="5"/>
        <w:numId w:val="57"/>
      </w:numPr>
    </w:pPr>
  </w:style>
  <w:style w:type="paragraph" w:customStyle="1" w:styleId="Point3letter">
    <w:name w:val="Point 3 (letter)"/>
    <w:basedOn w:val="Normalny"/>
    <w:rsid w:val="009B7138"/>
    <w:pPr>
      <w:numPr>
        <w:ilvl w:val="7"/>
        <w:numId w:val="57"/>
      </w:numPr>
    </w:pPr>
  </w:style>
  <w:style w:type="paragraph" w:customStyle="1" w:styleId="Point4letter">
    <w:name w:val="Point 4 (letter)"/>
    <w:basedOn w:val="Normalny"/>
    <w:rsid w:val="009B7138"/>
    <w:pPr>
      <w:numPr>
        <w:ilvl w:val="8"/>
        <w:numId w:val="57"/>
      </w:numPr>
    </w:pPr>
  </w:style>
  <w:style w:type="paragraph" w:customStyle="1" w:styleId="Bullet0">
    <w:name w:val="Bullet 0"/>
    <w:basedOn w:val="Normalny"/>
    <w:rsid w:val="009B7138"/>
    <w:pPr>
      <w:numPr>
        <w:numId w:val="58"/>
      </w:numPr>
    </w:pPr>
  </w:style>
  <w:style w:type="paragraph" w:customStyle="1" w:styleId="Bullet1">
    <w:name w:val="Bullet 1"/>
    <w:basedOn w:val="Normalny"/>
    <w:rsid w:val="009B7138"/>
    <w:pPr>
      <w:numPr>
        <w:numId w:val="59"/>
      </w:numPr>
    </w:pPr>
  </w:style>
  <w:style w:type="paragraph" w:customStyle="1" w:styleId="Bullet2">
    <w:name w:val="Bullet 2"/>
    <w:basedOn w:val="Normalny"/>
    <w:rsid w:val="009B7138"/>
    <w:pPr>
      <w:numPr>
        <w:numId w:val="60"/>
      </w:numPr>
    </w:pPr>
  </w:style>
  <w:style w:type="paragraph" w:customStyle="1" w:styleId="Bullet3">
    <w:name w:val="Bullet 3"/>
    <w:basedOn w:val="Normalny"/>
    <w:rsid w:val="009B7138"/>
    <w:pPr>
      <w:numPr>
        <w:numId w:val="61"/>
      </w:numPr>
    </w:pPr>
  </w:style>
  <w:style w:type="paragraph" w:customStyle="1" w:styleId="Bullet4">
    <w:name w:val="Bullet 4"/>
    <w:basedOn w:val="Normalny"/>
    <w:rsid w:val="009B7138"/>
    <w:pPr>
      <w:numPr>
        <w:numId w:val="62"/>
      </w:numPr>
    </w:pPr>
  </w:style>
  <w:style w:type="paragraph" w:customStyle="1" w:styleId="Langue">
    <w:name w:val="Langue"/>
    <w:basedOn w:val="Normalny"/>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ny"/>
    <w:next w:val="Emission"/>
    <w:rsid w:val="009B7138"/>
    <w:pPr>
      <w:spacing w:before="0" w:after="0"/>
      <w:jc w:val="left"/>
    </w:pPr>
    <w:rPr>
      <w:rFonts w:ascii="Arial" w:hAnsi="Arial" w:cs="Arial"/>
    </w:rPr>
  </w:style>
  <w:style w:type="paragraph" w:customStyle="1" w:styleId="Emission">
    <w:name w:val="Emission"/>
    <w:basedOn w:val="Normalny"/>
    <w:next w:val="Rfrenceinstitutionnelle"/>
    <w:rsid w:val="009B7138"/>
    <w:pPr>
      <w:spacing w:before="0" w:after="0"/>
      <w:ind w:left="5103"/>
      <w:jc w:val="left"/>
    </w:pPr>
  </w:style>
  <w:style w:type="paragraph" w:customStyle="1" w:styleId="Rfrenceinstitutionnelle">
    <w:name w:val="Référence institutionnelle"/>
    <w:basedOn w:val="Normalny"/>
    <w:next w:val="Confidentialit"/>
    <w:rsid w:val="009B7138"/>
    <w:pPr>
      <w:spacing w:before="0" w:after="240"/>
      <w:ind w:left="5103"/>
      <w:jc w:val="left"/>
    </w:pPr>
  </w:style>
  <w:style w:type="paragraph" w:customStyle="1" w:styleId="Pagedecouverture">
    <w:name w:val="Page de couverture"/>
    <w:basedOn w:val="Normalny"/>
    <w:next w:val="Normalny"/>
    <w:rsid w:val="009B7138"/>
    <w:pPr>
      <w:spacing w:before="0" w:after="0"/>
    </w:pPr>
  </w:style>
  <w:style w:type="paragraph" w:customStyle="1" w:styleId="Declassification">
    <w:name w:val="Declassification"/>
    <w:basedOn w:val="Normalny"/>
    <w:next w:val="Normalny"/>
    <w:rsid w:val="009B7138"/>
    <w:pPr>
      <w:spacing w:before="0" w:after="0"/>
    </w:pPr>
  </w:style>
  <w:style w:type="paragraph" w:customStyle="1" w:styleId="Disclaimer">
    <w:name w:val="Disclaimer"/>
    <w:basedOn w:val="Normalny"/>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ny"/>
    <w:rsid w:val="009B7138"/>
    <w:pPr>
      <w:spacing w:before="0" w:after="0" w:line="276" w:lineRule="auto"/>
      <w:ind w:left="5103"/>
      <w:jc w:val="left"/>
    </w:pPr>
    <w:rPr>
      <w:sz w:val="28"/>
    </w:rPr>
  </w:style>
  <w:style w:type="paragraph" w:customStyle="1" w:styleId="DateMarking">
    <w:name w:val="DateMarking"/>
    <w:basedOn w:val="Normalny"/>
    <w:rsid w:val="009B7138"/>
    <w:pPr>
      <w:spacing w:before="0" w:after="0" w:line="276" w:lineRule="auto"/>
      <w:ind w:left="5103"/>
      <w:jc w:val="left"/>
    </w:pPr>
    <w:rPr>
      <w:i/>
      <w:sz w:val="28"/>
    </w:rPr>
  </w:style>
  <w:style w:type="paragraph" w:customStyle="1" w:styleId="ReleasableTo">
    <w:name w:val="ReleasableTo"/>
    <w:basedOn w:val="Normalny"/>
    <w:rsid w:val="009B7138"/>
    <w:pPr>
      <w:spacing w:before="0" w:after="0" w:line="276" w:lineRule="auto"/>
      <w:ind w:left="5103"/>
      <w:jc w:val="left"/>
    </w:pPr>
    <w:rPr>
      <w:i/>
      <w:sz w:val="28"/>
    </w:rPr>
  </w:style>
  <w:style w:type="paragraph" w:customStyle="1" w:styleId="Annexetitreexpos">
    <w:name w:val="Annexe titre (exposé)"/>
    <w:basedOn w:val="Normalny"/>
    <w:next w:val="Normalny"/>
    <w:rsid w:val="009B7138"/>
    <w:pPr>
      <w:jc w:val="center"/>
    </w:pPr>
    <w:rPr>
      <w:b/>
      <w:u w:val="single"/>
    </w:rPr>
  </w:style>
  <w:style w:type="paragraph" w:customStyle="1" w:styleId="Annexetitre">
    <w:name w:val="Annexe titre"/>
    <w:basedOn w:val="Normalny"/>
    <w:next w:val="Normalny"/>
    <w:rsid w:val="009B7138"/>
    <w:pPr>
      <w:jc w:val="center"/>
    </w:pPr>
    <w:rPr>
      <w:b/>
      <w:u w:val="single"/>
    </w:rPr>
  </w:style>
  <w:style w:type="paragraph" w:customStyle="1" w:styleId="Annexetitrefichefinancire">
    <w:name w:val="Annexe titre (fiche financière)"/>
    <w:basedOn w:val="Normalny"/>
    <w:next w:val="Normalny"/>
    <w:rsid w:val="009B7138"/>
    <w:pPr>
      <w:jc w:val="center"/>
    </w:pPr>
    <w:rPr>
      <w:b/>
      <w:u w:val="single"/>
    </w:rPr>
  </w:style>
  <w:style w:type="paragraph" w:customStyle="1" w:styleId="Applicationdirecte">
    <w:name w:val="Application directe"/>
    <w:basedOn w:val="Normalny"/>
    <w:next w:val="Fait"/>
    <w:rsid w:val="009B7138"/>
    <w:pPr>
      <w:spacing w:before="480"/>
    </w:pPr>
  </w:style>
  <w:style w:type="paragraph" w:customStyle="1" w:styleId="Avertissementtitre">
    <w:name w:val="Avertissement titre"/>
    <w:basedOn w:val="Normalny"/>
    <w:next w:val="Normalny"/>
    <w:rsid w:val="009B7138"/>
    <w:pPr>
      <w:keepNext/>
      <w:spacing w:before="480"/>
    </w:pPr>
    <w:rPr>
      <w:u w:val="single"/>
    </w:rPr>
  </w:style>
  <w:style w:type="paragraph" w:customStyle="1" w:styleId="Confidence">
    <w:name w:val="Confidence"/>
    <w:basedOn w:val="Normalny"/>
    <w:next w:val="Normalny"/>
    <w:rsid w:val="009B7138"/>
    <w:pPr>
      <w:spacing w:before="360"/>
      <w:jc w:val="center"/>
    </w:pPr>
  </w:style>
  <w:style w:type="paragraph" w:customStyle="1" w:styleId="Confidentialit">
    <w:name w:val="Confidentialité"/>
    <w:basedOn w:val="Normalny"/>
    <w:next w:val="TypedudocumentPagedecouverture"/>
    <w:rsid w:val="009B7138"/>
    <w:pPr>
      <w:spacing w:before="240" w:after="240"/>
      <w:ind w:left="5103"/>
      <w:jc w:val="left"/>
    </w:pPr>
    <w:rPr>
      <w:i/>
      <w:sz w:val="32"/>
    </w:rPr>
  </w:style>
  <w:style w:type="paragraph" w:customStyle="1" w:styleId="Considrant">
    <w:name w:val="Considérant"/>
    <w:basedOn w:val="Normalny"/>
    <w:rsid w:val="009B7138"/>
    <w:pPr>
      <w:numPr>
        <w:numId w:val="63"/>
      </w:numPr>
    </w:pPr>
  </w:style>
  <w:style w:type="paragraph" w:customStyle="1" w:styleId="Corrigendum">
    <w:name w:val="Corrigendum"/>
    <w:basedOn w:val="Normalny"/>
    <w:next w:val="Normalny"/>
    <w:rsid w:val="009B7138"/>
    <w:pPr>
      <w:spacing w:before="0" w:after="240"/>
      <w:jc w:val="left"/>
    </w:pPr>
  </w:style>
  <w:style w:type="paragraph" w:customStyle="1" w:styleId="Datedadoption">
    <w:name w:val="Date d'adoption"/>
    <w:basedOn w:val="Normalny"/>
    <w:next w:val="Titreobjet"/>
    <w:rsid w:val="009B7138"/>
    <w:pPr>
      <w:spacing w:before="360" w:after="0"/>
      <w:jc w:val="center"/>
    </w:pPr>
    <w:rPr>
      <w:b/>
    </w:rPr>
  </w:style>
  <w:style w:type="paragraph" w:customStyle="1" w:styleId="Exposdesmotifstitre">
    <w:name w:val="Exposé des motifs titre"/>
    <w:basedOn w:val="Normalny"/>
    <w:next w:val="Normalny"/>
    <w:rsid w:val="009B7138"/>
    <w:pPr>
      <w:jc w:val="center"/>
    </w:pPr>
    <w:rPr>
      <w:b/>
      <w:u w:val="single"/>
    </w:rPr>
  </w:style>
  <w:style w:type="paragraph" w:customStyle="1" w:styleId="Fait">
    <w:name w:val="Fait à"/>
    <w:basedOn w:val="Normalny"/>
    <w:next w:val="Institutionquisigne"/>
    <w:rsid w:val="009B7138"/>
    <w:pPr>
      <w:keepNext/>
      <w:spacing w:after="0"/>
    </w:pPr>
  </w:style>
  <w:style w:type="paragraph" w:customStyle="1" w:styleId="Formuledadoption">
    <w:name w:val="Formule d'adoption"/>
    <w:basedOn w:val="Normalny"/>
    <w:next w:val="Titrearticle"/>
    <w:rsid w:val="009B7138"/>
    <w:pPr>
      <w:keepNext/>
    </w:pPr>
  </w:style>
  <w:style w:type="paragraph" w:customStyle="1" w:styleId="Institutionquiagit">
    <w:name w:val="Institution qui agit"/>
    <w:basedOn w:val="Normalny"/>
    <w:next w:val="Normalny"/>
    <w:rsid w:val="009B7138"/>
    <w:pPr>
      <w:keepNext/>
      <w:spacing w:before="600"/>
    </w:pPr>
  </w:style>
  <w:style w:type="paragraph" w:customStyle="1" w:styleId="Institutionquisigne">
    <w:name w:val="Institution qui signe"/>
    <w:basedOn w:val="Normalny"/>
    <w:next w:val="Personnequisigne"/>
    <w:rsid w:val="009B7138"/>
    <w:pPr>
      <w:keepNext/>
      <w:tabs>
        <w:tab w:val="left" w:pos="4252"/>
      </w:tabs>
      <w:spacing w:before="720" w:after="0"/>
    </w:pPr>
    <w:rPr>
      <w:i/>
    </w:rPr>
  </w:style>
  <w:style w:type="paragraph" w:customStyle="1" w:styleId="ManualConsidrant">
    <w:name w:val="Manual Considérant"/>
    <w:basedOn w:val="Normalny"/>
    <w:rsid w:val="009B7138"/>
    <w:pPr>
      <w:ind w:left="709" w:hanging="709"/>
    </w:pPr>
  </w:style>
  <w:style w:type="paragraph" w:customStyle="1" w:styleId="Personnequisigne">
    <w:name w:val="Personne qui signe"/>
    <w:basedOn w:val="Normalny"/>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ny"/>
    <w:next w:val="Statut"/>
    <w:rsid w:val="009B7138"/>
    <w:pPr>
      <w:spacing w:before="0" w:after="0"/>
      <w:ind w:left="5103"/>
      <w:jc w:val="left"/>
    </w:pPr>
  </w:style>
  <w:style w:type="paragraph" w:customStyle="1" w:styleId="Rfrenceinterne">
    <w:name w:val="Référence interne"/>
    <w:basedOn w:val="Normalny"/>
    <w:next w:val="Rfrenceinterinstitutionnelle"/>
    <w:rsid w:val="009B7138"/>
    <w:pPr>
      <w:spacing w:before="0" w:after="0"/>
      <w:ind w:left="5103"/>
      <w:jc w:val="left"/>
    </w:pPr>
  </w:style>
  <w:style w:type="paragraph" w:customStyle="1" w:styleId="Statut">
    <w:name w:val="Statut"/>
    <w:basedOn w:val="Normalny"/>
    <w:next w:val="Typedudocument"/>
    <w:rsid w:val="009B7138"/>
    <w:pPr>
      <w:spacing w:before="360" w:after="0"/>
      <w:jc w:val="center"/>
    </w:pPr>
  </w:style>
  <w:style w:type="paragraph" w:customStyle="1" w:styleId="Titrearticle">
    <w:name w:val="Titre article"/>
    <w:basedOn w:val="Normalny"/>
    <w:next w:val="Normalny"/>
    <w:rsid w:val="009B7138"/>
    <w:pPr>
      <w:keepNext/>
      <w:spacing w:before="360"/>
      <w:jc w:val="center"/>
    </w:pPr>
    <w:rPr>
      <w:i/>
    </w:rPr>
  </w:style>
  <w:style w:type="paragraph" w:customStyle="1" w:styleId="Titreobjet">
    <w:name w:val="Titre objet"/>
    <w:basedOn w:val="Normalny"/>
    <w:next w:val="IntrtEEE"/>
    <w:rsid w:val="009B7138"/>
    <w:pPr>
      <w:spacing w:before="360" w:after="360"/>
      <w:jc w:val="center"/>
    </w:pPr>
    <w:rPr>
      <w:b/>
    </w:rPr>
  </w:style>
  <w:style w:type="paragraph" w:customStyle="1" w:styleId="Typedudocument">
    <w:name w:val="Type du document"/>
    <w:basedOn w:val="Normalny"/>
    <w:next w:val="Titreobjet"/>
    <w:rsid w:val="009B7138"/>
    <w:pPr>
      <w:spacing w:before="360" w:after="0"/>
      <w:jc w:val="center"/>
    </w:pPr>
    <w:rPr>
      <w:b/>
    </w:rPr>
  </w:style>
  <w:style w:type="character" w:customStyle="1" w:styleId="Added">
    <w:name w:val="Added"/>
    <w:basedOn w:val="Domylnaczcionkaakapitu"/>
    <w:rsid w:val="009B7138"/>
    <w:rPr>
      <w:b/>
      <w:u w:val="single"/>
      <w:shd w:val="clear" w:color="auto" w:fill="auto"/>
    </w:rPr>
  </w:style>
  <w:style w:type="character" w:customStyle="1" w:styleId="Deleted">
    <w:name w:val="Deleted"/>
    <w:basedOn w:val="Domylnaczcionkaakapitu"/>
    <w:rsid w:val="009B7138"/>
    <w:rPr>
      <w:strike/>
      <w:dstrike w:val="0"/>
      <w:shd w:val="clear" w:color="auto" w:fill="auto"/>
    </w:rPr>
  </w:style>
  <w:style w:type="paragraph" w:customStyle="1" w:styleId="Address">
    <w:name w:val="Address"/>
    <w:basedOn w:val="Normalny"/>
    <w:next w:val="Normalny"/>
    <w:rsid w:val="009B7138"/>
    <w:pPr>
      <w:keepLines/>
      <w:spacing w:line="360" w:lineRule="auto"/>
      <w:ind w:left="3402"/>
      <w:jc w:val="left"/>
    </w:pPr>
  </w:style>
  <w:style w:type="paragraph" w:customStyle="1" w:styleId="Objetexterne">
    <w:name w:val="Objet externe"/>
    <w:basedOn w:val="Normalny"/>
    <w:next w:val="Normalny"/>
    <w:rsid w:val="009B7138"/>
    <w:rPr>
      <w:i/>
      <w:caps/>
    </w:rPr>
  </w:style>
  <w:style w:type="paragraph" w:customStyle="1" w:styleId="Supertitre">
    <w:name w:val="Supertitre"/>
    <w:basedOn w:val="Normalny"/>
    <w:next w:val="Normalny"/>
    <w:rsid w:val="009B7138"/>
    <w:pPr>
      <w:spacing w:before="0" w:after="600"/>
      <w:jc w:val="center"/>
    </w:pPr>
    <w:rPr>
      <w:b/>
    </w:rPr>
  </w:style>
  <w:style w:type="paragraph" w:customStyle="1" w:styleId="Languesfaisantfoi">
    <w:name w:val="Langues faisant foi"/>
    <w:basedOn w:val="Normalny"/>
    <w:next w:val="Normalny"/>
    <w:rsid w:val="009B7138"/>
    <w:pPr>
      <w:spacing w:before="360" w:after="0"/>
      <w:jc w:val="center"/>
    </w:pPr>
  </w:style>
  <w:style w:type="paragraph" w:customStyle="1" w:styleId="Rfrencecroise">
    <w:name w:val="Référence croisée"/>
    <w:basedOn w:val="Normalny"/>
    <w:rsid w:val="009B7138"/>
    <w:pPr>
      <w:spacing w:before="0" w:after="0"/>
      <w:jc w:val="center"/>
    </w:pPr>
  </w:style>
  <w:style w:type="paragraph" w:customStyle="1" w:styleId="Fichefinanciretitre">
    <w:name w:val="Fiche financière titre"/>
    <w:basedOn w:val="Normalny"/>
    <w:next w:val="Normalny"/>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ny"/>
    <w:next w:val="Confidentialit"/>
    <w:rsid w:val="009B7138"/>
    <w:pPr>
      <w:spacing w:before="0" w:after="240"/>
      <w:ind w:left="5103"/>
      <w:jc w:val="left"/>
    </w:pPr>
  </w:style>
  <w:style w:type="paragraph" w:customStyle="1" w:styleId="IntrtEEE">
    <w:name w:val="Intérêt EEE"/>
    <w:basedOn w:val="Languesfaisantfoi"/>
    <w:next w:val="Normalny"/>
    <w:rsid w:val="009B7138"/>
    <w:pPr>
      <w:spacing w:after="240"/>
    </w:pPr>
  </w:style>
  <w:style w:type="paragraph" w:customStyle="1" w:styleId="Accompagnant">
    <w:name w:val="Accompagnant"/>
    <w:basedOn w:val="Normalny"/>
    <w:next w:val="Typeacteprincipal"/>
    <w:rsid w:val="009B7138"/>
    <w:pPr>
      <w:spacing w:before="0" w:after="240"/>
      <w:jc w:val="center"/>
    </w:pPr>
    <w:rPr>
      <w:b/>
      <w:i/>
    </w:rPr>
  </w:style>
  <w:style w:type="paragraph" w:customStyle="1" w:styleId="Typeacteprincipal">
    <w:name w:val="Type acte principal"/>
    <w:basedOn w:val="Normalny"/>
    <w:next w:val="Objetacteprincipal"/>
    <w:rsid w:val="009B7138"/>
    <w:pPr>
      <w:spacing w:before="0" w:after="240"/>
      <w:jc w:val="center"/>
    </w:pPr>
    <w:rPr>
      <w:b/>
    </w:rPr>
  </w:style>
  <w:style w:type="paragraph" w:customStyle="1" w:styleId="Objetacteprincipal">
    <w:name w:val="Objet acte principal"/>
    <w:basedOn w:val="Normalny"/>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ny"/>
    <w:next w:val="Normalny"/>
    <w:rsid w:val="009B7138"/>
    <w:pPr>
      <w:spacing w:before="360" w:after="0"/>
      <w:jc w:val="center"/>
    </w:pPr>
  </w:style>
  <w:style w:type="character" w:customStyle="1" w:styleId="Nagwek5Znak">
    <w:name w:val="Nagłówek 5 Znak"/>
    <w:basedOn w:val="Domylnaczcionkaakapitu"/>
    <w:link w:val="Nagwek5"/>
    <w:uiPriority w:val="9"/>
    <w:semiHidden/>
    <w:rsid w:val="009600A2"/>
    <w:rPr>
      <w:rFonts w:ascii="Times New Roman" w:eastAsiaTheme="majorEastAsia" w:hAnsi="Times New Roman" w:cs="Times New Roman"/>
      <w:sz w:val="24"/>
      <w:lang w:val="pl-PL"/>
    </w:rPr>
  </w:style>
  <w:style w:type="character" w:customStyle="1" w:styleId="Nagwek6Znak">
    <w:name w:val="Nagłówek 6 Znak"/>
    <w:basedOn w:val="Domylnaczcionkaakapitu"/>
    <w:link w:val="Nagwek6"/>
    <w:uiPriority w:val="9"/>
    <w:semiHidden/>
    <w:rsid w:val="009600A2"/>
    <w:rPr>
      <w:rFonts w:ascii="Times New Roman" w:eastAsiaTheme="majorEastAsia" w:hAnsi="Times New Roman" w:cs="Times New Roman"/>
      <w:iCs/>
      <w:sz w:val="24"/>
      <w:lang w:val="pl-PL"/>
    </w:rPr>
  </w:style>
  <w:style w:type="character" w:customStyle="1" w:styleId="Nagwek7Znak">
    <w:name w:val="Nagłówek 7 Znak"/>
    <w:basedOn w:val="Domylnaczcionkaakapitu"/>
    <w:link w:val="Nagwek7"/>
    <w:uiPriority w:val="9"/>
    <w:semiHidden/>
    <w:rsid w:val="009600A2"/>
    <w:rPr>
      <w:rFonts w:ascii="Times New Roman" w:eastAsiaTheme="majorEastAsia" w:hAnsi="Times New Roman" w:cs="Times New Roman"/>
      <w:iCs/>
      <w:sz w:val="24"/>
      <w:lang w:val="pl-PL"/>
    </w:rPr>
  </w:style>
  <w:style w:type="paragraph" w:customStyle="1" w:styleId="ManualHeading5">
    <w:name w:val="Manual Heading 5"/>
    <w:basedOn w:val="Normalny"/>
    <w:next w:val="Text2"/>
    <w:rsid w:val="009600A2"/>
    <w:pPr>
      <w:keepNext/>
      <w:tabs>
        <w:tab w:val="left" w:pos="1417"/>
      </w:tabs>
      <w:ind w:left="1417" w:hanging="1417"/>
      <w:outlineLvl w:val="4"/>
    </w:pPr>
  </w:style>
  <w:style w:type="paragraph" w:customStyle="1" w:styleId="ManualHeading6">
    <w:name w:val="Manual Heading 6"/>
    <w:basedOn w:val="Normalny"/>
    <w:next w:val="Text2"/>
    <w:rsid w:val="009600A2"/>
    <w:pPr>
      <w:keepNext/>
      <w:tabs>
        <w:tab w:val="left" w:pos="1417"/>
      </w:tabs>
      <w:ind w:left="1417" w:hanging="1417"/>
      <w:outlineLvl w:val="5"/>
    </w:pPr>
  </w:style>
  <w:style w:type="paragraph" w:customStyle="1" w:styleId="ManualHeading7">
    <w:name w:val="Manual Heading 7"/>
    <w:basedOn w:val="Normalny"/>
    <w:next w:val="Text2"/>
    <w:rsid w:val="009600A2"/>
    <w:pPr>
      <w:keepNext/>
      <w:tabs>
        <w:tab w:val="left" w:pos="1417"/>
      </w:tabs>
      <w:ind w:left="1417" w:hanging="1417"/>
      <w:outlineLvl w:val="6"/>
    </w:pPr>
  </w:style>
  <w:style w:type="paragraph" w:customStyle="1" w:styleId="Text5">
    <w:name w:val="Text 5"/>
    <w:basedOn w:val="Normalny"/>
    <w:rsid w:val="009600A2"/>
    <w:pPr>
      <w:ind w:left="3118"/>
    </w:pPr>
  </w:style>
  <w:style w:type="paragraph" w:customStyle="1" w:styleId="Text6">
    <w:name w:val="Text 6"/>
    <w:basedOn w:val="Normalny"/>
    <w:rsid w:val="009600A2"/>
    <w:pPr>
      <w:ind w:left="3685"/>
    </w:pPr>
  </w:style>
  <w:style w:type="paragraph" w:customStyle="1" w:styleId="Point5">
    <w:name w:val="Point 5"/>
    <w:basedOn w:val="Normalny"/>
    <w:rsid w:val="009600A2"/>
    <w:pPr>
      <w:ind w:left="3685" w:hanging="567"/>
    </w:pPr>
  </w:style>
  <w:style w:type="paragraph" w:customStyle="1" w:styleId="Tiret5">
    <w:name w:val="Tiret 5"/>
    <w:basedOn w:val="Point5"/>
    <w:rsid w:val="009600A2"/>
    <w:pPr>
      <w:numPr>
        <w:numId w:val="67"/>
      </w:numPr>
    </w:pPr>
  </w:style>
  <w:style w:type="paragraph" w:customStyle="1" w:styleId="NumPar5">
    <w:name w:val="NumPar 5"/>
    <w:basedOn w:val="Normalny"/>
    <w:next w:val="Text2"/>
    <w:rsid w:val="009600A2"/>
    <w:pPr>
      <w:numPr>
        <w:ilvl w:val="4"/>
        <w:numId w:val="70"/>
      </w:numPr>
    </w:pPr>
  </w:style>
  <w:style w:type="paragraph" w:customStyle="1" w:styleId="NumPar6">
    <w:name w:val="NumPar 6"/>
    <w:basedOn w:val="Normalny"/>
    <w:next w:val="Text2"/>
    <w:rsid w:val="009600A2"/>
    <w:pPr>
      <w:numPr>
        <w:ilvl w:val="5"/>
        <w:numId w:val="70"/>
      </w:numPr>
    </w:pPr>
  </w:style>
  <w:style w:type="paragraph" w:customStyle="1" w:styleId="NumPar7">
    <w:name w:val="NumPar 7"/>
    <w:basedOn w:val="Normalny"/>
    <w:next w:val="Text2"/>
    <w:rsid w:val="009600A2"/>
    <w:pPr>
      <w:numPr>
        <w:ilvl w:val="6"/>
        <w:numId w:val="70"/>
      </w:numPr>
    </w:pPr>
  </w:style>
  <w:style w:type="paragraph" w:customStyle="1" w:styleId="ManualNumPar5">
    <w:name w:val="Manual NumPar 5"/>
    <w:basedOn w:val="Normalny"/>
    <w:next w:val="Text2"/>
    <w:rsid w:val="009600A2"/>
    <w:pPr>
      <w:ind w:left="1417" w:hanging="1417"/>
    </w:pPr>
  </w:style>
  <w:style w:type="paragraph" w:customStyle="1" w:styleId="ManualNumPar6">
    <w:name w:val="Manual NumPar 6"/>
    <w:basedOn w:val="Normalny"/>
    <w:next w:val="Text2"/>
    <w:rsid w:val="009600A2"/>
    <w:pPr>
      <w:ind w:left="1417" w:hanging="1417"/>
    </w:pPr>
  </w:style>
  <w:style w:type="paragraph" w:customStyle="1" w:styleId="ManualNumPar7">
    <w:name w:val="Manual NumPar 7"/>
    <w:basedOn w:val="Normalny"/>
    <w:next w:val="Text2"/>
    <w:rsid w:val="009600A2"/>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9803">
      <w:bodyDiv w:val="1"/>
      <w:marLeft w:val="0"/>
      <w:marRight w:val="0"/>
      <w:marTop w:val="0"/>
      <w:marBottom w:val="0"/>
      <w:divBdr>
        <w:top w:val="none" w:sz="0" w:space="0" w:color="auto"/>
        <w:left w:val="none" w:sz="0" w:space="0" w:color="auto"/>
        <w:bottom w:val="none" w:sz="0" w:space="0" w:color="auto"/>
        <w:right w:val="none" w:sz="0" w:space="0" w:color="auto"/>
      </w:divBdr>
      <w:divsChild>
        <w:div w:id="862131313">
          <w:marLeft w:val="0"/>
          <w:marRight w:val="0"/>
          <w:marTop w:val="0"/>
          <w:marBottom w:val="0"/>
          <w:divBdr>
            <w:top w:val="none" w:sz="0" w:space="0" w:color="auto"/>
            <w:left w:val="none" w:sz="0" w:space="0" w:color="auto"/>
            <w:bottom w:val="none" w:sz="0" w:space="0" w:color="auto"/>
            <w:right w:val="none" w:sz="0" w:space="0" w:color="auto"/>
          </w:divBdr>
        </w:div>
        <w:div w:id="1039935982">
          <w:marLeft w:val="0"/>
          <w:marRight w:val="0"/>
          <w:marTop w:val="0"/>
          <w:marBottom w:val="0"/>
          <w:divBdr>
            <w:top w:val="none" w:sz="0" w:space="0" w:color="auto"/>
            <w:left w:val="none" w:sz="0" w:space="0" w:color="auto"/>
            <w:bottom w:val="none" w:sz="0" w:space="0" w:color="auto"/>
            <w:right w:val="none" w:sz="0" w:space="0" w:color="auto"/>
          </w:divBdr>
        </w:div>
        <w:div w:id="890114445">
          <w:marLeft w:val="0"/>
          <w:marRight w:val="0"/>
          <w:marTop w:val="0"/>
          <w:marBottom w:val="0"/>
          <w:divBdr>
            <w:top w:val="none" w:sz="0" w:space="0" w:color="auto"/>
            <w:left w:val="none" w:sz="0" w:space="0" w:color="auto"/>
            <w:bottom w:val="none" w:sz="0" w:space="0" w:color="auto"/>
            <w:right w:val="none" w:sz="0" w:space="0" w:color="auto"/>
          </w:divBdr>
        </w:div>
        <w:div w:id="1362779337">
          <w:marLeft w:val="0"/>
          <w:marRight w:val="0"/>
          <w:marTop w:val="0"/>
          <w:marBottom w:val="0"/>
          <w:divBdr>
            <w:top w:val="none" w:sz="0" w:space="0" w:color="auto"/>
            <w:left w:val="none" w:sz="0" w:space="0" w:color="auto"/>
            <w:bottom w:val="none" w:sz="0" w:space="0" w:color="auto"/>
            <w:right w:val="none" w:sz="0" w:space="0" w:color="auto"/>
          </w:divBdr>
        </w:div>
      </w:divsChild>
    </w:div>
    <w:div w:id="1458648171">
      <w:bodyDiv w:val="1"/>
      <w:marLeft w:val="0"/>
      <w:marRight w:val="0"/>
      <w:marTop w:val="0"/>
      <w:marBottom w:val="0"/>
      <w:divBdr>
        <w:top w:val="none" w:sz="0" w:space="0" w:color="auto"/>
        <w:left w:val="none" w:sz="0" w:space="0" w:color="auto"/>
        <w:bottom w:val="none" w:sz="0" w:space="0" w:color="auto"/>
        <w:right w:val="none" w:sz="0" w:space="0" w:color="auto"/>
      </w:divBdr>
    </w:div>
    <w:div w:id="177420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comments" Target="comments.xml" /><Relationship Id="rId18" Type="http://schemas.openxmlformats.org/officeDocument/2006/relationships/footer" Target="footer3.xml" /><Relationship Id="rId26" Type="http://schemas.openxmlformats.org/officeDocument/2006/relationships/footer" Target="footer6.xml" /><Relationship Id="rId3" Type="http://schemas.openxmlformats.org/officeDocument/2006/relationships/customXml" Target="../customXml/item3.xml" /><Relationship Id="rId21"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footer" Target="footer2.xml" /><Relationship Id="rId25" Type="http://schemas.openxmlformats.org/officeDocument/2006/relationships/header" Target="header3.xml" /><Relationship Id="rId2" Type="http://schemas.openxmlformats.org/officeDocument/2006/relationships/customXml" Target="../customXml/item2.xml" /><Relationship Id="rId16" Type="http://schemas.microsoft.com/office/2018/08/relationships/commentsExtensible" Target="commentsExtensible.xml" /><Relationship Id="rId20" Type="http://schemas.openxmlformats.org/officeDocument/2006/relationships/hyperlink" Target="https://myintracomm.ec.europa.eu/budgweb/EN/leg/internal/Documents/2016-5-legislative-financial-statement-ann-en.docx" TargetMode="External" /><Relationship Id="rId29"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emf" /><Relationship Id="rId24" Type="http://schemas.openxmlformats.org/officeDocument/2006/relationships/footer" Target="footer5.xml" /><Relationship Id="rId5" Type="http://schemas.openxmlformats.org/officeDocument/2006/relationships/numbering" Target="numbering.xml" /><Relationship Id="rId15" Type="http://schemas.microsoft.com/office/2016/09/relationships/commentsIds" Target="commentsIds.xml" /><Relationship Id="rId23" Type="http://schemas.openxmlformats.org/officeDocument/2006/relationships/header" Target="header2.xml" /><Relationship Id="rId28" Type="http://schemas.openxmlformats.org/officeDocument/2006/relationships/footer" Target="footer7.xml" /><Relationship Id="rId10" Type="http://schemas.openxmlformats.org/officeDocument/2006/relationships/endnotes" Target="endnotes.xml" /><Relationship Id="rId19" Type="http://schemas.openxmlformats.org/officeDocument/2006/relationships/hyperlink" Target="https://eur-lex.europa.eu/resource.html?uri=cellar:bb3ff330-19fe-11eb-b57e-01aa75ed71a1.0023.02/DOC_1&amp;format=PDF" TargetMode="External" /><Relationship Id="rId31"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footnotes" Target="footnotes.xml" /><Relationship Id="rId14" Type="http://schemas.microsoft.com/office/2011/relationships/commentsExtended" Target="commentsExtended.xml" /><Relationship Id="rId22" Type="http://schemas.openxmlformats.org/officeDocument/2006/relationships/footer" Target="footer4.xml" /><Relationship Id="rId27" Type="http://schemas.openxmlformats.org/officeDocument/2006/relationships/header" Target="header4.xml" /><Relationship Id="rId30" Type="http://schemas.microsoft.com/office/2011/relationships/people" Target="people.xml" /></Relationships>
</file>

<file path=word/_rels/footnotes.xml.rels><?xml version="1.0" encoding="UTF-8" standalone="yes"?>
<Relationships xmlns="http://schemas.openxmlformats.org/package/2006/relationships"><Relationship Id="rId3" Type="http://schemas.openxmlformats.org/officeDocument/2006/relationships/hyperlink" Target="https://www.fao.org/3/cb7449en/cb7449en.pdf" TargetMode="External" /><Relationship Id="rId2" Type="http://schemas.openxmlformats.org/officeDocument/2006/relationships/hyperlink" Target="https://www.europarl.europa.eu/doceo/document/TA-9-2020-0285_PL.html" TargetMode="External" /><Relationship Id="rId1" Type="http://schemas.openxmlformats.org/officeDocument/2006/relationships/hyperlink" Target="https://eur-lex.europa.eu/legal-content/PL/TXT/?uri=CELEX:32019R1010" TargetMode="External" /><Relationship Id="rId5" Type="http://schemas.openxmlformats.org/officeDocument/2006/relationships/hyperlink" Target="https://myintracomm.ec.europa.eu/budgweb/EN/man/budgmanag/Pages/budgmanag.aspx" TargetMode="External" /><Relationship Id="rId4" Type="http://schemas.openxmlformats.org/officeDocument/2006/relationships/hyperlink" Target="https://www.fao.org/3/cb7449en/cb7449en.pdf"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ab8809e1-2236-4ad4-b427-c3775de3e162">Not Started</EC_Collab_Status>
    <EC_Collab_DocumentLanguage xmlns="ab8809e1-2236-4ad4-b427-c3775de3e162">EN</EC_Collab_DocumentLanguage>
    <EC_Collab_Reference xmlns="ab8809e1-2236-4ad4-b427-c3775de3e1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B45CE35AD23C734EAEF0D72453580FCB" ma:contentTypeVersion="0" ma:contentTypeDescription="Create a new document in this library." ma:contentTypeScope="" ma:versionID="f0a89958ae16e65b0b5e332e38731222">
  <xsd:schema xmlns:xsd="http://www.w3.org/2001/XMLSchema" xmlns:xs="http://www.w3.org/2001/XMLSchema" xmlns:p="http://schemas.microsoft.com/office/2006/metadata/properties" xmlns:ns2="http://schemas.microsoft.com/sharepoint/v3/fields" xmlns:ns3="ab8809e1-2236-4ad4-b427-c3775de3e162" targetNamespace="http://schemas.microsoft.com/office/2006/metadata/properties" ma:root="true" ma:fieldsID="682b3a9de30045767d3ee38070c83321" ns2:_="" ns3:_="">
    <xsd:import namespace="http://schemas.microsoft.com/sharepoint/v3/fields"/>
    <xsd:import namespace="ab8809e1-2236-4ad4-b427-c3775de3e16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b8809e1-2236-4ad4-b427-c3775de3e16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DDA40-73B8-4A02-8334-5DE2E18187FA}">
  <ds:schemaRefs>
    <ds:schemaRef ds:uri="http://schemas.microsoft.com/office/2006/metadata/properties"/>
    <ds:schemaRef ds:uri="http://www.w3.org/2000/xmlns/"/>
    <ds:schemaRef ds:uri="http://schemas.microsoft.com/sharepoint/v3/fields"/>
    <ds:schemaRef ds:uri="ab8809e1-2236-4ad4-b427-c3775de3e162"/>
    <ds:schemaRef ds:uri="http://www.w3.org/2001/XMLSchema-instance"/>
  </ds:schemaRefs>
</ds:datastoreItem>
</file>

<file path=customXml/itemProps2.xml><?xml version="1.0" encoding="utf-8"?>
<ds:datastoreItem xmlns:ds="http://schemas.openxmlformats.org/officeDocument/2006/customXml" ds:itemID="{1550C351-4D17-43E6-85D6-0DD1017CCCFE}">
  <ds:schemaRefs>
    <ds:schemaRef ds:uri="http://schemas.microsoft.com/sharepoint/v3/contenttype/forms"/>
  </ds:schemaRefs>
</ds:datastoreItem>
</file>

<file path=customXml/itemProps3.xml><?xml version="1.0" encoding="utf-8"?>
<ds:datastoreItem xmlns:ds="http://schemas.openxmlformats.org/officeDocument/2006/customXml" ds:itemID="{5242B5DF-A9DD-48B2-BE43-8A33922AF8DE}">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C65F2845-B816-4F88-8DCA-1062C123E755}">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fields"/>
    <ds:schemaRef ds:uri="ab8809e1-2236-4ad4-b427-c3775de3e162"/>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Pages>
  <Words>32929</Words>
  <Characters>197577</Characters>
  <Application>Microsoft Office Word</Application>
  <DocSecurity>0</DocSecurity>
  <Lines>1646</Lines>
  <Paragraphs>460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WRÓBEL Łukasz</dc:creator>
  <cp:keywords/>
  <dc:description>Based on DECIDE Document as uploaded on 11/10/21</dc:description>
  <cp:lastModifiedBy>Jacek Cichocki</cp:lastModifiedBy>
  <cp:revision>2</cp:revision>
  <dcterms:created xsi:type="dcterms:W3CDTF">2022-01-23T11:48:00Z</dcterms:created>
  <dcterms:modified xsi:type="dcterms:W3CDTF">2022-01-23T11:48:00Z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0x010100258AA79CEB83498886A3A0868112325000B45CE35AD23C734EAEF0D72453580FCB</vt:lpwstr>
  </property>
  <property fmtid="{D5CDD505-2E9C-101B-9397-08002B2CF9AE}" pid="11" name="DQCStatus">
    <vt:lpwstr>Green (DQC version 03)</vt:lpwstr>
  </property>
</Properties>
</file>